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sdt>
      <w:sdtPr>
        <w:rPr>
          <w:rFonts w:hint="default" w:ascii="Times New Roman" w:hAnsi="Times New Roman" w:eastAsia="宋体" w:cs="Times New Roman"/>
          <w:color w:val="auto"/>
          <w:sz w:val="28"/>
          <w:szCs w:val="28"/>
          <w:highlight w:val="none"/>
        </w:rPr>
        <w:id w:val="147457351"/>
        <w15:color w:val="DBDBDB"/>
        <w:docPartObj>
          <w:docPartGallery w:val="Table of Contents"/>
          <w:docPartUnique/>
        </w:docPartObj>
      </w:sdtPr>
      <w:sdtEndPr>
        <w:rPr>
          <w:rFonts w:hint="default" w:ascii="Times New Roman" w:hAnsi="Times New Roman" w:eastAsia="宋体" w:cs="Times New Roman"/>
          <w:b/>
          <w:color w:val="auto"/>
          <w:sz w:val="21"/>
          <w:szCs w:val="24"/>
          <w:highlight w:val="none"/>
        </w:rPr>
      </w:sdtEndPr>
      <w:sdtContent>
        <w:p w14:paraId="60C3B6DB">
          <w:pPr>
            <w:spacing w:before="0" w:beforeLines="0" w:after="0" w:afterLines="0" w:line="240" w:lineRule="auto"/>
            <w:ind w:left="0" w:leftChars="0" w:right="0" w:rightChars="0" w:firstLine="0" w:firstLineChars="0"/>
            <w:jc w:val="center"/>
            <w:rPr>
              <w:rFonts w:hint="default" w:ascii="Times New Roman" w:hAnsi="Times New Roman" w:cs="Times New Roman"/>
              <w:color w:val="auto"/>
              <w:sz w:val="28"/>
              <w:szCs w:val="28"/>
              <w:highlight w:val="none"/>
            </w:rPr>
          </w:pPr>
          <w:r>
            <w:rPr>
              <w:rFonts w:hint="default" w:ascii="Times New Roman" w:hAnsi="Times New Roman" w:eastAsia="宋体" w:cs="Times New Roman"/>
              <w:b/>
              <w:bCs/>
              <w:color w:val="auto"/>
              <w:sz w:val="28"/>
              <w:szCs w:val="28"/>
              <w:highlight w:val="none"/>
            </w:rPr>
            <w:t>目</w:t>
          </w:r>
          <w:r>
            <w:rPr>
              <w:rFonts w:hint="default" w:ascii="Times New Roman" w:hAnsi="Times New Roman" w:cs="Times New Roman"/>
              <w:b/>
              <w:bCs/>
              <w:color w:val="auto"/>
              <w:sz w:val="28"/>
              <w:szCs w:val="28"/>
              <w:highlight w:val="none"/>
              <w:lang w:val="en-US" w:eastAsia="zh-CN"/>
            </w:rPr>
            <w:t xml:space="preserve">  </w:t>
          </w:r>
          <w:r>
            <w:rPr>
              <w:rFonts w:hint="default" w:ascii="Times New Roman" w:hAnsi="Times New Roman" w:eastAsia="宋体" w:cs="Times New Roman"/>
              <w:b/>
              <w:bCs/>
              <w:color w:val="auto"/>
              <w:sz w:val="28"/>
              <w:szCs w:val="28"/>
              <w:highlight w:val="none"/>
            </w:rPr>
            <w:t>录</w:t>
          </w:r>
        </w:p>
        <w:p w14:paraId="2B71644E">
          <w:pPr>
            <w:pStyle w:val="22"/>
            <w:tabs>
              <w:tab w:val="right" w:leader="dot" w:pos="923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TOC \o "1-2" \h \u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_Toc12377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szCs w:val="24"/>
              <w:highlight w:val="none"/>
            </w:rPr>
            <w:t>1. 概述</w:t>
          </w:r>
          <w:r>
            <w:rPr>
              <w:color w:val="auto"/>
              <w:highlight w:val="none"/>
            </w:rPr>
            <w:tab/>
          </w:r>
          <w:r>
            <w:rPr>
              <w:color w:val="auto"/>
              <w:highlight w:val="none"/>
            </w:rPr>
            <w:fldChar w:fldCharType="begin"/>
          </w:r>
          <w:r>
            <w:rPr>
              <w:color w:val="auto"/>
              <w:highlight w:val="none"/>
            </w:rPr>
            <w:instrText xml:space="preserve"> PAGEREF _Toc12377 \h </w:instrText>
          </w:r>
          <w:r>
            <w:rPr>
              <w:color w:val="auto"/>
              <w:highlight w:val="none"/>
            </w:rPr>
            <w:fldChar w:fldCharType="separate"/>
          </w:r>
          <w:r>
            <w:rPr>
              <w:color w:val="auto"/>
              <w:highlight w:val="none"/>
            </w:rPr>
            <w:t>4</w:t>
          </w:r>
          <w:r>
            <w:rPr>
              <w:color w:val="auto"/>
              <w:highlight w:val="none"/>
            </w:rPr>
            <w:fldChar w:fldCharType="end"/>
          </w:r>
          <w:r>
            <w:rPr>
              <w:rFonts w:hint="default" w:ascii="Times New Roman" w:hAnsi="Times New Roman" w:cs="Times New Roman"/>
              <w:color w:val="auto"/>
              <w:highlight w:val="none"/>
            </w:rPr>
            <w:fldChar w:fldCharType="end"/>
          </w:r>
        </w:p>
        <w:p w14:paraId="612BA0CE">
          <w:pPr>
            <w:pStyle w:val="24"/>
            <w:tabs>
              <w:tab w:val="right" w:leader="dot" w:pos="923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_Toc1966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szCs w:val="24"/>
              <w:highlight w:val="none"/>
            </w:rPr>
            <w:t>1.1. 任务由来</w:t>
          </w:r>
          <w:r>
            <w:rPr>
              <w:color w:val="auto"/>
              <w:highlight w:val="none"/>
            </w:rPr>
            <w:tab/>
          </w:r>
          <w:r>
            <w:rPr>
              <w:color w:val="auto"/>
              <w:highlight w:val="none"/>
            </w:rPr>
            <w:fldChar w:fldCharType="begin"/>
          </w:r>
          <w:r>
            <w:rPr>
              <w:color w:val="auto"/>
              <w:highlight w:val="none"/>
            </w:rPr>
            <w:instrText xml:space="preserve"> PAGEREF _Toc1966 \h </w:instrText>
          </w:r>
          <w:r>
            <w:rPr>
              <w:color w:val="auto"/>
              <w:highlight w:val="none"/>
            </w:rPr>
            <w:fldChar w:fldCharType="separate"/>
          </w:r>
          <w:r>
            <w:rPr>
              <w:color w:val="auto"/>
              <w:highlight w:val="none"/>
            </w:rPr>
            <w:t>4</w:t>
          </w:r>
          <w:r>
            <w:rPr>
              <w:color w:val="auto"/>
              <w:highlight w:val="none"/>
            </w:rPr>
            <w:fldChar w:fldCharType="end"/>
          </w:r>
          <w:r>
            <w:rPr>
              <w:rFonts w:hint="default" w:ascii="Times New Roman" w:hAnsi="Times New Roman" w:cs="Times New Roman"/>
              <w:color w:val="auto"/>
              <w:highlight w:val="none"/>
            </w:rPr>
            <w:fldChar w:fldCharType="end"/>
          </w:r>
        </w:p>
        <w:p w14:paraId="20D8083B">
          <w:pPr>
            <w:pStyle w:val="24"/>
            <w:tabs>
              <w:tab w:val="right" w:leader="dot" w:pos="923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_Toc32292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szCs w:val="24"/>
              <w:highlight w:val="none"/>
            </w:rPr>
            <w:t>1.2. 项目特点</w:t>
          </w:r>
          <w:r>
            <w:rPr>
              <w:color w:val="auto"/>
              <w:highlight w:val="none"/>
            </w:rPr>
            <w:tab/>
          </w:r>
          <w:r>
            <w:rPr>
              <w:color w:val="auto"/>
              <w:highlight w:val="none"/>
            </w:rPr>
            <w:fldChar w:fldCharType="begin"/>
          </w:r>
          <w:r>
            <w:rPr>
              <w:color w:val="auto"/>
              <w:highlight w:val="none"/>
            </w:rPr>
            <w:instrText xml:space="preserve"> PAGEREF _Toc32292 \h </w:instrText>
          </w:r>
          <w:r>
            <w:rPr>
              <w:color w:val="auto"/>
              <w:highlight w:val="none"/>
            </w:rPr>
            <w:fldChar w:fldCharType="separate"/>
          </w:r>
          <w:r>
            <w:rPr>
              <w:color w:val="auto"/>
              <w:highlight w:val="none"/>
            </w:rPr>
            <w:t>4</w:t>
          </w:r>
          <w:r>
            <w:rPr>
              <w:color w:val="auto"/>
              <w:highlight w:val="none"/>
            </w:rPr>
            <w:fldChar w:fldCharType="end"/>
          </w:r>
          <w:r>
            <w:rPr>
              <w:rFonts w:hint="default" w:ascii="Times New Roman" w:hAnsi="Times New Roman" w:cs="Times New Roman"/>
              <w:color w:val="auto"/>
              <w:highlight w:val="none"/>
            </w:rPr>
            <w:fldChar w:fldCharType="end"/>
          </w:r>
        </w:p>
        <w:p w14:paraId="1A0DC4DC">
          <w:pPr>
            <w:pStyle w:val="24"/>
            <w:tabs>
              <w:tab w:val="right" w:leader="dot" w:pos="923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_Toc20050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szCs w:val="24"/>
              <w:highlight w:val="none"/>
            </w:rPr>
            <w:t>1.3. 环境影响评价工作过程</w:t>
          </w:r>
          <w:r>
            <w:rPr>
              <w:color w:val="auto"/>
              <w:highlight w:val="none"/>
            </w:rPr>
            <w:tab/>
          </w:r>
          <w:r>
            <w:rPr>
              <w:color w:val="auto"/>
              <w:highlight w:val="none"/>
            </w:rPr>
            <w:fldChar w:fldCharType="begin"/>
          </w:r>
          <w:r>
            <w:rPr>
              <w:color w:val="auto"/>
              <w:highlight w:val="none"/>
            </w:rPr>
            <w:instrText xml:space="preserve"> PAGEREF _Toc20050 \h </w:instrText>
          </w:r>
          <w:r>
            <w:rPr>
              <w:color w:val="auto"/>
              <w:highlight w:val="none"/>
            </w:rPr>
            <w:fldChar w:fldCharType="separate"/>
          </w:r>
          <w:r>
            <w:rPr>
              <w:color w:val="auto"/>
              <w:highlight w:val="none"/>
            </w:rPr>
            <w:t>5</w:t>
          </w:r>
          <w:r>
            <w:rPr>
              <w:color w:val="auto"/>
              <w:highlight w:val="none"/>
            </w:rPr>
            <w:fldChar w:fldCharType="end"/>
          </w:r>
          <w:r>
            <w:rPr>
              <w:rFonts w:hint="default" w:ascii="Times New Roman" w:hAnsi="Times New Roman" w:cs="Times New Roman"/>
              <w:color w:val="auto"/>
              <w:highlight w:val="none"/>
            </w:rPr>
            <w:fldChar w:fldCharType="end"/>
          </w:r>
        </w:p>
        <w:p w14:paraId="127DB3CC">
          <w:pPr>
            <w:pStyle w:val="24"/>
            <w:tabs>
              <w:tab w:val="right" w:leader="dot" w:pos="923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_Toc2120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szCs w:val="24"/>
              <w:highlight w:val="none"/>
            </w:rPr>
            <w:t>1.4. 分析判定相关情况</w:t>
          </w:r>
          <w:r>
            <w:rPr>
              <w:color w:val="auto"/>
              <w:highlight w:val="none"/>
            </w:rPr>
            <w:tab/>
          </w:r>
          <w:r>
            <w:rPr>
              <w:color w:val="auto"/>
              <w:highlight w:val="none"/>
            </w:rPr>
            <w:fldChar w:fldCharType="begin"/>
          </w:r>
          <w:r>
            <w:rPr>
              <w:color w:val="auto"/>
              <w:highlight w:val="none"/>
            </w:rPr>
            <w:instrText xml:space="preserve"> PAGEREF _Toc2120 \h </w:instrText>
          </w:r>
          <w:r>
            <w:rPr>
              <w:color w:val="auto"/>
              <w:highlight w:val="none"/>
            </w:rPr>
            <w:fldChar w:fldCharType="separate"/>
          </w:r>
          <w:r>
            <w:rPr>
              <w:color w:val="auto"/>
              <w:highlight w:val="none"/>
            </w:rPr>
            <w:t>7</w:t>
          </w:r>
          <w:r>
            <w:rPr>
              <w:color w:val="auto"/>
              <w:highlight w:val="none"/>
            </w:rPr>
            <w:fldChar w:fldCharType="end"/>
          </w:r>
          <w:r>
            <w:rPr>
              <w:rFonts w:hint="default" w:ascii="Times New Roman" w:hAnsi="Times New Roman" w:cs="Times New Roman"/>
              <w:color w:val="auto"/>
              <w:highlight w:val="none"/>
            </w:rPr>
            <w:fldChar w:fldCharType="end"/>
          </w:r>
        </w:p>
        <w:p w14:paraId="3EBD92C7">
          <w:pPr>
            <w:pStyle w:val="24"/>
            <w:tabs>
              <w:tab w:val="right" w:leader="dot" w:pos="923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_Toc19283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szCs w:val="24"/>
              <w:highlight w:val="none"/>
            </w:rPr>
            <w:t>1.5. 关注的主要环境问题及环境影响</w:t>
          </w:r>
          <w:r>
            <w:rPr>
              <w:color w:val="auto"/>
              <w:highlight w:val="none"/>
            </w:rPr>
            <w:tab/>
          </w:r>
          <w:r>
            <w:rPr>
              <w:color w:val="auto"/>
              <w:highlight w:val="none"/>
            </w:rPr>
            <w:fldChar w:fldCharType="begin"/>
          </w:r>
          <w:r>
            <w:rPr>
              <w:color w:val="auto"/>
              <w:highlight w:val="none"/>
            </w:rPr>
            <w:instrText xml:space="preserve"> PAGEREF _Toc19283 \h </w:instrText>
          </w:r>
          <w:r>
            <w:rPr>
              <w:color w:val="auto"/>
              <w:highlight w:val="none"/>
            </w:rPr>
            <w:fldChar w:fldCharType="separate"/>
          </w:r>
          <w:r>
            <w:rPr>
              <w:color w:val="auto"/>
              <w:highlight w:val="none"/>
            </w:rPr>
            <w:t>24</w:t>
          </w:r>
          <w:r>
            <w:rPr>
              <w:color w:val="auto"/>
              <w:highlight w:val="none"/>
            </w:rPr>
            <w:fldChar w:fldCharType="end"/>
          </w:r>
          <w:r>
            <w:rPr>
              <w:rFonts w:hint="default" w:ascii="Times New Roman" w:hAnsi="Times New Roman" w:cs="Times New Roman"/>
              <w:color w:val="auto"/>
              <w:highlight w:val="none"/>
            </w:rPr>
            <w:fldChar w:fldCharType="end"/>
          </w:r>
        </w:p>
        <w:p w14:paraId="59E5E6AD">
          <w:pPr>
            <w:pStyle w:val="24"/>
            <w:tabs>
              <w:tab w:val="right" w:leader="dot" w:pos="923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_Toc7710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szCs w:val="24"/>
              <w:highlight w:val="none"/>
            </w:rPr>
            <w:t>1.6. 环境影响报告的主要结论</w:t>
          </w:r>
          <w:r>
            <w:rPr>
              <w:color w:val="auto"/>
              <w:highlight w:val="none"/>
            </w:rPr>
            <w:tab/>
          </w:r>
          <w:r>
            <w:rPr>
              <w:color w:val="auto"/>
              <w:highlight w:val="none"/>
            </w:rPr>
            <w:fldChar w:fldCharType="begin"/>
          </w:r>
          <w:r>
            <w:rPr>
              <w:color w:val="auto"/>
              <w:highlight w:val="none"/>
            </w:rPr>
            <w:instrText xml:space="preserve"> PAGEREF _Toc7710 \h </w:instrText>
          </w:r>
          <w:r>
            <w:rPr>
              <w:color w:val="auto"/>
              <w:highlight w:val="none"/>
            </w:rPr>
            <w:fldChar w:fldCharType="separate"/>
          </w:r>
          <w:r>
            <w:rPr>
              <w:color w:val="auto"/>
              <w:highlight w:val="none"/>
            </w:rPr>
            <w:t>25</w:t>
          </w:r>
          <w:r>
            <w:rPr>
              <w:color w:val="auto"/>
              <w:highlight w:val="none"/>
            </w:rPr>
            <w:fldChar w:fldCharType="end"/>
          </w:r>
          <w:r>
            <w:rPr>
              <w:rFonts w:hint="default" w:ascii="Times New Roman" w:hAnsi="Times New Roman" w:cs="Times New Roman"/>
              <w:color w:val="auto"/>
              <w:highlight w:val="none"/>
            </w:rPr>
            <w:fldChar w:fldCharType="end"/>
          </w:r>
        </w:p>
        <w:p w14:paraId="70B6114F">
          <w:pPr>
            <w:pStyle w:val="22"/>
            <w:tabs>
              <w:tab w:val="right" w:leader="dot" w:pos="923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_Toc17897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szCs w:val="24"/>
              <w:highlight w:val="none"/>
            </w:rPr>
            <w:t>2. 总则</w:t>
          </w:r>
          <w:r>
            <w:rPr>
              <w:color w:val="auto"/>
              <w:highlight w:val="none"/>
            </w:rPr>
            <w:tab/>
          </w:r>
          <w:r>
            <w:rPr>
              <w:color w:val="auto"/>
              <w:highlight w:val="none"/>
            </w:rPr>
            <w:fldChar w:fldCharType="begin"/>
          </w:r>
          <w:r>
            <w:rPr>
              <w:color w:val="auto"/>
              <w:highlight w:val="none"/>
            </w:rPr>
            <w:instrText xml:space="preserve"> PAGEREF _Toc17897 \h </w:instrText>
          </w:r>
          <w:r>
            <w:rPr>
              <w:color w:val="auto"/>
              <w:highlight w:val="none"/>
            </w:rPr>
            <w:fldChar w:fldCharType="separate"/>
          </w:r>
          <w:r>
            <w:rPr>
              <w:color w:val="auto"/>
              <w:highlight w:val="none"/>
            </w:rPr>
            <w:t>26</w:t>
          </w:r>
          <w:r>
            <w:rPr>
              <w:color w:val="auto"/>
              <w:highlight w:val="none"/>
            </w:rPr>
            <w:fldChar w:fldCharType="end"/>
          </w:r>
          <w:r>
            <w:rPr>
              <w:rFonts w:hint="default" w:ascii="Times New Roman" w:hAnsi="Times New Roman" w:cs="Times New Roman"/>
              <w:color w:val="auto"/>
              <w:highlight w:val="none"/>
            </w:rPr>
            <w:fldChar w:fldCharType="end"/>
          </w:r>
        </w:p>
        <w:p w14:paraId="2C7AA888">
          <w:pPr>
            <w:pStyle w:val="24"/>
            <w:tabs>
              <w:tab w:val="right" w:leader="dot" w:pos="923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_Toc21045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szCs w:val="24"/>
              <w:highlight w:val="none"/>
            </w:rPr>
            <w:t>2.1. 编制依据</w:t>
          </w:r>
          <w:r>
            <w:rPr>
              <w:color w:val="auto"/>
              <w:highlight w:val="none"/>
            </w:rPr>
            <w:tab/>
          </w:r>
          <w:r>
            <w:rPr>
              <w:color w:val="auto"/>
              <w:highlight w:val="none"/>
            </w:rPr>
            <w:fldChar w:fldCharType="begin"/>
          </w:r>
          <w:r>
            <w:rPr>
              <w:color w:val="auto"/>
              <w:highlight w:val="none"/>
            </w:rPr>
            <w:instrText xml:space="preserve"> PAGEREF _Toc21045 \h </w:instrText>
          </w:r>
          <w:r>
            <w:rPr>
              <w:color w:val="auto"/>
              <w:highlight w:val="none"/>
            </w:rPr>
            <w:fldChar w:fldCharType="separate"/>
          </w:r>
          <w:r>
            <w:rPr>
              <w:color w:val="auto"/>
              <w:highlight w:val="none"/>
            </w:rPr>
            <w:t>26</w:t>
          </w:r>
          <w:r>
            <w:rPr>
              <w:color w:val="auto"/>
              <w:highlight w:val="none"/>
            </w:rPr>
            <w:fldChar w:fldCharType="end"/>
          </w:r>
          <w:r>
            <w:rPr>
              <w:rFonts w:hint="default" w:ascii="Times New Roman" w:hAnsi="Times New Roman" w:cs="Times New Roman"/>
              <w:color w:val="auto"/>
              <w:highlight w:val="none"/>
            </w:rPr>
            <w:fldChar w:fldCharType="end"/>
          </w:r>
        </w:p>
        <w:p w14:paraId="53FB8158">
          <w:pPr>
            <w:pStyle w:val="24"/>
            <w:tabs>
              <w:tab w:val="right" w:leader="dot" w:pos="923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_Toc13752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szCs w:val="24"/>
              <w:highlight w:val="none"/>
            </w:rPr>
            <w:t>2.2. 评价工作目的</w:t>
          </w:r>
          <w:r>
            <w:rPr>
              <w:color w:val="auto"/>
              <w:highlight w:val="none"/>
            </w:rPr>
            <w:tab/>
          </w:r>
          <w:r>
            <w:rPr>
              <w:color w:val="auto"/>
              <w:highlight w:val="none"/>
            </w:rPr>
            <w:fldChar w:fldCharType="begin"/>
          </w:r>
          <w:r>
            <w:rPr>
              <w:color w:val="auto"/>
              <w:highlight w:val="none"/>
            </w:rPr>
            <w:instrText xml:space="preserve"> PAGEREF _Toc13752 \h </w:instrText>
          </w:r>
          <w:r>
            <w:rPr>
              <w:color w:val="auto"/>
              <w:highlight w:val="none"/>
            </w:rPr>
            <w:fldChar w:fldCharType="separate"/>
          </w:r>
          <w:r>
            <w:rPr>
              <w:color w:val="auto"/>
              <w:highlight w:val="none"/>
            </w:rPr>
            <w:t>29</w:t>
          </w:r>
          <w:r>
            <w:rPr>
              <w:color w:val="auto"/>
              <w:highlight w:val="none"/>
            </w:rPr>
            <w:fldChar w:fldCharType="end"/>
          </w:r>
          <w:r>
            <w:rPr>
              <w:rFonts w:hint="default" w:ascii="Times New Roman" w:hAnsi="Times New Roman" w:cs="Times New Roman"/>
              <w:color w:val="auto"/>
              <w:highlight w:val="none"/>
            </w:rPr>
            <w:fldChar w:fldCharType="end"/>
          </w:r>
        </w:p>
        <w:p w14:paraId="042198F6">
          <w:pPr>
            <w:pStyle w:val="24"/>
            <w:tabs>
              <w:tab w:val="right" w:leader="dot" w:pos="923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_Toc30638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szCs w:val="24"/>
              <w:highlight w:val="none"/>
            </w:rPr>
            <w:t>2.3. 环境影响识别与评价因子筛选</w:t>
          </w:r>
          <w:r>
            <w:rPr>
              <w:color w:val="auto"/>
              <w:highlight w:val="none"/>
            </w:rPr>
            <w:tab/>
          </w:r>
          <w:r>
            <w:rPr>
              <w:color w:val="auto"/>
              <w:highlight w:val="none"/>
            </w:rPr>
            <w:fldChar w:fldCharType="begin"/>
          </w:r>
          <w:r>
            <w:rPr>
              <w:color w:val="auto"/>
              <w:highlight w:val="none"/>
            </w:rPr>
            <w:instrText xml:space="preserve"> PAGEREF _Toc30638 \h </w:instrText>
          </w:r>
          <w:r>
            <w:rPr>
              <w:color w:val="auto"/>
              <w:highlight w:val="none"/>
            </w:rPr>
            <w:fldChar w:fldCharType="separate"/>
          </w:r>
          <w:r>
            <w:rPr>
              <w:color w:val="auto"/>
              <w:highlight w:val="none"/>
            </w:rPr>
            <w:t>29</w:t>
          </w:r>
          <w:r>
            <w:rPr>
              <w:color w:val="auto"/>
              <w:highlight w:val="none"/>
            </w:rPr>
            <w:fldChar w:fldCharType="end"/>
          </w:r>
          <w:r>
            <w:rPr>
              <w:rFonts w:hint="default" w:ascii="Times New Roman" w:hAnsi="Times New Roman" w:cs="Times New Roman"/>
              <w:color w:val="auto"/>
              <w:highlight w:val="none"/>
            </w:rPr>
            <w:fldChar w:fldCharType="end"/>
          </w:r>
        </w:p>
        <w:p w14:paraId="377E7B2D">
          <w:pPr>
            <w:pStyle w:val="24"/>
            <w:tabs>
              <w:tab w:val="right" w:leader="dot" w:pos="923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_Toc6973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szCs w:val="24"/>
              <w:highlight w:val="none"/>
            </w:rPr>
            <w:t>2.4. 环境影响评价标准</w:t>
          </w:r>
          <w:r>
            <w:rPr>
              <w:color w:val="auto"/>
              <w:highlight w:val="none"/>
            </w:rPr>
            <w:tab/>
          </w:r>
          <w:r>
            <w:rPr>
              <w:color w:val="auto"/>
              <w:highlight w:val="none"/>
            </w:rPr>
            <w:fldChar w:fldCharType="begin"/>
          </w:r>
          <w:r>
            <w:rPr>
              <w:color w:val="auto"/>
              <w:highlight w:val="none"/>
            </w:rPr>
            <w:instrText xml:space="preserve"> PAGEREF _Toc6973 \h </w:instrText>
          </w:r>
          <w:r>
            <w:rPr>
              <w:color w:val="auto"/>
              <w:highlight w:val="none"/>
            </w:rPr>
            <w:fldChar w:fldCharType="separate"/>
          </w:r>
          <w:r>
            <w:rPr>
              <w:color w:val="auto"/>
              <w:highlight w:val="none"/>
            </w:rPr>
            <w:t>30</w:t>
          </w:r>
          <w:r>
            <w:rPr>
              <w:color w:val="auto"/>
              <w:highlight w:val="none"/>
            </w:rPr>
            <w:fldChar w:fldCharType="end"/>
          </w:r>
          <w:r>
            <w:rPr>
              <w:rFonts w:hint="default" w:ascii="Times New Roman" w:hAnsi="Times New Roman" w:cs="Times New Roman"/>
              <w:color w:val="auto"/>
              <w:highlight w:val="none"/>
            </w:rPr>
            <w:fldChar w:fldCharType="end"/>
          </w:r>
        </w:p>
        <w:p w14:paraId="5539A9CB">
          <w:pPr>
            <w:pStyle w:val="24"/>
            <w:tabs>
              <w:tab w:val="right" w:leader="dot" w:pos="923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_Toc10088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szCs w:val="24"/>
              <w:highlight w:val="none"/>
            </w:rPr>
            <w:t>2.5. 评价等级及评价范围</w:t>
          </w:r>
          <w:r>
            <w:rPr>
              <w:color w:val="auto"/>
              <w:highlight w:val="none"/>
            </w:rPr>
            <w:tab/>
          </w:r>
          <w:r>
            <w:rPr>
              <w:color w:val="auto"/>
              <w:highlight w:val="none"/>
            </w:rPr>
            <w:fldChar w:fldCharType="begin"/>
          </w:r>
          <w:r>
            <w:rPr>
              <w:color w:val="auto"/>
              <w:highlight w:val="none"/>
            </w:rPr>
            <w:instrText xml:space="preserve"> PAGEREF _Toc10088 \h </w:instrText>
          </w:r>
          <w:r>
            <w:rPr>
              <w:color w:val="auto"/>
              <w:highlight w:val="none"/>
            </w:rPr>
            <w:fldChar w:fldCharType="separate"/>
          </w:r>
          <w:r>
            <w:rPr>
              <w:color w:val="auto"/>
              <w:highlight w:val="none"/>
            </w:rPr>
            <w:t>35</w:t>
          </w:r>
          <w:r>
            <w:rPr>
              <w:color w:val="auto"/>
              <w:highlight w:val="none"/>
            </w:rPr>
            <w:fldChar w:fldCharType="end"/>
          </w:r>
          <w:r>
            <w:rPr>
              <w:rFonts w:hint="default" w:ascii="Times New Roman" w:hAnsi="Times New Roman" w:cs="Times New Roman"/>
              <w:color w:val="auto"/>
              <w:highlight w:val="none"/>
            </w:rPr>
            <w:fldChar w:fldCharType="end"/>
          </w:r>
        </w:p>
        <w:p w14:paraId="5FBD93FA">
          <w:pPr>
            <w:pStyle w:val="24"/>
            <w:tabs>
              <w:tab w:val="right" w:leader="dot" w:pos="923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_Toc17619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szCs w:val="24"/>
              <w:highlight w:val="none"/>
            </w:rPr>
            <w:t>2.6. 环境保护目标</w:t>
          </w:r>
          <w:r>
            <w:rPr>
              <w:color w:val="auto"/>
              <w:highlight w:val="none"/>
            </w:rPr>
            <w:tab/>
          </w:r>
          <w:r>
            <w:rPr>
              <w:color w:val="auto"/>
              <w:highlight w:val="none"/>
            </w:rPr>
            <w:fldChar w:fldCharType="begin"/>
          </w:r>
          <w:r>
            <w:rPr>
              <w:color w:val="auto"/>
              <w:highlight w:val="none"/>
            </w:rPr>
            <w:instrText xml:space="preserve"> PAGEREF _Toc17619 \h </w:instrText>
          </w:r>
          <w:r>
            <w:rPr>
              <w:color w:val="auto"/>
              <w:highlight w:val="none"/>
            </w:rPr>
            <w:fldChar w:fldCharType="separate"/>
          </w:r>
          <w:r>
            <w:rPr>
              <w:color w:val="auto"/>
              <w:highlight w:val="none"/>
            </w:rPr>
            <w:t>41</w:t>
          </w:r>
          <w:r>
            <w:rPr>
              <w:color w:val="auto"/>
              <w:highlight w:val="none"/>
            </w:rPr>
            <w:fldChar w:fldCharType="end"/>
          </w:r>
          <w:r>
            <w:rPr>
              <w:rFonts w:hint="default" w:ascii="Times New Roman" w:hAnsi="Times New Roman" w:cs="Times New Roman"/>
              <w:color w:val="auto"/>
              <w:highlight w:val="none"/>
            </w:rPr>
            <w:fldChar w:fldCharType="end"/>
          </w:r>
        </w:p>
        <w:p w14:paraId="555BF005">
          <w:pPr>
            <w:pStyle w:val="22"/>
            <w:tabs>
              <w:tab w:val="right" w:leader="dot" w:pos="923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_Toc29568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szCs w:val="24"/>
              <w:highlight w:val="none"/>
            </w:rPr>
            <w:t>3. 项目概况及工程分析</w:t>
          </w:r>
          <w:r>
            <w:rPr>
              <w:color w:val="auto"/>
              <w:highlight w:val="none"/>
            </w:rPr>
            <w:tab/>
          </w:r>
          <w:r>
            <w:rPr>
              <w:color w:val="auto"/>
              <w:highlight w:val="none"/>
            </w:rPr>
            <w:fldChar w:fldCharType="begin"/>
          </w:r>
          <w:r>
            <w:rPr>
              <w:color w:val="auto"/>
              <w:highlight w:val="none"/>
            </w:rPr>
            <w:instrText xml:space="preserve"> PAGEREF _Toc29568 \h </w:instrText>
          </w:r>
          <w:r>
            <w:rPr>
              <w:color w:val="auto"/>
              <w:highlight w:val="none"/>
            </w:rPr>
            <w:fldChar w:fldCharType="separate"/>
          </w:r>
          <w:r>
            <w:rPr>
              <w:color w:val="auto"/>
              <w:highlight w:val="none"/>
            </w:rPr>
            <w:t>42</w:t>
          </w:r>
          <w:r>
            <w:rPr>
              <w:color w:val="auto"/>
              <w:highlight w:val="none"/>
            </w:rPr>
            <w:fldChar w:fldCharType="end"/>
          </w:r>
          <w:r>
            <w:rPr>
              <w:rFonts w:hint="default" w:ascii="Times New Roman" w:hAnsi="Times New Roman" w:cs="Times New Roman"/>
              <w:color w:val="auto"/>
              <w:highlight w:val="none"/>
            </w:rPr>
            <w:fldChar w:fldCharType="end"/>
          </w:r>
        </w:p>
        <w:p w14:paraId="55306AB5">
          <w:pPr>
            <w:pStyle w:val="24"/>
            <w:tabs>
              <w:tab w:val="right" w:leader="dot" w:pos="923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_Toc11424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szCs w:val="24"/>
              <w:highlight w:val="none"/>
            </w:rPr>
            <w:t>3.1. 项目基本概况</w:t>
          </w:r>
          <w:r>
            <w:rPr>
              <w:color w:val="auto"/>
              <w:highlight w:val="none"/>
            </w:rPr>
            <w:tab/>
          </w:r>
          <w:r>
            <w:rPr>
              <w:color w:val="auto"/>
              <w:highlight w:val="none"/>
            </w:rPr>
            <w:fldChar w:fldCharType="begin"/>
          </w:r>
          <w:r>
            <w:rPr>
              <w:color w:val="auto"/>
              <w:highlight w:val="none"/>
            </w:rPr>
            <w:instrText xml:space="preserve"> PAGEREF _Toc11424 \h </w:instrText>
          </w:r>
          <w:r>
            <w:rPr>
              <w:color w:val="auto"/>
              <w:highlight w:val="none"/>
            </w:rPr>
            <w:fldChar w:fldCharType="separate"/>
          </w:r>
          <w:r>
            <w:rPr>
              <w:color w:val="auto"/>
              <w:highlight w:val="none"/>
            </w:rPr>
            <w:t>42</w:t>
          </w:r>
          <w:r>
            <w:rPr>
              <w:color w:val="auto"/>
              <w:highlight w:val="none"/>
            </w:rPr>
            <w:fldChar w:fldCharType="end"/>
          </w:r>
          <w:r>
            <w:rPr>
              <w:rFonts w:hint="default" w:ascii="Times New Roman" w:hAnsi="Times New Roman" w:cs="Times New Roman"/>
              <w:color w:val="auto"/>
              <w:highlight w:val="none"/>
            </w:rPr>
            <w:fldChar w:fldCharType="end"/>
          </w:r>
        </w:p>
        <w:p w14:paraId="6949FC7F">
          <w:pPr>
            <w:pStyle w:val="24"/>
            <w:tabs>
              <w:tab w:val="right" w:leader="dot" w:pos="923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_Toc25593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szCs w:val="24"/>
              <w:highlight w:val="none"/>
            </w:rPr>
            <w:t>3.2. 工程组成</w:t>
          </w:r>
          <w:r>
            <w:rPr>
              <w:color w:val="auto"/>
              <w:highlight w:val="none"/>
            </w:rPr>
            <w:tab/>
          </w:r>
          <w:r>
            <w:rPr>
              <w:color w:val="auto"/>
              <w:highlight w:val="none"/>
            </w:rPr>
            <w:fldChar w:fldCharType="begin"/>
          </w:r>
          <w:r>
            <w:rPr>
              <w:color w:val="auto"/>
              <w:highlight w:val="none"/>
            </w:rPr>
            <w:instrText xml:space="preserve"> PAGEREF _Toc25593 \h </w:instrText>
          </w:r>
          <w:r>
            <w:rPr>
              <w:color w:val="auto"/>
              <w:highlight w:val="none"/>
            </w:rPr>
            <w:fldChar w:fldCharType="separate"/>
          </w:r>
          <w:r>
            <w:rPr>
              <w:color w:val="auto"/>
              <w:highlight w:val="none"/>
            </w:rPr>
            <w:t>42</w:t>
          </w:r>
          <w:r>
            <w:rPr>
              <w:color w:val="auto"/>
              <w:highlight w:val="none"/>
            </w:rPr>
            <w:fldChar w:fldCharType="end"/>
          </w:r>
          <w:r>
            <w:rPr>
              <w:rFonts w:hint="default" w:ascii="Times New Roman" w:hAnsi="Times New Roman" w:cs="Times New Roman"/>
              <w:color w:val="auto"/>
              <w:highlight w:val="none"/>
            </w:rPr>
            <w:fldChar w:fldCharType="end"/>
          </w:r>
        </w:p>
        <w:p w14:paraId="704BB971">
          <w:pPr>
            <w:pStyle w:val="24"/>
            <w:tabs>
              <w:tab w:val="right" w:leader="dot" w:pos="923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_Toc16172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szCs w:val="24"/>
              <w:highlight w:val="none"/>
            </w:rPr>
            <w:t>3.3. 开采方案</w:t>
          </w:r>
          <w:r>
            <w:rPr>
              <w:color w:val="auto"/>
              <w:highlight w:val="none"/>
            </w:rPr>
            <w:tab/>
          </w:r>
          <w:r>
            <w:rPr>
              <w:color w:val="auto"/>
              <w:highlight w:val="none"/>
            </w:rPr>
            <w:fldChar w:fldCharType="begin"/>
          </w:r>
          <w:r>
            <w:rPr>
              <w:color w:val="auto"/>
              <w:highlight w:val="none"/>
            </w:rPr>
            <w:instrText xml:space="preserve"> PAGEREF _Toc16172 \h </w:instrText>
          </w:r>
          <w:r>
            <w:rPr>
              <w:color w:val="auto"/>
              <w:highlight w:val="none"/>
            </w:rPr>
            <w:fldChar w:fldCharType="separate"/>
          </w:r>
          <w:r>
            <w:rPr>
              <w:color w:val="auto"/>
              <w:highlight w:val="none"/>
            </w:rPr>
            <w:t>45</w:t>
          </w:r>
          <w:r>
            <w:rPr>
              <w:color w:val="auto"/>
              <w:highlight w:val="none"/>
            </w:rPr>
            <w:fldChar w:fldCharType="end"/>
          </w:r>
          <w:r>
            <w:rPr>
              <w:rFonts w:hint="default" w:ascii="Times New Roman" w:hAnsi="Times New Roman" w:cs="Times New Roman"/>
              <w:color w:val="auto"/>
              <w:highlight w:val="none"/>
            </w:rPr>
            <w:fldChar w:fldCharType="end"/>
          </w:r>
        </w:p>
        <w:p w14:paraId="42BC6E1C">
          <w:pPr>
            <w:pStyle w:val="24"/>
            <w:tabs>
              <w:tab w:val="right" w:leader="dot" w:pos="923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_Toc28045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szCs w:val="24"/>
              <w:highlight w:val="none"/>
            </w:rPr>
            <w:t>3.4. 矿山总平面布置</w:t>
          </w:r>
          <w:r>
            <w:rPr>
              <w:color w:val="auto"/>
              <w:highlight w:val="none"/>
            </w:rPr>
            <w:tab/>
          </w:r>
          <w:r>
            <w:rPr>
              <w:color w:val="auto"/>
              <w:highlight w:val="none"/>
            </w:rPr>
            <w:fldChar w:fldCharType="begin"/>
          </w:r>
          <w:r>
            <w:rPr>
              <w:color w:val="auto"/>
              <w:highlight w:val="none"/>
            </w:rPr>
            <w:instrText xml:space="preserve"> PAGEREF _Toc28045 \h </w:instrText>
          </w:r>
          <w:r>
            <w:rPr>
              <w:color w:val="auto"/>
              <w:highlight w:val="none"/>
            </w:rPr>
            <w:fldChar w:fldCharType="separate"/>
          </w:r>
          <w:r>
            <w:rPr>
              <w:color w:val="auto"/>
              <w:highlight w:val="none"/>
            </w:rPr>
            <w:t>48</w:t>
          </w:r>
          <w:r>
            <w:rPr>
              <w:color w:val="auto"/>
              <w:highlight w:val="none"/>
            </w:rPr>
            <w:fldChar w:fldCharType="end"/>
          </w:r>
          <w:r>
            <w:rPr>
              <w:rFonts w:hint="default" w:ascii="Times New Roman" w:hAnsi="Times New Roman" w:cs="Times New Roman"/>
              <w:color w:val="auto"/>
              <w:highlight w:val="none"/>
            </w:rPr>
            <w:fldChar w:fldCharType="end"/>
          </w:r>
        </w:p>
        <w:p w14:paraId="2EC394FC">
          <w:pPr>
            <w:pStyle w:val="24"/>
            <w:tabs>
              <w:tab w:val="right" w:leader="dot" w:pos="923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_Toc5999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szCs w:val="24"/>
              <w:highlight w:val="none"/>
            </w:rPr>
            <w:t>3.5. 公辅工程</w:t>
          </w:r>
          <w:r>
            <w:rPr>
              <w:color w:val="auto"/>
              <w:highlight w:val="none"/>
            </w:rPr>
            <w:tab/>
          </w:r>
          <w:r>
            <w:rPr>
              <w:color w:val="auto"/>
              <w:highlight w:val="none"/>
            </w:rPr>
            <w:fldChar w:fldCharType="begin"/>
          </w:r>
          <w:r>
            <w:rPr>
              <w:color w:val="auto"/>
              <w:highlight w:val="none"/>
            </w:rPr>
            <w:instrText xml:space="preserve"> PAGEREF _Toc5999 \h </w:instrText>
          </w:r>
          <w:r>
            <w:rPr>
              <w:color w:val="auto"/>
              <w:highlight w:val="none"/>
            </w:rPr>
            <w:fldChar w:fldCharType="separate"/>
          </w:r>
          <w:r>
            <w:rPr>
              <w:color w:val="auto"/>
              <w:highlight w:val="none"/>
            </w:rPr>
            <w:t>50</w:t>
          </w:r>
          <w:r>
            <w:rPr>
              <w:color w:val="auto"/>
              <w:highlight w:val="none"/>
            </w:rPr>
            <w:fldChar w:fldCharType="end"/>
          </w:r>
          <w:r>
            <w:rPr>
              <w:rFonts w:hint="default" w:ascii="Times New Roman" w:hAnsi="Times New Roman" w:cs="Times New Roman"/>
              <w:color w:val="auto"/>
              <w:highlight w:val="none"/>
            </w:rPr>
            <w:fldChar w:fldCharType="end"/>
          </w:r>
        </w:p>
        <w:p w14:paraId="40C745FD">
          <w:pPr>
            <w:pStyle w:val="24"/>
            <w:tabs>
              <w:tab w:val="right" w:leader="dot" w:pos="923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_Toc23526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szCs w:val="24"/>
              <w:highlight w:val="none"/>
            </w:rPr>
            <w:t>3.6. 工艺流程及污染源分析</w:t>
          </w:r>
          <w:r>
            <w:rPr>
              <w:color w:val="auto"/>
              <w:highlight w:val="none"/>
            </w:rPr>
            <w:tab/>
          </w:r>
          <w:r>
            <w:rPr>
              <w:color w:val="auto"/>
              <w:highlight w:val="none"/>
            </w:rPr>
            <w:fldChar w:fldCharType="begin"/>
          </w:r>
          <w:r>
            <w:rPr>
              <w:color w:val="auto"/>
              <w:highlight w:val="none"/>
            </w:rPr>
            <w:instrText xml:space="preserve"> PAGEREF _Toc23526 \h </w:instrText>
          </w:r>
          <w:r>
            <w:rPr>
              <w:color w:val="auto"/>
              <w:highlight w:val="none"/>
            </w:rPr>
            <w:fldChar w:fldCharType="separate"/>
          </w:r>
          <w:r>
            <w:rPr>
              <w:color w:val="auto"/>
              <w:highlight w:val="none"/>
            </w:rPr>
            <w:t>52</w:t>
          </w:r>
          <w:r>
            <w:rPr>
              <w:color w:val="auto"/>
              <w:highlight w:val="none"/>
            </w:rPr>
            <w:fldChar w:fldCharType="end"/>
          </w:r>
          <w:r>
            <w:rPr>
              <w:rFonts w:hint="default" w:ascii="Times New Roman" w:hAnsi="Times New Roman" w:cs="Times New Roman"/>
              <w:color w:val="auto"/>
              <w:highlight w:val="none"/>
            </w:rPr>
            <w:fldChar w:fldCharType="end"/>
          </w:r>
        </w:p>
        <w:p w14:paraId="7A8A7C4D">
          <w:pPr>
            <w:pStyle w:val="24"/>
            <w:tabs>
              <w:tab w:val="right" w:leader="dot" w:pos="923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_Toc25756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szCs w:val="24"/>
              <w:highlight w:val="none"/>
            </w:rPr>
            <w:t>3.7. 污染物排放情况汇总</w:t>
          </w:r>
          <w:r>
            <w:rPr>
              <w:color w:val="auto"/>
              <w:highlight w:val="none"/>
            </w:rPr>
            <w:tab/>
          </w:r>
          <w:r>
            <w:rPr>
              <w:color w:val="auto"/>
              <w:highlight w:val="none"/>
            </w:rPr>
            <w:fldChar w:fldCharType="begin"/>
          </w:r>
          <w:r>
            <w:rPr>
              <w:color w:val="auto"/>
              <w:highlight w:val="none"/>
            </w:rPr>
            <w:instrText xml:space="preserve"> PAGEREF _Toc25756 \h </w:instrText>
          </w:r>
          <w:r>
            <w:rPr>
              <w:color w:val="auto"/>
              <w:highlight w:val="none"/>
            </w:rPr>
            <w:fldChar w:fldCharType="separate"/>
          </w:r>
          <w:r>
            <w:rPr>
              <w:color w:val="auto"/>
              <w:highlight w:val="none"/>
            </w:rPr>
            <w:t>63</w:t>
          </w:r>
          <w:r>
            <w:rPr>
              <w:color w:val="auto"/>
              <w:highlight w:val="none"/>
            </w:rPr>
            <w:fldChar w:fldCharType="end"/>
          </w:r>
          <w:r>
            <w:rPr>
              <w:rFonts w:hint="default" w:ascii="Times New Roman" w:hAnsi="Times New Roman" w:cs="Times New Roman"/>
              <w:color w:val="auto"/>
              <w:highlight w:val="none"/>
            </w:rPr>
            <w:fldChar w:fldCharType="end"/>
          </w:r>
        </w:p>
        <w:p w14:paraId="4CD312D8">
          <w:pPr>
            <w:pStyle w:val="24"/>
            <w:tabs>
              <w:tab w:val="right" w:leader="dot" w:pos="923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_Toc13018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szCs w:val="24"/>
              <w:highlight w:val="none"/>
            </w:rPr>
            <w:t>3.8. 清洁生产</w:t>
          </w:r>
          <w:r>
            <w:rPr>
              <w:color w:val="auto"/>
              <w:highlight w:val="none"/>
            </w:rPr>
            <w:tab/>
          </w:r>
          <w:r>
            <w:rPr>
              <w:color w:val="auto"/>
              <w:highlight w:val="none"/>
            </w:rPr>
            <w:fldChar w:fldCharType="begin"/>
          </w:r>
          <w:r>
            <w:rPr>
              <w:color w:val="auto"/>
              <w:highlight w:val="none"/>
            </w:rPr>
            <w:instrText xml:space="preserve"> PAGEREF _Toc13018 \h </w:instrText>
          </w:r>
          <w:r>
            <w:rPr>
              <w:color w:val="auto"/>
              <w:highlight w:val="none"/>
            </w:rPr>
            <w:fldChar w:fldCharType="separate"/>
          </w:r>
          <w:r>
            <w:rPr>
              <w:color w:val="auto"/>
              <w:highlight w:val="none"/>
            </w:rPr>
            <w:t>65</w:t>
          </w:r>
          <w:r>
            <w:rPr>
              <w:color w:val="auto"/>
              <w:highlight w:val="none"/>
            </w:rPr>
            <w:fldChar w:fldCharType="end"/>
          </w:r>
          <w:r>
            <w:rPr>
              <w:rFonts w:hint="default" w:ascii="Times New Roman" w:hAnsi="Times New Roman" w:cs="Times New Roman"/>
              <w:color w:val="auto"/>
              <w:highlight w:val="none"/>
            </w:rPr>
            <w:fldChar w:fldCharType="end"/>
          </w:r>
        </w:p>
        <w:p w14:paraId="618535A5">
          <w:pPr>
            <w:pStyle w:val="24"/>
            <w:tabs>
              <w:tab w:val="right" w:leader="dot" w:pos="923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_Toc3826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szCs w:val="24"/>
              <w:highlight w:val="none"/>
            </w:rPr>
            <w:t>3.9. 总量控制</w:t>
          </w:r>
          <w:r>
            <w:rPr>
              <w:color w:val="auto"/>
              <w:highlight w:val="none"/>
            </w:rPr>
            <w:tab/>
          </w:r>
          <w:r>
            <w:rPr>
              <w:color w:val="auto"/>
              <w:highlight w:val="none"/>
            </w:rPr>
            <w:fldChar w:fldCharType="begin"/>
          </w:r>
          <w:r>
            <w:rPr>
              <w:color w:val="auto"/>
              <w:highlight w:val="none"/>
            </w:rPr>
            <w:instrText xml:space="preserve"> PAGEREF _Toc3826 \h </w:instrText>
          </w:r>
          <w:r>
            <w:rPr>
              <w:color w:val="auto"/>
              <w:highlight w:val="none"/>
            </w:rPr>
            <w:fldChar w:fldCharType="separate"/>
          </w:r>
          <w:r>
            <w:rPr>
              <w:color w:val="auto"/>
              <w:highlight w:val="none"/>
            </w:rPr>
            <w:t>68</w:t>
          </w:r>
          <w:r>
            <w:rPr>
              <w:color w:val="auto"/>
              <w:highlight w:val="none"/>
            </w:rPr>
            <w:fldChar w:fldCharType="end"/>
          </w:r>
          <w:r>
            <w:rPr>
              <w:rFonts w:hint="default" w:ascii="Times New Roman" w:hAnsi="Times New Roman" w:cs="Times New Roman"/>
              <w:color w:val="auto"/>
              <w:highlight w:val="none"/>
            </w:rPr>
            <w:fldChar w:fldCharType="end"/>
          </w:r>
        </w:p>
        <w:p w14:paraId="2275C52F">
          <w:pPr>
            <w:pStyle w:val="22"/>
            <w:tabs>
              <w:tab w:val="right" w:leader="dot" w:pos="923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_Toc26211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szCs w:val="24"/>
              <w:highlight w:val="none"/>
            </w:rPr>
            <w:t>4. 环境现状调查与评价</w:t>
          </w:r>
          <w:r>
            <w:rPr>
              <w:color w:val="auto"/>
              <w:highlight w:val="none"/>
            </w:rPr>
            <w:tab/>
          </w:r>
          <w:r>
            <w:rPr>
              <w:color w:val="auto"/>
              <w:highlight w:val="none"/>
            </w:rPr>
            <w:fldChar w:fldCharType="begin"/>
          </w:r>
          <w:r>
            <w:rPr>
              <w:color w:val="auto"/>
              <w:highlight w:val="none"/>
            </w:rPr>
            <w:instrText xml:space="preserve"> PAGEREF _Toc26211 \h </w:instrText>
          </w:r>
          <w:r>
            <w:rPr>
              <w:color w:val="auto"/>
              <w:highlight w:val="none"/>
            </w:rPr>
            <w:fldChar w:fldCharType="separate"/>
          </w:r>
          <w:r>
            <w:rPr>
              <w:color w:val="auto"/>
              <w:highlight w:val="none"/>
            </w:rPr>
            <w:t>69</w:t>
          </w:r>
          <w:r>
            <w:rPr>
              <w:color w:val="auto"/>
              <w:highlight w:val="none"/>
            </w:rPr>
            <w:fldChar w:fldCharType="end"/>
          </w:r>
          <w:r>
            <w:rPr>
              <w:rFonts w:hint="default" w:ascii="Times New Roman" w:hAnsi="Times New Roman" w:cs="Times New Roman"/>
              <w:color w:val="auto"/>
              <w:highlight w:val="none"/>
            </w:rPr>
            <w:fldChar w:fldCharType="end"/>
          </w:r>
        </w:p>
        <w:p w14:paraId="42849A74">
          <w:pPr>
            <w:pStyle w:val="24"/>
            <w:tabs>
              <w:tab w:val="right" w:leader="dot" w:pos="923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_Toc7252 </w:instrText>
          </w:r>
          <w:r>
            <w:rPr>
              <w:rFonts w:hint="default" w:ascii="Times New Roman" w:hAnsi="Times New Roman" w:cs="Times New Roman"/>
              <w:color w:val="auto"/>
              <w:highlight w:val="none"/>
            </w:rPr>
            <w:fldChar w:fldCharType="separate"/>
          </w:r>
          <w:r>
            <w:rPr>
              <w:rFonts w:hint="default"/>
              <w:color w:val="auto"/>
              <w:highlight w:val="none"/>
            </w:rPr>
            <w:t>4.1. 自然环境现状调查与评价</w:t>
          </w:r>
          <w:r>
            <w:rPr>
              <w:color w:val="auto"/>
              <w:highlight w:val="none"/>
            </w:rPr>
            <w:tab/>
          </w:r>
          <w:r>
            <w:rPr>
              <w:color w:val="auto"/>
              <w:highlight w:val="none"/>
            </w:rPr>
            <w:fldChar w:fldCharType="begin"/>
          </w:r>
          <w:r>
            <w:rPr>
              <w:color w:val="auto"/>
              <w:highlight w:val="none"/>
            </w:rPr>
            <w:instrText xml:space="preserve"> PAGEREF _Toc7252 \h </w:instrText>
          </w:r>
          <w:r>
            <w:rPr>
              <w:color w:val="auto"/>
              <w:highlight w:val="none"/>
            </w:rPr>
            <w:fldChar w:fldCharType="separate"/>
          </w:r>
          <w:r>
            <w:rPr>
              <w:color w:val="auto"/>
              <w:highlight w:val="none"/>
            </w:rPr>
            <w:t>69</w:t>
          </w:r>
          <w:r>
            <w:rPr>
              <w:color w:val="auto"/>
              <w:highlight w:val="none"/>
            </w:rPr>
            <w:fldChar w:fldCharType="end"/>
          </w:r>
          <w:r>
            <w:rPr>
              <w:rFonts w:hint="default" w:ascii="Times New Roman" w:hAnsi="Times New Roman" w:cs="Times New Roman"/>
              <w:color w:val="auto"/>
              <w:highlight w:val="none"/>
            </w:rPr>
            <w:fldChar w:fldCharType="end"/>
          </w:r>
        </w:p>
        <w:p w14:paraId="5E54CAB8">
          <w:pPr>
            <w:pStyle w:val="24"/>
            <w:tabs>
              <w:tab w:val="right" w:leader="dot" w:pos="923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_Toc1890 </w:instrText>
          </w:r>
          <w:r>
            <w:rPr>
              <w:rFonts w:hint="default" w:ascii="Times New Roman" w:hAnsi="Times New Roman" w:cs="Times New Roman"/>
              <w:color w:val="auto"/>
              <w:highlight w:val="none"/>
            </w:rPr>
            <w:fldChar w:fldCharType="separate"/>
          </w:r>
          <w:r>
            <w:rPr>
              <w:rFonts w:hint="default"/>
              <w:color w:val="auto"/>
              <w:highlight w:val="none"/>
            </w:rPr>
            <w:t>4.2. 新疆阜康市彩南国家沙化土地封禁保护区</w:t>
          </w:r>
          <w:r>
            <w:rPr>
              <w:color w:val="auto"/>
              <w:highlight w:val="none"/>
            </w:rPr>
            <w:tab/>
          </w:r>
          <w:r>
            <w:rPr>
              <w:color w:val="auto"/>
              <w:highlight w:val="none"/>
            </w:rPr>
            <w:fldChar w:fldCharType="begin"/>
          </w:r>
          <w:r>
            <w:rPr>
              <w:color w:val="auto"/>
              <w:highlight w:val="none"/>
            </w:rPr>
            <w:instrText xml:space="preserve"> PAGEREF _Toc1890 \h </w:instrText>
          </w:r>
          <w:r>
            <w:rPr>
              <w:color w:val="auto"/>
              <w:highlight w:val="none"/>
            </w:rPr>
            <w:fldChar w:fldCharType="separate"/>
          </w:r>
          <w:r>
            <w:rPr>
              <w:color w:val="auto"/>
              <w:highlight w:val="none"/>
            </w:rPr>
            <w:t>75</w:t>
          </w:r>
          <w:r>
            <w:rPr>
              <w:color w:val="auto"/>
              <w:highlight w:val="none"/>
            </w:rPr>
            <w:fldChar w:fldCharType="end"/>
          </w:r>
          <w:r>
            <w:rPr>
              <w:rFonts w:hint="default" w:ascii="Times New Roman" w:hAnsi="Times New Roman" w:cs="Times New Roman"/>
              <w:color w:val="auto"/>
              <w:highlight w:val="none"/>
            </w:rPr>
            <w:fldChar w:fldCharType="end"/>
          </w:r>
        </w:p>
        <w:p w14:paraId="459660E6">
          <w:pPr>
            <w:pStyle w:val="24"/>
            <w:tabs>
              <w:tab w:val="right" w:leader="dot" w:pos="923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_Toc6787 </w:instrText>
          </w:r>
          <w:r>
            <w:rPr>
              <w:rFonts w:hint="default" w:ascii="Times New Roman" w:hAnsi="Times New Roman" w:cs="Times New Roman"/>
              <w:color w:val="auto"/>
              <w:highlight w:val="none"/>
            </w:rPr>
            <w:fldChar w:fldCharType="separate"/>
          </w:r>
          <w:r>
            <w:rPr>
              <w:rFonts w:hint="default"/>
              <w:color w:val="auto"/>
              <w:highlight w:val="none"/>
            </w:rPr>
            <w:t>4.3. 环境质量现状调查与评价</w:t>
          </w:r>
          <w:r>
            <w:rPr>
              <w:color w:val="auto"/>
              <w:highlight w:val="none"/>
            </w:rPr>
            <w:tab/>
          </w:r>
          <w:r>
            <w:rPr>
              <w:color w:val="auto"/>
              <w:highlight w:val="none"/>
            </w:rPr>
            <w:fldChar w:fldCharType="begin"/>
          </w:r>
          <w:r>
            <w:rPr>
              <w:color w:val="auto"/>
              <w:highlight w:val="none"/>
            </w:rPr>
            <w:instrText xml:space="preserve"> PAGEREF _Toc6787 \h </w:instrText>
          </w:r>
          <w:r>
            <w:rPr>
              <w:color w:val="auto"/>
              <w:highlight w:val="none"/>
            </w:rPr>
            <w:fldChar w:fldCharType="separate"/>
          </w:r>
          <w:r>
            <w:rPr>
              <w:color w:val="auto"/>
              <w:highlight w:val="none"/>
            </w:rPr>
            <w:t>76</w:t>
          </w:r>
          <w:r>
            <w:rPr>
              <w:color w:val="auto"/>
              <w:highlight w:val="none"/>
            </w:rPr>
            <w:fldChar w:fldCharType="end"/>
          </w:r>
          <w:r>
            <w:rPr>
              <w:rFonts w:hint="default" w:ascii="Times New Roman" w:hAnsi="Times New Roman" w:cs="Times New Roman"/>
              <w:color w:val="auto"/>
              <w:highlight w:val="none"/>
            </w:rPr>
            <w:fldChar w:fldCharType="end"/>
          </w:r>
        </w:p>
        <w:p w14:paraId="113555F7">
          <w:pPr>
            <w:pStyle w:val="22"/>
            <w:tabs>
              <w:tab w:val="right" w:leader="dot" w:pos="923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_Toc13169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szCs w:val="24"/>
              <w:highlight w:val="none"/>
            </w:rPr>
            <w:t>5. 环境影响预测与评价</w:t>
          </w:r>
          <w:r>
            <w:rPr>
              <w:color w:val="auto"/>
              <w:highlight w:val="none"/>
            </w:rPr>
            <w:tab/>
          </w:r>
          <w:r>
            <w:rPr>
              <w:color w:val="auto"/>
              <w:highlight w:val="none"/>
            </w:rPr>
            <w:fldChar w:fldCharType="begin"/>
          </w:r>
          <w:r>
            <w:rPr>
              <w:color w:val="auto"/>
              <w:highlight w:val="none"/>
            </w:rPr>
            <w:instrText xml:space="preserve"> PAGEREF _Toc13169 \h </w:instrText>
          </w:r>
          <w:r>
            <w:rPr>
              <w:color w:val="auto"/>
              <w:highlight w:val="none"/>
            </w:rPr>
            <w:fldChar w:fldCharType="separate"/>
          </w:r>
          <w:r>
            <w:rPr>
              <w:color w:val="auto"/>
              <w:highlight w:val="none"/>
            </w:rPr>
            <w:t>97</w:t>
          </w:r>
          <w:r>
            <w:rPr>
              <w:color w:val="auto"/>
              <w:highlight w:val="none"/>
            </w:rPr>
            <w:fldChar w:fldCharType="end"/>
          </w:r>
          <w:r>
            <w:rPr>
              <w:rFonts w:hint="default" w:ascii="Times New Roman" w:hAnsi="Times New Roman" w:cs="Times New Roman"/>
              <w:color w:val="auto"/>
              <w:highlight w:val="none"/>
            </w:rPr>
            <w:fldChar w:fldCharType="end"/>
          </w:r>
        </w:p>
        <w:p w14:paraId="5375F975">
          <w:pPr>
            <w:pStyle w:val="24"/>
            <w:tabs>
              <w:tab w:val="right" w:leader="dot" w:pos="923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_Toc17442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szCs w:val="24"/>
              <w:highlight w:val="none"/>
            </w:rPr>
            <w:t>5.1. 施工期环境影响预测与评价</w:t>
          </w:r>
          <w:r>
            <w:rPr>
              <w:color w:val="auto"/>
              <w:highlight w:val="none"/>
            </w:rPr>
            <w:tab/>
          </w:r>
          <w:r>
            <w:rPr>
              <w:color w:val="auto"/>
              <w:highlight w:val="none"/>
            </w:rPr>
            <w:fldChar w:fldCharType="begin"/>
          </w:r>
          <w:r>
            <w:rPr>
              <w:color w:val="auto"/>
              <w:highlight w:val="none"/>
            </w:rPr>
            <w:instrText xml:space="preserve"> PAGEREF _Toc17442 \h </w:instrText>
          </w:r>
          <w:r>
            <w:rPr>
              <w:color w:val="auto"/>
              <w:highlight w:val="none"/>
            </w:rPr>
            <w:fldChar w:fldCharType="separate"/>
          </w:r>
          <w:r>
            <w:rPr>
              <w:color w:val="auto"/>
              <w:highlight w:val="none"/>
            </w:rPr>
            <w:t>97</w:t>
          </w:r>
          <w:r>
            <w:rPr>
              <w:color w:val="auto"/>
              <w:highlight w:val="none"/>
            </w:rPr>
            <w:fldChar w:fldCharType="end"/>
          </w:r>
          <w:r>
            <w:rPr>
              <w:rFonts w:hint="default" w:ascii="Times New Roman" w:hAnsi="Times New Roman" w:cs="Times New Roman"/>
              <w:color w:val="auto"/>
              <w:highlight w:val="none"/>
            </w:rPr>
            <w:fldChar w:fldCharType="end"/>
          </w:r>
        </w:p>
        <w:p w14:paraId="52DE9D70">
          <w:pPr>
            <w:pStyle w:val="24"/>
            <w:tabs>
              <w:tab w:val="right" w:leader="dot" w:pos="923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_Toc18512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szCs w:val="24"/>
              <w:highlight w:val="none"/>
            </w:rPr>
            <w:t>5.2. 运营期环境影响预测与评价</w:t>
          </w:r>
          <w:r>
            <w:rPr>
              <w:color w:val="auto"/>
              <w:highlight w:val="none"/>
            </w:rPr>
            <w:tab/>
          </w:r>
          <w:r>
            <w:rPr>
              <w:color w:val="auto"/>
              <w:highlight w:val="none"/>
            </w:rPr>
            <w:fldChar w:fldCharType="begin"/>
          </w:r>
          <w:r>
            <w:rPr>
              <w:color w:val="auto"/>
              <w:highlight w:val="none"/>
            </w:rPr>
            <w:instrText xml:space="preserve"> PAGEREF _Toc18512 \h </w:instrText>
          </w:r>
          <w:r>
            <w:rPr>
              <w:color w:val="auto"/>
              <w:highlight w:val="none"/>
            </w:rPr>
            <w:fldChar w:fldCharType="separate"/>
          </w:r>
          <w:r>
            <w:rPr>
              <w:color w:val="auto"/>
              <w:highlight w:val="none"/>
            </w:rPr>
            <w:t>102</w:t>
          </w:r>
          <w:r>
            <w:rPr>
              <w:color w:val="auto"/>
              <w:highlight w:val="none"/>
            </w:rPr>
            <w:fldChar w:fldCharType="end"/>
          </w:r>
          <w:r>
            <w:rPr>
              <w:rFonts w:hint="default" w:ascii="Times New Roman" w:hAnsi="Times New Roman" w:cs="Times New Roman"/>
              <w:color w:val="auto"/>
              <w:highlight w:val="none"/>
            </w:rPr>
            <w:fldChar w:fldCharType="end"/>
          </w:r>
        </w:p>
        <w:p w14:paraId="6E82CF30">
          <w:pPr>
            <w:pStyle w:val="22"/>
            <w:tabs>
              <w:tab w:val="right" w:leader="dot" w:pos="923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_Toc8114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szCs w:val="24"/>
              <w:highlight w:val="none"/>
            </w:rPr>
            <w:t>6. 环境保护措施及其可行性分析</w:t>
          </w:r>
          <w:r>
            <w:rPr>
              <w:color w:val="auto"/>
              <w:highlight w:val="none"/>
            </w:rPr>
            <w:tab/>
          </w:r>
          <w:r>
            <w:rPr>
              <w:color w:val="auto"/>
              <w:highlight w:val="none"/>
            </w:rPr>
            <w:fldChar w:fldCharType="begin"/>
          </w:r>
          <w:r>
            <w:rPr>
              <w:color w:val="auto"/>
              <w:highlight w:val="none"/>
            </w:rPr>
            <w:instrText xml:space="preserve"> PAGEREF _Toc8114 \h </w:instrText>
          </w:r>
          <w:r>
            <w:rPr>
              <w:color w:val="auto"/>
              <w:highlight w:val="none"/>
            </w:rPr>
            <w:fldChar w:fldCharType="separate"/>
          </w:r>
          <w:r>
            <w:rPr>
              <w:color w:val="auto"/>
              <w:highlight w:val="none"/>
            </w:rPr>
            <w:t>145</w:t>
          </w:r>
          <w:r>
            <w:rPr>
              <w:color w:val="auto"/>
              <w:highlight w:val="none"/>
            </w:rPr>
            <w:fldChar w:fldCharType="end"/>
          </w:r>
          <w:r>
            <w:rPr>
              <w:rFonts w:hint="default" w:ascii="Times New Roman" w:hAnsi="Times New Roman" w:cs="Times New Roman"/>
              <w:color w:val="auto"/>
              <w:highlight w:val="none"/>
            </w:rPr>
            <w:fldChar w:fldCharType="end"/>
          </w:r>
        </w:p>
        <w:p w14:paraId="238A88B2">
          <w:pPr>
            <w:pStyle w:val="24"/>
            <w:tabs>
              <w:tab w:val="right" w:leader="dot" w:pos="923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_Toc1264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szCs w:val="24"/>
              <w:highlight w:val="none"/>
            </w:rPr>
            <w:t>6.1. 施工期环境保护措施及其可行性分析</w:t>
          </w:r>
          <w:r>
            <w:rPr>
              <w:color w:val="auto"/>
              <w:highlight w:val="none"/>
            </w:rPr>
            <w:tab/>
          </w:r>
          <w:r>
            <w:rPr>
              <w:color w:val="auto"/>
              <w:highlight w:val="none"/>
            </w:rPr>
            <w:fldChar w:fldCharType="begin"/>
          </w:r>
          <w:r>
            <w:rPr>
              <w:color w:val="auto"/>
              <w:highlight w:val="none"/>
            </w:rPr>
            <w:instrText xml:space="preserve"> PAGEREF _Toc1264 \h </w:instrText>
          </w:r>
          <w:r>
            <w:rPr>
              <w:color w:val="auto"/>
              <w:highlight w:val="none"/>
            </w:rPr>
            <w:fldChar w:fldCharType="separate"/>
          </w:r>
          <w:r>
            <w:rPr>
              <w:color w:val="auto"/>
              <w:highlight w:val="none"/>
            </w:rPr>
            <w:t>145</w:t>
          </w:r>
          <w:r>
            <w:rPr>
              <w:color w:val="auto"/>
              <w:highlight w:val="none"/>
            </w:rPr>
            <w:fldChar w:fldCharType="end"/>
          </w:r>
          <w:r>
            <w:rPr>
              <w:rFonts w:hint="default" w:ascii="Times New Roman" w:hAnsi="Times New Roman" w:cs="Times New Roman"/>
              <w:color w:val="auto"/>
              <w:highlight w:val="none"/>
            </w:rPr>
            <w:fldChar w:fldCharType="end"/>
          </w:r>
        </w:p>
        <w:p w14:paraId="18EAD6D2">
          <w:pPr>
            <w:pStyle w:val="24"/>
            <w:tabs>
              <w:tab w:val="right" w:leader="dot" w:pos="923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_Toc32370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szCs w:val="24"/>
              <w:highlight w:val="none"/>
            </w:rPr>
            <w:t>6.2. 运营期环境保护措施及其可行性分析</w:t>
          </w:r>
          <w:r>
            <w:rPr>
              <w:color w:val="auto"/>
              <w:highlight w:val="none"/>
            </w:rPr>
            <w:tab/>
          </w:r>
          <w:r>
            <w:rPr>
              <w:color w:val="auto"/>
              <w:highlight w:val="none"/>
            </w:rPr>
            <w:fldChar w:fldCharType="begin"/>
          </w:r>
          <w:r>
            <w:rPr>
              <w:color w:val="auto"/>
              <w:highlight w:val="none"/>
            </w:rPr>
            <w:instrText xml:space="preserve"> PAGEREF _Toc32370 \h </w:instrText>
          </w:r>
          <w:r>
            <w:rPr>
              <w:color w:val="auto"/>
              <w:highlight w:val="none"/>
            </w:rPr>
            <w:fldChar w:fldCharType="separate"/>
          </w:r>
          <w:r>
            <w:rPr>
              <w:color w:val="auto"/>
              <w:highlight w:val="none"/>
            </w:rPr>
            <w:t>148</w:t>
          </w:r>
          <w:r>
            <w:rPr>
              <w:color w:val="auto"/>
              <w:highlight w:val="none"/>
            </w:rPr>
            <w:fldChar w:fldCharType="end"/>
          </w:r>
          <w:r>
            <w:rPr>
              <w:rFonts w:hint="default" w:ascii="Times New Roman" w:hAnsi="Times New Roman" w:cs="Times New Roman"/>
              <w:color w:val="auto"/>
              <w:highlight w:val="none"/>
            </w:rPr>
            <w:fldChar w:fldCharType="end"/>
          </w:r>
        </w:p>
        <w:p w14:paraId="197819E6">
          <w:pPr>
            <w:pStyle w:val="22"/>
            <w:tabs>
              <w:tab w:val="right" w:leader="dot" w:pos="923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_Toc22313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szCs w:val="24"/>
              <w:highlight w:val="none"/>
            </w:rPr>
            <w:t>7. 环境影响经济损益分析</w:t>
          </w:r>
          <w:r>
            <w:rPr>
              <w:color w:val="auto"/>
              <w:highlight w:val="none"/>
            </w:rPr>
            <w:tab/>
          </w:r>
          <w:r>
            <w:rPr>
              <w:color w:val="auto"/>
              <w:highlight w:val="none"/>
            </w:rPr>
            <w:fldChar w:fldCharType="begin"/>
          </w:r>
          <w:r>
            <w:rPr>
              <w:color w:val="auto"/>
              <w:highlight w:val="none"/>
            </w:rPr>
            <w:instrText xml:space="preserve"> PAGEREF _Toc22313 \h </w:instrText>
          </w:r>
          <w:r>
            <w:rPr>
              <w:color w:val="auto"/>
              <w:highlight w:val="none"/>
            </w:rPr>
            <w:fldChar w:fldCharType="separate"/>
          </w:r>
          <w:r>
            <w:rPr>
              <w:color w:val="auto"/>
              <w:highlight w:val="none"/>
            </w:rPr>
            <w:t>161</w:t>
          </w:r>
          <w:r>
            <w:rPr>
              <w:color w:val="auto"/>
              <w:highlight w:val="none"/>
            </w:rPr>
            <w:fldChar w:fldCharType="end"/>
          </w:r>
          <w:r>
            <w:rPr>
              <w:rFonts w:hint="default" w:ascii="Times New Roman" w:hAnsi="Times New Roman" w:cs="Times New Roman"/>
              <w:color w:val="auto"/>
              <w:highlight w:val="none"/>
            </w:rPr>
            <w:fldChar w:fldCharType="end"/>
          </w:r>
        </w:p>
        <w:p w14:paraId="7D07B0D9">
          <w:pPr>
            <w:pStyle w:val="24"/>
            <w:tabs>
              <w:tab w:val="right" w:leader="dot" w:pos="923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_Toc31356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lang w:val="en-US" w:eastAsia="zh-CN"/>
            </w:rPr>
            <w:t>7.1. 社会效益分析</w:t>
          </w:r>
          <w:r>
            <w:rPr>
              <w:color w:val="auto"/>
              <w:highlight w:val="none"/>
            </w:rPr>
            <w:tab/>
          </w:r>
          <w:r>
            <w:rPr>
              <w:color w:val="auto"/>
              <w:highlight w:val="none"/>
            </w:rPr>
            <w:fldChar w:fldCharType="begin"/>
          </w:r>
          <w:r>
            <w:rPr>
              <w:color w:val="auto"/>
              <w:highlight w:val="none"/>
            </w:rPr>
            <w:instrText xml:space="preserve"> PAGEREF _Toc31356 \h </w:instrText>
          </w:r>
          <w:r>
            <w:rPr>
              <w:color w:val="auto"/>
              <w:highlight w:val="none"/>
            </w:rPr>
            <w:fldChar w:fldCharType="separate"/>
          </w:r>
          <w:r>
            <w:rPr>
              <w:color w:val="auto"/>
              <w:highlight w:val="none"/>
            </w:rPr>
            <w:t>161</w:t>
          </w:r>
          <w:r>
            <w:rPr>
              <w:color w:val="auto"/>
              <w:highlight w:val="none"/>
            </w:rPr>
            <w:fldChar w:fldCharType="end"/>
          </w:r>
          <w:r>
            <w:rPr>
              <w:rFonts w:hint="default" w:ascii="Times New Roman" w:hAnsi="Times New Roman" w:cs="Times New Roman"/>
              <w:color w:val="auto"/>
              <w:highlight w:val="none"/>
            </w:rPr>
            <w:fldChar w:fldCharType="end"/>
          </w:r>
        </w:p>
        <w:p w14:paraId="5CA663DE">
          <w:pPr>
            <w:pStyle w:val="24"/>
            <w:tabs>
              <w:tab w:val="right" w:leader="dot" w:pos="923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_Toc20622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lang w:val="en-US" w:eastAsia="zh-CN"/>
            </w:rPr>
            <w:t>7.2. 环保投资估算</w:t>
          </w:r>
          <w:r>
            <w:rPr>
              <w:color w:val="auto"/>
              <w:highlight w:val="none"/>
            </w:rPr>
            <w:tab/>
          </w:r>
          <w:r>
            <w:rPr>
              <w:color w:val="auto"/>
              <w:highlight w:val="none"/>
            </w:rPr>
            <w:fldChar w:fldCharType="begin"/>
          </w:r>
          <w:r>
            <w:rPr>
              <w:color w:val="auto"/>
              <w:highlight w:val="none"/>
            </w:rPr>
            <w:instrText xml:space="preserve"> PAGEREF _Toc20622 \h </w:instrText>
          </w:r>
          <w:r>
            <w:rPr>
              <w:color w:val="auto"/>
              <w:highlight w:val="none"/>
            </w:rPr>
            <w:fldChar w:fldCharType="separate"/>
          </w:r>
          <w:r>
            <w:rPr>
              <w:color w:val="auto"/>
              <w:highlight w:val="none"/>
            </w:rPr>
            <w:t>161</w:t>
          </w:r>
          <w:r>
            <w:rPr>
              <w:color w:val="auto"/>
              <w:highlight w:val="none"/>
            </w:rPr>
            <w:fldChar w:fldCharType="end"/>
          </w:r>
          <w:r>
            <w:rPr>
              <w:rFonts w:hint="default" w:ascii="Times New Roman" w:hAnsi="Times New Roman" w:cs="Times New Roman"/>
              <w:color w:val="auto"/>
              <w:highlight w:val="none"/>
            </w:rPr>
            <w:fldChar w:fldCharType="end"/>
          </w:r>
        </w:p>
        <w:p w14:paraId="6F40453D">
          <w:pPr>
            <w:pStyle w:val="24"/>
            <w:tabs>
              <w:tab w:val="right" w:leader="dot" w:pos="923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_Toc29931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lang w:val="en-US" w:eastAsia="zh-CN"/>
            </w:rPr>
            <w:t>7.3. 环境效益分析</w:t>
          </w:r>
          <w:r>
            <w:rPr>
              <w:color w:val="auto"/>
              <w:highlight w:val="none"/>
            </w:rPr>
            <w:tab/>
          </w:r>
          <w:r>
            <w:rPr>
              <w:color w:val="auto"/>
              <w:highlight w:val="none"/>
            </w:rPr>
            <w:fldChar w:fldCharType="begin"/>
          </w:r>
          <w:r>
            <w:rPr>
              <w:color w:val="auto"/>
              <w:highlight w:val="none"/>
            </w:rPr>
            <w:instrText xml:space="preserve"> PAGEREF _Toc29931 \h </w:instrText>
          </w:r>
          <w:r>
            <w:rPr>
              <w:color w:val="auto"/>
              <w:highlight w:val="none"/>
            </w:rPr>
            <w:fldChar w:fldCharType="separate"/>
          </w:r>
          <w:r>
            <w:rPr>
              <w:color w:val="auto"/>
              <w:highlight w:val="none"/>
            </w:rPr>
            <w:t>162</w:t>
          </w:r>
          <w:r>
            <w:rPr>
              <w:color w:val="auto"/>
              <w:highlight w:val="none"/>
            </w:rPr>
            <w:fldChar w:fldCharType="end"/>
          </w:r>
          <w:r>
            <w:rPr>
              <w:rFonts w:hint="default" w:ascii="Times New Roman" w:hAnsi="Times New Roman" w:cs="Times New Roman"/>
              <w:color w:val="auto"/>
              <w:highlight w:val="none"/>
            </w:rPr>
            <w:fldChar w:fldCharType="end"/>
          </w:r>
        </w:p>
        <w:p w14:paraId="54236E2E">
          <w:pPr>
            <w:pStyle w:val="24"/>
            <w:tabs>
              <w:tab w:val="right" w:leader="dot" w:pos="923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_Toc8204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lang w:val="en-US" w:eastAsia="zh-CN"/>
            </w:rPr>
            <w:t>7.4. 经济效益分析</w:t>
          </w:r>
          <w:r>
            <w:rPr>
              <w:color w:val="auto"/>
              <w:highlight w:val="none"/>
            </w:rPr>
            <w:tab/>
          </w:r>
          <w:r>
            <w:rPr>
              <w:color w:val="auto"/>
              <w:highlight w:val="none"/>
            </w:rPr>
            <w:fldChar w:fldCharType="begin"/>
          </w:r>
          <w:r>
            <w:rPr>
              <w:color w:val="auto"/>
              <w:highlight w:val="none"/>
            </w:rPr>
            <w:instrText xml:space="preserve"> PAGEREF _Toc8204 \h </w:instrText>
          </w:r>
          <w:r>
            <w:rPr>
              <w:color w:val="auto"/>
              <w:highlight w:val="none"/>
            </w:rPr>
            <w:fldChar w:fldCharType="separate"/>
          </w:r>
          <w:r>
            <w:rPr>
              <w:color w:val="auto"/>
              <w:highlight w:val="none"/>
            </w:rPr>
            <w:t>163</w:t>
          </w:r>
          <w:r>
            <w:rPr>
              <w:color w:val="auto"/>
              <w:highlight w:val="none"/>
            </w:rPr>
            <w:fldChar w:fldCharType="end"/>
          </w:r>
          <w:r>
            <w:rPr>
              <w:rFonts w:hint="default" w:ascii="Times New Roman" w:hAnsi="Times New Roman" w:cs="Times New Roman"/>
              <w:color w:val="auto"/>
              <w:highlight w:val="none"/>
            </w:rPr>
            <w:fldChar w:fldCharType="end"/>
          </w:r>
        </w:p>
        <w:p w14:paraId="04BB83BD">
          <w:pPr>
            <w:pStyle w:val="24"/>
            <w:tabs>
              <w:tab w:val="right" w:leader="dot" w:pos="923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_Toc29228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lang w:val="en-US" w:eastAsia="zh-CN"/>
            </w:rPr>
            <w:t>7.5. 小结</w:t>
          </w:r>
          <w:r>
            <w:rPr>
              <w:color w:val="auto"/>
              <w:highlight w:val="none"/>
            </w:rPr>
            <w:tab/>
          </w:r>
          <w:r>
            <w:rPr>
              <w:color w:val="auto"/>
              <w:highlight w:val="none"/>
            </w:rPr>
            <w:fldChar w:fldCharType="begin"/>
          </w:r>
          <w:r>
            <w:rPr>
              <w:color w:val="auto"/>
              <w:highlight w:val="none"/>
            </w:rPr>
            <w:instrText xml:space="preserve"> PAGEREF _Toc29228 \h </w:instrText>
          </w:r>
          <w:r>
            <w:rPr>
              <w:color w:val="auto"/>
              <w:highlight w:val="none"/>
            </w:rPr>
            <w:fldChar w:fldCharType="separate"/>
          </w:r>
          <w:r>
            <w:rPr>
              <w:color w:val="auto"/>
              <w:highlight w:val="none"/>
            </w:rPr>
            <w:t>163</w:t>
          </w:r>
          <w:r>
            <w:rPr>
              <w:color w:val="auto"/>
              <w:highlight w:val="none"/>
            </w:rPr>
            <w:fldChar w:fldCharType="end"/>
          </w:r>
          <w:r>
            <w:rPr>
              <w:rFonts w:hint="default" w:ascii="Times New Roman" w:hAnsi="Times New Roman" w:cs="Times New Roman"/>
              <w:color w:val="auto"/>
              <w:highlight w:val="none"/>
            </w:rPr>
            <w:fldChar w:fldCharType="end"/>
          </w:r>
        </w:p>
        <w:p w14:paraId="2DFD8E8F">
          <w:pPr>
            <w:pStyle w:val="22"/>
            <w:tabs>
              <w:tab w:val="right" w:leader="dot" w:pos="923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_Toc10280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szCs w:val="24"/>
              <w:highlight w:val="none"/>
            </w:rPr>
            <w:t>8. 环境管理与监测计划</w:t>
          </w:r>
          <w:r>
            <w:rPr>
              <w:color w:val="auto"/>
              <w:highlight w:val="none"/>
            </w:rPr>
            <w:tab/>
          </w:r>
          <w:r>
            <w:rPr>
              <w:color w:val="auto"/>
              <w:highlight w:val="none"/>
            </w:rPr>
            <w:fldChar w:fldCharType="begin"/>
          </w:r>
          <w:r>
            <w:rPr>
              <w:color w:val="auto"/>
              <w:highlight w:val="none"/>
            </w:rPr>
            <w:instrText xml:space="preserve"> PAGEREF _Toc10280 \h </w:instrText>
          </w:r>
          <w:r>
            <w:rPr>
              <w:color w:val="auto"/>
              <w:highlight w:val="none"/>
            </w:rPr>
            <w:fldChar w:fldCharType="separate"/>
          </w:r>
          <w:r>
            <w:rPr>
              <w:color w:val="auto"/>
              <w:highlight w:val="none"/>
            </w:rPr>
            <w:t>165</w:t>
          </w:r>
          <w:r>
            <w:rPr>
              <w:color w:val="auto"/>
              <w:highlight w:val="none"/>
            </w:rPr>
            <w:fldChar w:fldCharType="end"/>
          </w:r>
          <w:r>
            <w:rPr>
              <w:rFonts w:hint="default" w:ascii="Times New Roman" w:hAnsi="Times New Roman" w:cs="Times New Roman"/>
              <w:color w:val="auto"/>
              <w:highlight w:val="none"/>
            </w:rPr>
            <w:fldChar w:fldCharType="end"/>
          </w:r>
        </w:p>
        <w:p w14:paraId="735E3BF4">
          <w:pPr>
            <w:pStyle w:val="24"/>
            <w:tabs>
              <w:tab w:val="right" w:leader="dot" w:pos="923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_Toc15268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lang w:val="en-US" w:eastAsia="zh-CN"/>
            </w:rPr>
            <w:t>8.1. 建设项目环境管理</w:t>
          </w:r>
          <w:r>
            <w:rPr>
              <w:color w:val="auto"/>
              <w:highlight w:val="none"/>
            </w:rPr>
            <w:tab/>
          </w:r>
          <w:r>
            <w:rPr>
              <w:color w:val="auto"/>
              <w:highlight w:val="none"/>
            </w:rPr>
            <w:fldChar w:fldCharType="begin"/>
          </w:r>
          <w:r>
            <w:rPr>
              <w:color w:val="auto"/>
              <w:highlight w:val="none"/>
            </w:rPr>
            <w:instrText xml:space="preserve"> PAGEREF _Toc15268 \h </w:instrText>
          </w:r>
          <w:r>
            <w:rPr>
              <w:color w:val="auto"/>
              <w:highlight w:val="none"/>
            </w:rPr>
            <w:fldChar w:fldCharType="separate"/>
          </w:r>
          <w:r>
            <w:rPr>
              <w:color w:val="auto"/>
              <w:highlight w:val="none"/>
            </w:rPr>
            <w:t>165</w:t>
          </w:r>
          <w:r>
            <w:rPr>
              <w:color w:val="auto"/>
              <w:highlight w:val="none"/>
            </w:rPr>
            <w:fldChar w:fldCharType="end"/>
          </w:r>
          <w:r>
            <w:rPr>
              <w:rFonts w:hint="default" w:ascii="Times New Roman" w:hAnsi="Times New Roman" w:cs="Times New Roman"/>
              <w:color w:val="auto"/>
              <w:highlight w:val="none"/>
            </w:rPr>
            <w:fldChar w:fldCharType="end"/>
          </w:r>
        </w:p>
        <w:p w14:paraId="74C7A8D0">
          <w:pPr>
            <w:pStyle w:val="24"/>
            <w:tabs>
              <w:tab w:val="right" w:leader="dot" w:pos="923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_Toc6845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lang w:val="en-US" w:eastAsia="zh-CN"/>
            </w:rPr>
            <w:t>8.2. 施工期环境管理</w:t>
          </w:r>
          <w:r>
            <w:rPr>
              <w:color w:val="auto"/>
              <w:highlight w:val="none"/>
            </w:rPr>
            <w:tab/>
          </w:r>
          <w:r>
            <w:rPr>
              <w:color w:val="auto"/>
              <w:highlight w:val="none"/>
            </w:rPr>
            <w:fldChar w:fldCharType="begin"/>
          </w:r>
          <w:r>
            <w:rPr>
              <w:color w:val="auto"/>
              <w:highlight w:val="none"/>
            </w:rPr>
            <w:instrText xml:space="preserve"> PAGEREF _Toc6845 \h </w:instrText>
          </w:r>
          <w:r>
            <w:rPr>
              <w:color w:val="auto"/>
              <w:highlight w:val="none"/>
            </w:rPr>
            <w:fldChar w:fldCharType="separate"/>
          </w:r>
          <w:r>
            <w:rPr>
              <w:color w:val="auto"/>
              <w:highlight w:val="none"/>
            </w:rPr>
            <w:t>169</w:t>
          </w:r>
          <w:r>
            <w:rPr>
              <w:color w:val="auto"/>
              <w:highlight w:val="none"/>
            </w:rPr>
            <w:fldChar w:fldCharType="end"/>
          </w:r>
          <w:r>
            <w:rPr>
              <w:rFonts w:hint="default" w:ascii="Times New Roman" w:hAnsi="Times New Roman" w:cs="Times New Roman"/>
              <w:color w:val="auto"/>
              <w:highlight w:val="none"/>
            </w:rPr>
            <w:fldChar w:fldCharType="end"/>
          </w:r>
        </w:p>
        <w:p w14:paraId="13DC4DB1">
          <w:pPr>
            <w:pStyle w:val="24"/>
            <w:tabs>
              <w:tab w:val="right" w:leader="dot" w:pos="923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_Toc12091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lang w:val="en-US" w:eastAsia="zh-CN"/>
            </w:rPr>
            <w:t>8.3. 环境监测计划</w:t>
          </w:r>
          <w:r>
            <w:rPr>
              <w:color w:val="auto"/>
              <w:highlight w:val="none"/>
            </w:rPr>
            <w:tab/>
          </w:r>
          <w:r>
            <w:rPr>
              <w:color w:val="auto"/>
              <w:highlight w:val="none"/>
            </w:rPr>
            <w:fldChar w:fldCharType="begin"/>
          </w:r>
          <w:r>
            <w:rPr>
              <w:color w:val="auto"/>
              <w:highlight w:val="none"/>
            </w:rPr>
            <w:instrText xml:space="preserve"> PAGEREF _Toc12091 \h </w:instrText>
          </w:r>
          <w:r>
            <w:rPr>
              <w:color w:val="auto"/>
              <w:highlight w:val="none"/>
            </w:rPr>
            <w:fldChar w:fldCharType="separate"/>
          </w:r>
          <w:r>
            <w:rPr>
              <w:color w:val="auto"/>
              <w:highlight w:val="none"/>
            </w:rPr>
            <w:t>170</w:t>
          </w:r>
          <w:r>
            <w:rPr>
              <w:color w:val="auto"/>
              <w:highlight w:val="none"/>
            </w:rPr>
            <w:fldChar w:fldCharType="end"/>
          </w:r>
          <w:r>
            <w:rPr>
              <w:rFonts w:hint="default" w:ascii="Times New Roman" w:hAnsi="Times New Roman" w:cs="Times New Roman"/>
              <w:color w:val="auto"/>
              <w:highlight w:val="none"/>
            </w:rPr>
            <w:fldChar w:fldCharType="end"/>
          </w:r>
        </w:p>
        <w:p w14:paraId="3B36FD0D">
          <w:pPr>
            <w:pStyle w:val="24"/>
            <w:tabs>
              <w:tab w:val="right" w:leader="dot" w:pos="923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_Toc8469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lang w:val="en-US" w:eastAsia="zh-CN"/>
            </w:rPr>
            <w:t>8.4. 环境管理措施及环保行动计划</w:t>
          </w:r>
          <w:r>
            <w:rPr>
              <w:color w:val="auto"/>
              <w:highlight w:val="none"/>
            </w:rPr>
            <w:tab/>
          </w:r>
          <w:r>
            <w:rPr>
              <w:color w:val="auto"/>
              <w:highlight w:val="none"/>
            </w:rPr>
            <w:fldChar w:fldCharType="begin"/>
          </w:r>
          <w:r>
            <w:rPr>
              <w:color w:val="auto"/>
              <w:highlight w:val="none"/>
            </w:rPr>
            <w:instrText xml:space="preserve"> PAGEREF _Toc8469 \h </w:instrText>
          </w:r>
          <w:r>
            <w:rPr>
              <w:color w:val="auto"/>
              <w:highlight w:val="none"/>
            </w:rPr>
            <w:fldChar w:fldCharType="separate"/>
          </w:r>
          <w:r>
            <w:rPr>
              <w:color w:val="auto"/>
              <w:highlight w:val="none"/>
            </w:rPr>
            <w:t>171</w:t>
          </w:r>
          <w:r>
            <w:rPr>
              <w:color w:val="auto"/>
              <w:highlight w:val="none"/>
            </w:rPr>
            <w:fldChar w:fldCharType="end"/>
          </w:r>
          <w:r>
            <w:rPr>
              <w:rFonts w:hint="default" w:ascii="Times New Roman" w:hAnsi="Times New Roman" w:cs="Times New Roman"/>
              <w:color w:val="auto"/>
              <w:highlight w:val="none"/>
            </w:rPr>
            <w:fldChar w:fldCharType="end"/>
          </w:r>
        </w:p>
        <w:p w14:paraId="27B74C05">
          <w:pPr>
            <w:pStyle w:val="24"/>
            <w:tabs>
              <w:tab w:val="right" w:leader="dot" w:pos="923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_Toc12155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8.5. 环境保护“三同时”验收</w:t>
          </w:r>
          <w:r>
            <w:rPr>
              <w:color w:val="auto"/>
              <w:highlight w:val="none"/>
            </w:rPr>
            <w:tab/>
          </w:r>
          <w:r>
            <w:rPr>
              <w:color w:val="auto"/>
              <w:highlight w:val="none"/>
            </w:rPr>
            <w:fldChar w:fldCharType="begin"/>
          </w:r>
          <w:r>
            <w:rPr>
              <w:color w:val="auto"/>
              <w:highlight w:val="none"/>
            </w:rPr>
            <w:instrText xml:space="preserve"> PAGEREF _Toc12155 \h </w:instrText>
          </w:r>
          <w:r>
            <w:rPr>
              <w:color w:val="auto"/>
              <w:highlight w:val="none"/>
            </w:rPr>
            <w:fldChar w:fldCharType="separate"/>
          </w:r>
          <w:r>
            <w:rPr>
              <w:color w:val="auto"/>
              <w:highlight w:val="none"/>
            </w:rPr>
            <w:t>172</w:t>
          </w:r>
          <w:r>
            <w:rPr>
              <w:color w:val="auto"/>
              <w:highlight w:val="none"/>
            </w:rPr>
            <w:fldChar w:fldCharType="end"/>
          </w:r>
          <w:r>
            <w:rPr>
              <w:rFonts w:hint="default" w:ascii="Times New Roman" w:hAnsi="Times New Roman" w:cs="Times New Roman"/>
              <w:color w:val="auto"/>
              <w:highlight w:val="none"/>
            </w:rPr>
            <w:fldChar w:fldCharType="end"/>
          </w:r>
        </w:p>
        <w:p w14:paraId="0737EDFD">
          <w:pPr>
            <w:pStyle w:val="24"/>
            <w:tabs>
              <w:tab w:val="right" w:leader="dot" w:pos="923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_Toc17049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szCs w:val="24"/>
              <w:highlight w:val="none"/>
            </w:rPr>
            <w:t>8.6. 污染物排放情况</w:t>
          </w:r>
          <w:r>
            <w:rPr>
              <w:color w:val="auto"/>
              <w:highlight w:val="none"/>
            </w:rPr>
            <w:tab/>
          </w:r>
          <w:r>
            <w:rPr>
              <w:color w:val="auto"/>
              <w:highlight w:val="none"/>
            </w:rPr>
            <w:fldChar w:fldCharType="begin"/>
          </w:r>
          <w:r>
            <w:rPr>
              <w:color w:val="auto"/>
              <w:highlight w:val="none"/>
            </w:rPr>
            <w:instrText xml:space="preserve"> PAGEREF _Toc17049 \h </w:instrText>
          </w:r>
          <w:r>
            <w:rPr>
              <w:color w:val="auto"/>
              <w:highlight w:val="none"/>
            </w:rPr>
            <w:fldChar w:fldCharType="separate"/>
          </w:r>
          <w:r>
            <w:rPr>
              <w:color w:val="auto"/>
              <w:highlight w:val="none"/>
            </w:rPr>
            <w:t>174</w:t>
          </w:r>
          <w:r>
            <w:rPr>
              <w:color w:val="auto"/>
              <w:highlight w:val="none"/>
            </w:rPr>
            <w:fldChar w:fldCharType="end"/>
          </w:r>
          <w:r>
            <w:rPr>
              <w:rFonts w:hint="default" w:ascii="Times New Roman" w:hAnsi="Times New Roman" w:cs="Times New Roman"/>
              <w:color w:val="auto"/>
              <w:highlight w:val="none"/>
            </w:rPr>
            <w:fldChar w:fldCharType="end"/>
          </w:r>
        </w:p>
        <w:p w14:paraId="4D8FD8C6">
          <w:pPr>
            <w:pStyle w:val="22"/>
            <w:tabs>
              <w:tab w:val="right" w:leader="dot" w:pos="923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_Toc20412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szCs w:val="24"/>
              <w:highlight w:val="none"/>
            </w:rPr>
            <w:t>9. 环境影响评价结论与建议</w:t>
          </w:r>
          <w:r>
            <w:rPr>
              <w:color w:val="auto"/>
              <w:highlight w:val="none"/>
            </w:rPr>
            <w:tab/>
          </w:r>
          <w:r>
            <w:rPr>
              <w:color w:val="auto"/>
              <w:highlight w:val="none"/>
            </w:rPr>
            <w:fldChar w:fldCharType="begin"/>
          </w:r>
          <w:r>
            <w:rPr>
              <w:color w:val="auto"/>
              <w:highlight w:val="none"/>
            </w:rPr>
            <w:instrText xml:space="preserve"> PAGEREF _Toc20412 \h </w:instrText>
          </w:r>
          <w:r>
            <w:rPr>
              <w:color w:val="auto"/>
              <w:highlight w:val="none"/>
            </w:rPr>
            <w:fldChar w:fldCharType="separate"/>
          </w:r>
          <w:r>
            <w:rPr>
              <w:color w:val="auto"/>
              <w:highlight w:val="none"/>
            </w:rPr>
            <w:t>177</w:t>
          </w:r>
          <w:r>
            <w:rPr>
              <w:color w:val="auto"/>
              <w:highlight w:val="none"/>
            </w:rPr>
            <w:fldChar w:fldCharType="end"/>
          </w:r>
          <w:r>
            <w:rPr>
              <w:rFonts w:hint="default" w:ascii="Times New Roman" w:hAnsi="Times New Roman" w:cs="Times New Roman"/>
              <w:color w:val="auto"/>
              <w:highlight w:val="none"/>
            </w:rPr>
            <w:fldChar w:fldCharType="end"/>
          </w:r>
        </w:p>
        <w:p w14:paraId="76A97A6F">
          <w:pPr>
            <w:pStyle w:val="24"/>
            <w:tabs>
              <w:tab w:val="right" w:leader="dot" w:pos="923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_Toc4240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szCs w:val="24"/>
              <w:highlight w:val="none"/>
            </w:rPr>
            <w:t>9.1. 环境影响评价结论</w:t>
          </w:r>
          <w:r>
            <w:rPr>
              <w:color w:val="auto"/>
              <w:highlight w:val="none"/>
            </w:rPr>
            <w:tab/>
          </w:r>
          <w:r>
            <w:rPr>
              <w:color w:val="auto"/>
              <w:highlight w:val="none"/>
            </w:rPr>
            <w:fldChar w:fldCharType="begin"/>
          </w:r>
          <w:r>
            <w:rPr>
              <w:color w:val="auto"/>
              <w:highlight w:val="none"/>
            </w:rPr>
            <w:instrText xml:space="preserve"> PAGEREF _Toc4240 \h </w:instrText>
          </w:r>
          <w:r>
            <w:rPr>
              <w:color w:val="auto"/>
              <w:highlight w:val="none"/>
            </w:rPr>
            <w:fldChar w:fldCharType="separate"/>
          </w:r>
          <w:r>
            <w:rPr>
              <w:color w:val="auto"/>
              <w:highlight w:val="none"/>
            </w:rPr>
            <w:t>177</w:t>
          </w:r>
          <w:r>
            <w:rPr>
              <w:color w:val="auto"/>
              <w:highlight w:val="none"/>
            </w:rPr>
            <w:fldChar w:fldCharType="end"/>
          </w:r>
          <w:r>
            <w:rPr>
              <w:rFonts w:hint="default" w:ascii="Times New Roman" w:hAnsi="Times New Roman" w:cs="Times New Roman"/>
              <w:color w:val="auto"/>
              <w:highlight w:val="none"/>
            </w:rPr>
            <w:fldChar w:fldCharType="end"/>
          </w:r>
        </w:p>
        <w:p w14:paraId="7775E2B9">
          <w:pPr>
            <w:pStyle w:val="24"/>
            <w:tabs>
              <w:tab w:val="right" w:leader="dot" w:pos="9230"/>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_Toc8778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9.2. 建议</w:t>
          </w:r>
          <w:r>
            <w:rPr>
              <w:color w:val="auto"/>
              <w:highlight w:val="none"/>
            </w:rPr>
            <w:tab/>
          </w:r>
          <w:r>
            <w:rPr>
              <w:color w:val="auto"/>
              <w:highlight w:val="none"/>
            </w:rPr>
            <w:fldChar w:fldCharType="begin"/>
          </w:r>
          <w:r>
            <w:rPr>
              <w:color w:val="auto"/>
              <w:highlight w:val="none"/>
            </w:rPr>
            <w:instrText xml:space="preserve"> PAGEREF _Toc8778 \h </w:instrText>
          </w:r>
          <w:r>
            <w:rPr>
              <w:color w:val="auto"/>
              <w:highlight w:val="none"/>
            </w:rPr>
            <w:fldChar w:fldCharType="separate"/>
          </w:r>
          <w:r>
            <w:rPr>
              <w:color w:val="auto"/>
              <w:highlight w:val="none"/>
            </w:rPr>
            <w:t>181</w:t>
          </w:r>
          <w:r>
            <w:rPr>
              <w:color w:val="auto"/>
              <w:highlight w:val="none"/>
            </w:rPr>
            <w:fldChar w:fldCharType="end"/>
          </w:r>
          <w:r>
            <w:rPr>
              <w:rFonts w:hint="default" w:ascii="Times New Roman" w:hAnsi="Times New Roman" w:cs="Times New Roman"/>
              <w:color w:val="auto"/>
              <w:highlight w:val="none"/>
            </w:rPr>
            <w:fldChar w:fldCharType="end"/>
          </w:r>
        </w:p>
        <w:p w14:paraId="1FADEB30">
          <w:pPr>
            <w:rPr>
              <w:rFonts w:hint="default" w:ascii="Times New Roman" w:hAnsi="Times New Roman" w:cs="Times New Roman"/>
              <w:b/>
              <w:color w:val="auto"/>
              <w:highlight w:val="none"/>
            </w:rPr>
          </w:pPr>
          <w:r>
            <w:rPr>
              <w:rFonts w:hint="default" w:ascii="Times New Roman" w:hAnsi="Times New Roman" w:cs="Times New Roman"/>
              <w:color w:val="auto"/>
              <w:highlight w:val="none"/>
            </w:rPr>
            <w:fldChar w:fldCharType="end"/>
          </w:r>
        </w:p>
      </w:sdtContent>
    </w:sdt>
    <w:p w14:paraId="23476026">
      <w:pPr>
        <w:rPr>
          <w:rFonts w:hint="default" w:ascii="Times New Roman" w:hAnsi="Times New Roman" w:cs="Times New Roman"/>
          <w:b/>
          <w:color w:val="auto"/>
          <w:highlight w:val="none"/>
        </w:rPr>
      </w:pPr>
    </w:p>
    <w:p w14:paraId="2BC49D67">
      <w:pPr>
        <w:rPr>
          <w:rFonts w:hint="default" w:ascii="Times New Roman" w:hAnsi="Times New Roman" w:cs="Times New Roman"/>
          <w:b/>
          <w:color w:val="auto"/>
          <w:highlight w:val="none"/>
        </w:rPr>
      </w:pPr>
    </w:p>
    <w:p w14:paraId="0A6316E3">
      <w:pPr>
        <w:rPr>
          <w:rFonts w:hint="default" w:ascii="Times New Roman" w:hAnsi="Times New Roman" w:cs="Times New Roman"/>
          <w:b/>
          <w:color w:val="auto"/>
          <w:sz w:val="24"/>
          <w:szCs w:val="24"/>
          <w:highlight w:val="none"/>
          <w:lang w:val="en-US" w:eastAsia="zh-CN"/>
        </w:rPr>
      </w:pPr>
      <w:r>
        <w:rPr>
          <w:rFonts w:hint="default" w:ascii="Times New Roman" w:hAnsi="Times New Roman" w:cs="Times New Roman"/>
          <w:b/>
          <w:color w:val="auto"/>
          <w:sz w:val="24"/>
          <w:szCs w:val="24"/>
          <w:highlight w:val="none"/>
          <w:lang w:val="en-US" w:eastAsia="zh-CN"/>
        </w:rPr>
        <w:br w:type="page"/>
      </w:r>
    </w:p>
    <w:p w14:paraId="5A7FFD0A">
      <w:pPr>
        <w:spacing w:line="360" w:lineRule="auto"/>
        <w:ind w:left="0" w:leftChars="0" w:firstLine="0" w:firstLineChars="0"/>
        <w:jc w:val="both"/>
        <w:rPr>
          <w:rFonts w:hint="default" w:ascii="Times New Roman" w:hAnsi="Times New Roman" w:cs="Times New Roman"/>
          <w:b/>
          <w:color w:val="auto"/>
          <w:sz w:val="24"/>
          <w:szCs w:val="24"/>
          <w:highlight w:val="none"/>
          <w:lang w:val="en-US" w:eastAsia="zh-CN"/>
        </w:rPr>
      </w:pPr>
      <w:r>
        <w:rPr>
          <w:rFonts w:hint="default" w:ascii="Times New Roman" w:hAnsi="Times New Roman" w:cs="Times New Roman"/>
          <w:b/>
          <w:color w:val="auto"/>
          <w:sz w:val="24"/>
          <w:szCs w:val="24"/>
          <w:highlight w:val="none"/>
          <w:lang w:val="en-US" w:eastAsia="zh-CN"/>
        </w:rPr>
        <w:t>附件：</w:t>
      </w:r>
    </w:p>
    <w:p w14:paraId="35518725">
      <w:pPr>
        <w:bidi w:val="0"/>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附件1  建设项目环评委托书；</w:t>
      </w:r>
    </w:p>
    <w:p w14:paraId="0F7B3C4F">
      <w:pPr>
        <w:bidi w:val="0"/>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附件2  新疆采虹矿业投资有限公司新疆阜康市北部沙漠天然石英砂矿(压裂用)采矿证；</w:t>
      </w:r>
    </w:p>
    <w:p w14:paraId="29C4A510">
      <w:pPr>
        <w:bidi w:val="0"/>
        <w:ind w:left="0" w:leftChars="0"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 xml:space="preserve">附件3 </w:t>
      </w:r>
      <w:r>
        <w:rPr>
          <w:rFonts w:hint="default" w:ascii="Times New Roman" w:hAnsi="Times New Roman" w:eastAsia="宋体" w:cs="Times New Roman"/>
          <w:color w:val="auto"/>
          <w:highlight w:val="none"/>
          <w:lang w:val="en-US" w:eastAsia="zh-CN"/>
        </w:rPr>
        <w:t xml:space="preserve"> 《新疆采虹矿业投资有限公司新疆阜康市北部沙漠天然石英砂矿(压裂用)外围</w:t>
      </w:r>
    </w:p>
    <w:p w14:paraId="047C5794">
      <w:pPr>
        <w:bidi w:val="0"/>
        <w:ind w:left="0" w:leftChars="0"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矿产资源开发利用与生态保护修复方案评审意见书》</w:t>
      </w:r>
    </w:p>
    <w:p w14:paraId="328FC553">
      <w:pPr>
        <w:pStyle w:val="26"/>
        <w:keepNext w:val="0"/>
        <w:keepLines w:val="0"/>
        <w:widowControl/>
        <w:suppressLineNumbers w:val="0"/>
        <w:ind w:left="0" w:leftChars="0" w:firstLine="0" w:firstLineChars="0"/>
        <w:rPr>
          <w:rFonts w:hint="eastAsia" w:cs="Times New Roman"/>
          <w:color w:val="auto"/>
          <w:highlight w:val="none"/>
          <w:lang w:val="en-US" w:eastAsia="zh-CN"/>
        </w:rPr>
      </w:pPr>
      <w:r>
        <w:rPr>
          <w:rFonts w:hint="eastAsia" w:cs="Times New Roman"/>
          <w:color w:val="auto"/>
          <w:highlight w:val="none"/>
          <w:lang w:val="en-US" w:eastAsia="zh-CN"/>
        </w:rPr>
        <w:t>附件4  《</w:t>
      </w:r>
      <w:r>
        <w:rPr>
          <w:rFonts w:hint="eastAsia" w:ascii="宋体" w:hAnsi="宋体" w:eastAsia="宋体" w:cs="宋体"/>
          <w:color w:val="000000"/>
          <w:sz w:val="24"/>
          <w:szCs w:val="24"/>
        </w:rPr>
        <w:t>新疆采虹矿业投资有限公司新疆阜康市北部沙漠石英砂矿(压裂用)年产160万吨压裂石英砂开采、分选厂加工项目</w:t>
      </w:r>
      <w:r>
        <w:rPr>
          <w:rFonts w:hint="eastAsia" w:cs="宋体"/>
          <w:color w:val="000000"/>
          <w:sz w:val="24"/>
          <w:szCs w:val="24"/>
          <w:lang w:val="en-US" w:eastAsia="zh-CN"/>
        </w:rPr>
        <w:t>备案证</w:t>
      </w:r>
      <w:r>
        <w:rPr>
          <w:rFonts w:hint="eastAsia" w:cs="Times New Roman"/>
          <w:color w:val="auto"/>
          <w:highlight w:val="none"/>
          <w:lang w:val="en-US" w:eastAsia="zh-CN"/>
        </w:rPr>
        <w:t>》</w:t>
      </w:r>
    </w:p>
    <w:p w14:paraId="4E1E9588">
      <w:pPr>
        <w:pStyle w:val="26"/>
        <w:keepNext w:val="0"/>
        <w:keepLines w:val="0"/>
        <w:widowControl/>
        <w:suppressLineNumbers w:val="0"/>
        <w:ind w:left="0" w:leftChars="0" w:firstLine="0" w:firstLineChars="0"/>
        <w:rPr>
          <w:rFonts w:hint="default" w:cs="Times New Roman"/>
          <w:color w:val="auto"/>
          <w:highlight w:val="none"/>
          <w:lang w:val="en-US" w:eastAsia="zh-CN"/>
        </w:rPr>
      </w:pPr>
      <w:r>
        <w:rPr>
          <w:rFonts w:hint="eastAsia" w:cs="Times New Roman"/>
          <w:color w:val="auto"/>
          <w:highlight w:val="none"/>
          <w:lang w:val="en-US" w:eastAsia="zh-CN"/>
        </w:rPr>
        <w:t>附件5  环境质量现状监测报告</w:t>
      </w:r>
    </w:p>
    <w:p w14:paraId="79F9F169">
      <w:pPr>
        <w:pStyle w:val="26"/>
        <w:keepNext w:val="0"/>
        <w:keepLines w:val="0"/>
        <w:widowControl/>
        <w:suppressLineNumbers w:val="0"/>
        <w:ind w:left="0" w:leftChars="0" w:firstLine="0" w:firstLineChars="0"/>
        <w:rPr>
          <w:rFonts w:hint="default" w:cs="Times New Roman"/>
          <w:color w:val="auto"/>
          <w:highlight w:val="none"/>
          <w:lang w:val="en-US" w:eastAsia="zh-CN"/>
        </w:rPr>
      </w:pPr>
      <w:r>
        <w:rPr>
          <w:rFonts w:hint="eastAsia" w:cs="Times New Roman"/>
          <w:color w:val="auto"/>
          <w:highlight w:val="none"/>
          <w:lang w:val="en-US" w:eastAsia="zh-CN"/>
        </w:rPr>
        <w:t xml:space="preserve">附件6  </w:t>
      </w:r>
      <w:r>
        <w:rPr>
          <w:rFonts w:hint="default" w:cs="Times New Roman"/>
          <w:color w:val="auto"/>
          <w:highlight w:val="none"/>
          <w:lang w:val="en-US" w:eastAsia="zh-CN"/>
        </w:rPr>
        <w:t>建设项目环境影响报告书审批基础信息表</w:t>
      </w:r>
    </w:p>
    <w:p w14:paraId="328004F5">
      <w:pPr>
        <w:bidi w:val="0"/>
        <w:ind w:left="0" w:leftChars="0" w:firstLine="0" w:firstLineChars="0"/>
        <w:rPr>
          <w:rFonts w:hint="default" w:ascii="Times New Roman" w:hAnsi="Times New Roman" w:cs="Times New Roman"/>
          <w:color w:val="auto"/>
          <w:highlight w:val="none"/>
          <w:lang w:val="en-US" w:eastAsia="zh-CN"/>
        </w:rPr>
      </w:pPr>
    </w:p>
    <w:p w14:paraId="1D9A63B5">
      <w:pPr>
        <w:rPr>
          <w:rFonts w:hint="default" w:ascii="Times New Roman" w:hAnsi="Times New Roman" w:cs="Times New Roman"/>
          <w:b/>
          <w:color w:val="auto"/>
          <w:highlight w:val="none"/>
        </w:rPr>
      </w:pPr>
    </w:p>
    <w:p w14:paraId="5617A1BF">
      <w:pPr>
        <w:rPr>
          <w:rFonts w:hint="default" w:ascii="Times New Roman" w:hAnsi="Times New Roman" w:cs="Times New Roman"/>
          <w:b/>
          <w:color w:val="auto"/>
          <w:highlight w:val="none"/>
        </w:rPr>
      </w:pPr>
      <w:r>
        <w:rPr>
          <w:rFonts w:hint="default" w:ascii="Times New Roman" w:hAnsi="Times New Roman" w:cs="Times New Roman"/>
          <w:b/>
          <w:color w:val="auto"/>
          <w:highlight w:val="none"/>
        </w:rPr>
        <w:br w:type="page"/>
      </w:r>
    </w:p>
    <w:p w14:paraId="1E55ECE3">
      <w:pPr>
        <w:rPr>
          <w:rFonts w:hint="default" w:ascii="Times New Roman" w:hAnsi="Times New Roman" w:cs="Times New Roman"/>
          <w:b/>
          <w:color w:val="auto"/>
          <w:highlight w:val="none"/>
        </w:rPr>
      </w:pPr>
    </w:p>
    <w:p w14:paraId="1DCBC85B">
      <w:pPr>
        <w:pStyle w:val="2"/>
        <w:bidi w:val="0"/>
        <w:rPr>
          <w:rFonts w:hint="default"/>
        </w:rPr>
      </w:pPr>
      <w:bookmarkStart w:id="0" w:name="_Toc12377"/>
      <w:bookmarkStart w:id="1" w:name="_Toc1735"/>
      <w:r>
        <w:rPr>
          <w:rFonts w:hint="default"/>
        </w:rPr>
        <w:t>概述</w:t>
      </w:r>
      <w:bookmarkEnd w:id="0"/>
      <w:bookmarkEnd w:id="1"/>
    </w:p>
    <w:p w14:paraId="2B7E6D19">
      <w:pPr>
        <w:pStyle w:val="3"/>
        <w:bidi w:val="0"/>
        <w:rPr>
          <w:rFonts w:hint="default"/>
        </w:rPr>
      </w:pPr>
      <w:bookmarkStart w:id="2" w:name="1.1任务由来"/>
      <w:bookmarkEnd w:id="2"/>
      <w:bookmarkStart w:id="3" w:name="bookmark1"/>
      <w:bookmarkEnd w:id="3"/>
      <w:bookmarkStart w:id="4" w:name="_Toc9397"/>
      <w:bookmarkStart w:id="5" w:name="_Toc1966"/>
      <w:r>
        <w:rPr>
          <w:rFonts w:hint="default"/>
        </w:rPr>
        <w:t>任务由来</w:t>
      </w:r>
      <w:bookmarkEnd w:id="4"/>
      <w:bookmarkEnd w:id="5"/>
    </w:p>
    <w:p w14:paraId="3707712E">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新疆油田、塔里木油田、吐哈油田等油气田，每年需要大量石英砂作为支撑剂来增产使用，仅在玛湖油田年需求量就达6000万t左右。随着“一带一路”战略的实施和国家有关能源的战略部署，新疆对压裂用天然石英砂的需求将持续增加，当前是供不应求的总体形势。</w:t>
      </w:r>
    </w:p>
    <w:p w14:paraId="552A2875">
      <w:pPr>
        <w:spacing w:beforeLines="0" w:afterLines="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新疆采虹矿业投资有限公司</w:t>
      </w:r>
      <w:r>
        <w:rPr>
          <w:rFonts w:hint="default" w:ascii="Times New Roman" w:hAnsi="Times New Roman" w:cs="Times New Roman"/>
          <w:color w:val="auto"/>
          <w:sz w:val="24"/>
          <w:szCs w:val="24"/>
          <w:highlight w:val="none"/>
        </w:rPr>
        <w:t>，成立于201</w:t>
      </w:r>
      <w:r>
        <w:rPr>
          <w:rFonts w:hint="default"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年8月，位于新疆维吾尔自治区昌吉回族自治州，主要经营范围为非煤矿山矿产资源开采</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非金属矿及制品销售；非金属矿物制品制造</w:t>
      </w:r>
      <w:r>
        <w:rPr>
          <w:rFonts w:hint="default" w:ascii="Times New Roman" w:hAnsi="Times New Roman" w:cs="Times New Roman"/>
          <w:color w:val="auto"/>
          <w:sz w:val="24"/>
          <w:szCs w:val="24"/>
          <w:highlight w:val="none"/>
          <w:lang w:val="en-US" w:eastAsia="zh-CN"/>
        </w:rPr>
        <w:t>等</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eastAsia="zh-CN"/>
        </w:rPr>
        <w:t>新疆阜康市北部沙漠天然石英砂矿（压裂用）</w:t>
      </w:r>
      <w:r>
        <w:rPr>
          <w:rFonts w:hint="default" w:ascii="Times New Roman" w:hAnsi="Times New Roman" w:cs="Times New Roman"/>
          <w:color w:val="auto"/>
          <w:sz w:val="24"/>
          <w:szCs w:val="24"/>
          <w:highlight w:val="none"/>
        </w:rPr>
        <w:t>为新建矿山，</w:t>
      </w:r>
      <w:r>
        <w:rPr>
          <w:rFonts w:hint="default" w:ascii="Times New Roman" w:hAnsi="Times New Roman" w:cs="Times New Roman"/>
          <w:color w:val="auto"/>
          <w:kern w:val="2"/>
          <w:sz w:val="24"/>
          <w:szCs w:val="22"/>
          <w:highlight w:val="none"/>
          <w:lang w:val="en-US" w:eastAsia="zh-CN" w:bidi="ar-SA"/>
        </w:rPr>
        <w:t>矿区位于新疆昌吉回族自治州阜康市20°方位60公里处，属阜康市管辖，行政区划属阜康市管辖。</w:t>
      </w:r>
      <w:r>
        <w:rPr>
          <w:rFonts w:hint="default" w:ascii="Times New Roman" w:hAnsi="Times New Roman" w:cs="Times New Roman"/>
          <w:color w:val="auto"/>
          <w:sz w:val="24"/>
          <w:szCs w:val="24"/>
          <w:highlight w:val="none"/>
        </w:rPr>
        <w:t>20</w:t>
      </w:r>
      <w:r>
        <w:rPr>
          <w:rFonts w:hint="default" w:ascii="Times New Roman" w:hAnsi="Times New Roman" w:cs="Times New Roman"/>
          <w:color w:val="auto"/>
          <w:sz w:val="24"/>
          <w:szCs w:val="24"/>
          <w:highlight w:val="none"/>
          <w:lang w:val="en-US" w:eastAsia="zh-CN"/>
        </w:rPr>
        <w:t>16</w:t>
      </w:r>
      <w:r>
        <w:rPr>
          <w:rFonts w:hint="default" w:ascii="Times New Roman" w:hAnsi="Times New Roman" w:cs="Times New Roman"/>
          <w:color w:val="auto"/>
          <w:sz w:val="24"/>
          <w:szCs w:val="24"/>
          <w:highlight w:val="none"/>
        </w:rPr>
        <w:t>年</w:t>
      </w:r>
      <w:r>
        <w:rPr>
          <w:rFonts w:hint="default"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rPr>
        <w:t>月新疆冠阜建材有限公司通过招拍挂取得了该矿</w:t>
      </w:r>
      <w:r>
        <w:rPr>
          <w:rFonts w:hint="default" w:ascii="Times New Roman" w:hAnsi="Times New Roman" w:cs="Times New Roman"/>
          <w:color w:val="auto"/>
          <w:sz w:val="24"/>
          <w:szCs w:val="24"/>
          <w:highlight w:val="none"/>
          <w:lang w:val="en-US" w:eastAsia="zh-CN"/>
        </w:rPr>
        <w:t>探矿证，后变更矿权人为新疆采虹矿业投资有限公司</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FF0000"/>
          <w:sz w:val="24"/>
          <w:szCs w:val="24"/>
          <w:highlight w:val="none"/>
          <w:lang w:val="en-US" w:eastAsia="zh-CN"/>
        </w:rPr>
        <w:t>2024年6月</w:t>
      </w:r>
      <w:r>
        <w:rPr>
          <w:rFonts w:hint="eastAsia" w:ascii="Times New Roman" w:hAnsi="Times New Roman" w:eastAsia="宋体" w:cs="Times New Roman"/>
          <w:color w:val="FF0000"/>
          <w:sz w:val="24"/>
          <w:szCs w:val="24"/>
          <w:highlight w:val="none"/>
          <w:lang w:eastAsia="zh-CN"/>
        </w:rPr>
        <w:t>委托新疆博轩矿业有限公司</w:t>
      </w:r>
      <w:r>
        <w:rPr>
          <w:rFonts w:hint="eastAsia" w:ascii="Times New Roman" w:hAnsi="Times New Roman" w:eastAsia="宋体" w:cs="Times New Roman"/>
          <w:color w:val="FF0000"/>
          <w:sz w:val="24"/>
          <w:szCs w:val="24"/>
          <w:highlight w:val="none"/>
          <w:lang w:val="en-US" w:eastAsia="zh-CN"/>
        </w:rPr>
        <w:t>对探矿权开展补充详查工作，</w:t>
      </w:r>
      <w:r>
        <w:rPr>
          <w:rFonts w:hint="eastAsia" w:ascii="Times New Roman" w:hAnsi="Times New Roman" w:eastAsia="宋体" w:cs="Times New Roman"/>
          <w:color w:val="FF0000"/>
          <w:sz w:val="24"/>
          <w:szCs w:val="24"/>
          <w:highlight w:val="none"/>
          <w:lang w:eastAsia="zh-CN"/>
        </w:rPr>
        <w:t>编写并提交了《</w:t>
      </w:r>
      <w:bookmarkStart w:id="6" w:name="OLE_LINK14"/>
      <w:r>
        <w:rPr>
          <w:rFonts w:hint="eastAsia" w:ascii="Times New Roman" w:hAnsi="Times New Roman" w:eastAsia="宋体" w:cs="Times New Roman"/>
          <w:color w:val="FF0000"/>
          <w:sz w:val="24"/>
          <w:szCs w:val="24"/>
          <w:highlight w:val="none"/>
          <w:lang w:eastAsia="zh-CN"/>
        </w:rPr>
        <w:t>新疆阜康市北部沙漠天然石英砂矿（压裂用）外围详查报告</w:t>
      </w:r>
      <w:bookmarkEnd w:id="6"/>
      <w:r>
        <w:rPr>
          <w:rFonts w:hint="eastAsia" w:ascii="Times New Roman" w:hAnsi="Times New Roman" w:eastAsia="宋体" w:cs="Times New Roman"/>
          <w:color w:val="FF0000"/>
          <w:sz w:val="24"/>
          <w:szCs w:val="24"/>
          <w:highlight w:val="none"/>
          <w:lang w:eastAsia="zh-CN"/>
        </w:rPr>
        <w:t>》。2025年1月17日，由新疆博轩矿业有限公司编制、新疆采虹矿业投资有限公司提交的《新疆采虹矿业投资有限公司新疆阜康市北部沙漠天然石英砂矿(压裂用)外围矿产资源开发利用与生态保护修复方案》送交新疆地矿局第十一地质大队组织评审，</w:t>
      </w:r>
      <w:r>
        <w:rPr>
          <w:rFonts w:hint="eastAsia" w:ascii="Times New Roman" w:hAnsi="Times New Roman" w:eastAsia="宋体" w:cs="Times New Roman"/>
          <w:color w:val="FF0000"/>
          <w:sz w:val="24"/>
          <w:szCs w:val="24"/>
          <w:highlight w:val="none"/>
          <w:lang w:val="en-US" w:eastAsia="zh-CN"/>
        </w:rPr>
        <w:t>并取得评审意见书（昌州审(2025)45号）</w:t>
      </w:r>
      <w:r>
        <w:rPr>
          <w:rFonts w:hint="eastAsia" w:ascii="Times New Roman" w:hAnsi="Times New Roman" w:eastAsia="宋体" w:cs="Times New Roman"/>
          <w:color w:val="FF0000"/>
          <w:sz w:val="24"/>
          <w:szCs w:val="24"/>
          <w:highlight w:val="none"/>
          <w:lang w:eastAsia="zh-CN"/>
        </w:rPr>
        <w:t>。</w:t>
      </w:r>
      <w:r>
        <w:rPr>
          <w:rFonts w:hint="default" w:ascii="Times New Roman" w:hAnsi="Times New Roman" w:cs="Times New Roman"/>
          <w:color w:val="auto"/>
          <w:sz w:val="24"/>
          <w:szCs w:val="24"/>
          <w:highlight w:val="none"/>
          <w:lang w:eastAsia="zh-CN"/>
        </w:rPr>
        <w:t>目前新疆采虹矿业投资有限公司</w:t>
      </w:r>
      <w:r>
        <w:rPr>
          <w:rFonts w:hint="default" w:ascii="Times New Roman" w:hAnsi="Times New Roman" w:cs="Times New Roman"/>
          <w:color w:val="auto"/>
          <w:sz w:val="24"/>
          <w:szCs w:val="24"/>
          <w:highlight w:val="none"/>
          <w:lang w:val="en-US" w:eastAsia="zh-CN"/>
        </w:rPr>
        <w:t>已</w:t>
      </w:r>
      <w:r>
        <w:rPr>
          <w:rFonts w:hint="default" w:ascii="Times New Roman" w:hAnsi="Times New Roman" w:cs="Times New Roman"/>
          <w:color w:val="auto"/>
          <w:sz w:val="24"/>
          <w:szCs w:val="24"/>
          <w:highlight w:val="none"/>
          <w:lang w:eastAsia="zh-CN"/>
        </w:rPr>
        <w:t>取得采矿许可证，</w:t>
      </w:r>
      <w:r>
        <w:rPr>
          <w:rFonts w:hint="default" w:ascii="Times New Roman" w:hAnsi="Times New Roman" w:cs="Times New Roman"/>
          <w:color w:val="auto"/>
          <w:sz w:val="24"/>
          <w:szCs w:val="24"/>
          <w:highlight w:val="none"/>
          <w:lang w:val="en-US" w:eastAsia="zh-CN"/>
        </w:rPr>
        <w:t>采矿证编号为：</w:t>
      </w:r>
      <w:r>
        <w:rPr>
          <w:rFonts w:hint="default" w:ascii="Times New Roman" w:hAnsi="Times New Roman" w:cs="Times New Roman"/>
          <w:color w:val="auto"/>
          <w:sz w:val="24"/>
          <w:szCs w:val="24"/>
          <w:highlight w:val="none"/>
          <w:lang w:eastAsia="zh-CN"/>
        </w:rPr>
        <w:t>C6523002025067110158535，</w:t>
      </w:r>
      <w:r>
        <w:rPr>
          <w:rFonts w:hint="default" w:ascii="Times New Roman" w:hAnsi="Times New Roman" w:cs="Times New Roman"/>
          <w:color w:val="auto"/>
          <w:sz w:val="24"/>
          <w:szCs w:val="24"/>
          <w:highlight w:val="none"/>
          <w:lang w:val="en-US" w:eastAsia="zh-CN"/>
        </w:rPr>
        <w:t>见附件</w:t>
      </w:r>
      <w:r>
        <w:rPr>
          <w:rFonts w:hint="default" w:ascii="Times New Roman" w:hAnsi="Times New Roman" w:cs="Times New Roman"/>
          <w:color w:val="auto"/>
          <w:sz w:val="24"/>
          <w:szCs w:val="24"/>
          <w:highlight w:val="none"/>
          <w:lang w:eastAsia="zh-CN"/>
        </w:rPr>
        <w:t>。依据勘查圈定</w:t>
      </w:r>
      <w:r>
        <w:rPr>
          <w:rFonts w:hint="default" w:ascii="Times New Roman" w:hAnsi="Times New Roman" w:cs="Times New Roman"/>
          <w:color w:val="auto"/>
          <w:sz w:val="24"/>
          <w:szCs w:val="24"/>
          <w:highlight w:val="none"/>
          <w:lang w:val="en-US" w:eastAsia="zh-CN"/>
        </w:rPr>
        <w:t>一</w:t>
      </w:r>
      <w:r>
        <w:rPr>
          <w:rFonts w:hint="default" w:ascii="Times New Roman" w:hAnsi="Times New Roman" w:cs="Times New Roman"/>
          <w:color w:val="auto"/>
          <w:sz w:val="24"/>
          <w:szCs w:val="24"/>
          <w:highlight w:val="none"/>
          <w:lang w:eastAsia="zh-CN"/>
        </w:rPr>
        <w:t>个矿体，并充分考虑矿山后期生产、安全距离等因素，拟划定矿区范围为</w:t>
      </w:r>
      <w:r>
        <w:rPr>
          <w:rFonts w:hint="default" w:ascii="Times New Roman" w:hAnsi="Times New Roman" w:cs="Times New Roman"/>
          <w:color w:val="auto"/>
          <w:sz w:val="24"/>
          <w:szCs w:val="24"/>
          <w:highlight w:val="none"/>
          <w:lang w:val="en-US" w:eastAsia="zh-CN"/>
        </w:rPr>
        <w:t>1.0366</w:t>
      </w:r>
      <w:r>
        <w:rPr>
          <w:rFonts w:hint="default" w:ascii="Times New Roman" w:hAnsi="Times New Roman" w:cs="Times New Roman"/>
          <w:color w:val="auto"/>
          <w:sz w:val="24"/>
          <w:szCs w:val="24"/>
          <w:highlight w:val="none"/>
          <w:lang w:eastAsia="zh-CN"/>
        </w:rPr>
        <w:t>平方千米，开采标高为</w:t>
      </w:r>
      <w:r>
        <w:rPr>
          <w:rFonts w:hint="default" w:ascii="Times New Roman" w:hAnsi="Times New Roman" w:cs="Times New Roman"/>
          <w:color w:val="auto"/>
          <w:sz w:val="24"/>
          <w:szCs w:val="24"/>
          <w:highlight w:val="none"/>
          <w:lang w:val="en-US" w:eastAsia="zh-CN"/>
        </w:rPr>
        <w:t>623米～585米</w:t>
      </w:r>
      <w:r>
        <w:rPr>
          <w:rFonts w:hint="default" w:ascii="Times New Roman" w:hAnsi="Times New Roman" w:cs="Times New Roman"/>
          <w:color w:val="auto"/>
          <w:sz w:val="24"/>
          <w:szCs w:val="24"/>
          <w:highlight w:val="none"/>
          <w:lang w:eastAsia="zh-CN"/>
        </w:rPr>
        <w:t>，采用山坡式露天开采，生产规模为</w:t>
      </w:r>
      <w:r>
        <w:rPr>
          <w:rFonts w:hint="default" w:ascii="Times New Roman" w:hAnsi="Times New Roman" w:cs="Times New Roman"/>
          <w:color w:val="auto"/>
          <w:sz w:val="24"/>
          <w:szCs w:val="24"/>
          <w:highlight w:val="none"/>
          <w:lang w:val="en-US" w:eastAsia="zh-CN"/>
        </w:rPr>
        <w:t>80</w:t>
      </w:r>
      <w:r>
        <w:rPr>
          <w:rFonts w:hint="default" w:ascii="Times New Roman" w:hAnsi="Times New Roman" w:cs="Times New Roman"/>
          <w:color w:val="auto"/>
          <w:sz w:val="24"/>
          <w:szCs w:val="24"/>
          <w:highlight w:val="none"/>
          <w:lang w:eastAsia="zh-CN"/>
        </w:rPr>
        <w:t>万</w:t>
      </w:r>
      <w:r>
        <w:rPr>
          <w:rFonts w:hint="default" w:ascii="Times New Roman" w:hAnsi="Times New Roman" w:cs="Times New Roman"/>
          <w:color w:val="auto"/>
          <w:sz w:val="24"/>
          <w:szCs w:val="24"/>
          <w:highlight w:val="none"/>
          <w:lang w:val="en-US" w:eastAsia="zh-CN"/>
        </w:rPr>
        <w:t>吨</w:t>
      </w:r>
      <w:r>
        <w:rPr>
          <w:rFonts w:hint="default" w:ascii="Times New Roman" w:hAnsi="Times New Roman" w:cs="Times New Roman"/>
          <w:color w:val="auto"/>
          <w:sz w:val="24"/>
          <w:szCs w:val="24"/>
          <w:highlight w:val="none"/>
          <w:lang w:eastAsia="zh-CN"/>
        </w:rPr>
        <w:t>/年，开采矿种为</w:t>
      </w:r>
      <w:r>
        <w:rPr>
          <w:rFonts w:hint="default" w:ascii="Times New Roman" w:hAnsi="Times New Roman" w:cs="Times New Roman"/>
          <w:color w:val="auto"/>
          <w:sz w:val="24"/>
          <w:szCs w:val="24"/>
          <w:highlight w:val="none"/>
          <w:lang w:val="en-US" w:eastAsia="zh-CN"/>
        </w:rPr>
        <w:t>天然石英砂</w:t>
      </w:r>
      <w:r>
        <w:rPr>
          <w:rFonts w:hint="default" w:ascii="Times New Roman" w:hAnsi="Times New Roman" w:cs="Times New Roman"/>
          <w:color w:val="auto"/>
          <w:sz w:val="24"/>
          <w:szCs w:val="24"/>
          <w:highlight w:val="none"/>
          <w:lang w:eastAsia="zh-CN"/>
        </w:rPr>
        <w:t>。</w:t>
      </w:r>
    </w:p>
    <w:p w14:paraId="7B0DFBD7">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中华人民共和国环境保护法》、《中华人民共和国环境影响评价法》、《建设项目环境保护管理条例》和《建设项目环境影响评价分类管理名录》及修订的有关规定，建设项目须履行环境影响评价制度。本项目属于《建设项目环境影响评价分类管理名录》（2021年版）“八、非金属矿采选业10”类别中的“11、土砂石开采101（不含河道采砂项目）”，本项目</w:t>
      </w:r>
      <w:r>
        <w:rPr>
          <w:rFonts w:hint="default" w:ascii="Times New Roman" w:hAnsi="Times New Roman" w:cs="Times New Roman"/>
          <w:color w:val="auto"/>
          <w:sz w:val="24"/>
          <w:szCs w:val="24"/>
          <w:highlight w:val="none"/>
          <w:lang w:val="en-US" w:eastAsia="zh-CN"/>
        </w:rPr>
        <w:t>位于</w:t>
      </w:r>
      <w:r>
        <w:rPr>
          <w:rFonts w:hint="default" w:ascii="Times New Roman" w:hAnsi="Times New Roman" w:cs="Times New Roman"/>
          <w:color w:val="auto"/>
          <w:sz w:val="24"/>
          <w:szCs w:val="24"/>
          <w:highlight w:val="none"/>
        </w:rPr>
        <w:t>环境敏感区（新疆阜康市彩南国家沙化土地封禁保护区）</w:t>
      </w:r>
      <w:r>
        <w:rPr>
          <w:rFonts w:hint="default" w:ascii="Times New Roman" w:hAnsi="Times New Roman" w:cs="Times New Roman"/>
          <w:color w:val="auto"/>
          <w:sz w:val="24"/>
          <w:szCs w:val="24"/>
          <w:highlight w:val="none"/>
          <w:lang w:val="en-US" w:eastAsia="zh-CN"/>
        </w:rPr>
        <w:t>外东侧900m，根据环境影响评价等级判定，大气环境影响评价等级为二级，评价范围5km，土壤环境影响评价等级为三级，评价范围为1km，</w:t>
      </w:r>
      <w:r>
        <w:rPr>
          <w:rFonts w:hint="default" w:ascii="Times New Roman" w:hAnsi="Times New Roman" w:cs="Times New Roman"/>
          <w:color w:val="auto"/>
          <w:sz w:val="24"/>
          <w:szCs w:val="24"/>
          <w:highlight w:val="none"/>
        </w:rPr>
        <w:t>涉及环境敏感区（新疆阜康市彩南国家沙化土地封禁保护区），应编制环境影响报告书。本公司受</w:t>
      </w:r>
      <w:r>
        <w:rPr>
          <w:rFonts w:hint="default" w:ascii="Times New Roman" w:hAnsi="Times New Roman" w:cs="Times New Roman"/>
          <w:color w:val="auto"/>
          <w:sz w:val="24"/>
          <w:szCs w:val="24"/>
          <w:highlight w:val="none"/>
          <w:lang w:eastAsia="zh-CN"/>
        </w:rPr>
        <w:t>新疆采虹矿业投资有限公司</w:t>
      </w:r>
      <w:r>
        <w:rPr>
          <w:rFonts w:hint="default" w:ascii="Times New Roman" w:hAnsi="Times New Roman" w:cs="Times New Roman"/>
          <w:color w:val="auto"/>
          <w:sz w:val="24"/>
          <w:szCs w:val="24"/>
          <w:highlight w:val="none"/>
        </w:rPr>
        <w:t>的委托，承担了本项目的环境影响评价工作。接受委托后，我公司在现场踏勘、资料收集基础上，按有关规范编制完成了本项目的环境影响评价报告书。经环境管理部门审批后，将作为该项目建设和环境保护管理的依据。</w:t>
      </w:r>
    </w:p>
    <w:p w14:paraId="7BD24938">
      <w:pPr>
        <w:pStyle w:val="3"/>
        <w:bidi w:val="0"/>
        <w:rPr>
          <w:rFonts w:hint="default"/>
        </w:rPr>
      </w:pPr>
      <w:bookmarkStart w:id="7" w:name="1.2项目特点"/>
      <w:bookmarkEnd w:id="7"/>
      <w:bookmarkStart w:id="8" w:name="bookmark2"/>
      <w:bookmarkEnd w:id="8"/>
      <w:bookmarkStart w:id="9" w:name="_Toc32292"/>
      <w:bookmarkStart w:id="10" w:name="_Toc8283"/>
      <w:r>
        <w:rPr>
          <w:rFonts w:hint="default"/>
        </w:rPr>
        <w:t>项目特点</w:t>
      </w:r>
      <w:bookmarkEnd w:id="9"/>
      <w:bookmarkEnd w:id="10"/>
    </w:p>
    <w:p w14:paraId="0085DF8B">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（1）本项目属非金属矿开采业，对照《产业结构调整指导目录》（</w:t>
      </w:r>
      <w:r>
        <w:rPr>
          <w:rFonts w:hint="default" w:ascii="Times New Roman" w:hAnsi="Times New Roman" w:cs="Times New Roman"/>
          <w:color w:val="auto"/>
          <w:sz w:val="24"/>
          <w:szCs w:val="24"/>
          <w:highlight w:val="none"/>
          <w:lang w:val="en-US" w:eastAsia="zh-CN"/>
        </w:rPr>
        <w:t>2024年本</w:t>
      </w:r>
      <w:r>
        <w:rPr>
          <w:rFonts w:hint="default" w:ascii="Times New Roman" w:hAnsi="Times New Roman" w:cs="Times New Roman"/>
          <w:color w:val="auto"/>
          <w:sz w:val="24"/>
          <w:szCs w:val="24"/>
          <w:highlight w:val="none"/>
        </w:rPr>
        <w:t>），本项目未列入“鼓励类”、“限制类”及“淘汰类”，属“允许类”项目。</w:t>
      </w:r>
    </w:p>
    <w:p w14:paraId="09186485">
      <w:pPr>
        <w:pStyle w:val="13"/>
        <w:rPr>
          <w:rFonts w:hint="default" w:ascii="Times New Roman" w:hAnsi="Times New Roman" w:cs="Times New Roman"/>
          <w:color w:val="FF0000"/>
          <w:sz w:val="24"/>
          <w:szCs w:val="24"/>
          <w:highlight w:val="none"/>
          <w:lang w:eastAsia="zh-CN"/>
        </w:rPr>
      </w:pPr>
      <w:r>
        <w:rPr>
          <w:rFonts w:hint="default" w:ascii="Times New Roman" w:hAnsi="Times New Roman" w:cs="Times New Roman"/>
          <w:color w:val="FF0000"/>
          <w:sz w:val="24"/>
          <w:szCs w:val="24"/>
          <w:highlight w:val="none"/>
        </w:rPr>
        <w:t>（2）本项目为露天开采</w:t>
      </w:r>
      <w:r>
        <w:rPr>
          <w:rFonts w:hint="eastAsia" w:cs="Times New Roman"/>
          <w:color w:val="FF0000"/>
          <w:sz w:val="24"/>
          <w:szCs w:val="24"/>
          <w:highlight w:val="none"/>
          <w:lang w:eastAsia="zh-CN"/>
        </w:rPr>
        <w:t>，</w:t>
      </w:r>
      <w:r>
        <w:rPr>
          <w:rFonts w:hint="default" w:ascii="Times New Roman" w:hAnsi="Times New Roman" w:cs="Times New Roman"/>
          <w:color w:val="FF0000"/>
          <w:sz w:val="24"/>
          <w:szCs w:val="24"/>
          <w:highlight w:val="none"/>
        </w:rPr>
        <w:t>矿山年开采天然石英砂</w:t>
      </w:r>
      <w:r>
        <w:rPr>
          <w:rFonts w:hint="default" w:ascii="Times New Roman" w:hAnsi="Times New Roman" w:cs="Times New Roman"/>
          <w:color w:val="FF0000"/>
          <w:sz w:val="24"/>
          <w:szCs w:val="24"/>
          <w:highlight w:val="none"/>
          <w:lang w:val="en-US" w:eastAsia="zh-CN"/>
        </w:rPr>
        <w:t>8</w:t>
      </w:r>
      <w:r>
        <w:rPr>
          <w:rFonts w:hint="default" w:ascii="Times New Roman" w:hAnsi="Times New Roman" w:cs="Times New Roman"/>
          <w:color w:val="FF0000"/>
          <w:sz w:val="24"/>
          <w:szCs w:val="24"/>
          <w:highlight w:val="none"/>
        </w:rPr>
        <w:t>0万吨/年，矿山生产服务年限为</w:t>
      </w:r>
      <w:r>
        <w:rPr>
          <w:rFonts w:hint="default" w:ascii="Times New Roman" w:hAnsi="Times New Roman" w:cs="Times New Roman"/>
          <w:color w:val="FF0000"/>
          <w:sz w:val="24"/>
          <w:szCs w:val="24"/>
          <w:highlight w:val="none"/>
          <w:lang w:eastAsia="zh-CN"/>
        </w:rPr>
        <w:t>18.69</w:t>
      </w:r>
      <w:r>
        <w:rPr>
          <w:rFonts w:hint="default" w:ascii="Times New Roman" w:hAnsi="Times New Roman" w:cs="Times New Roman"/>
          <w:color w:val="FF0000"/>
          <w:sz w:val="24"/>
          <w:szCs w:val="24"/>
          <w:highlight w:val="none"/>
        </w:rPr>
        <w:t>年</w:t>
      </w:r>
      <w:r>
        <w:rPr>
          <w:rFonts w:hint="default" w:ascii="Times New Roman" w:hAnsi="Times New Roman" w:cs="Times New Roman"/>
          <w:color w:val="FF0000"/>
          <w:sz w:val="24"/>
          <w:szCs w:val="24"/>
          <w:highlight w:val="none"/>
          <w:lang w:eastAsia="zh-CN"/>
        </w:rPr>
        <w:t>（18年8个月）；</w:t>
      </w:r>
      <w:r>
        <w:rPr>
          <w:rFonts w:hint="eastAsia" w:cs="Times New Roman"/>
          <w:color w:val="FF0000"/>
          <w:sz w:val="24"/>
          <w:szCs w:val="24"/>
          <w:highlight w:val="none"/>
          <w:lang w:val="en-US" w:eastAsia="zh-CN"/>
        </w:rPr>
        <w:t>本项目在矿区西南角设置工业广场，拟对采出石英砂矿进行加工。</w:t>
      </w:r>
      <w:r>
        <w:rPr>
          <w:rFonts w:hint="default" w:ascii="Times New Roman" w:hAnsi="Times New Roman" w:cs="Times New Roman"/>
          <w:color w:val="FF0000"/>
          <w:sz w:val="24"/>
          <w:szCs w:val="24"/>
          <w:highlight w:val="none"/>
          <w:lang w:val="en-US" w:eastAsia="zh-CN"/>
        </w:rPr>
        <w:t>根据项目备案证（编号：2504211185652300000060），本项目备案证投资建设160万吨石英砂生产流水线一条，</w:t>
      </w:r>
      <w:r>
        <w:rPr>
          <w:rFonts w:hint="eastAsia" w:cs="Times New Roman"/>
          <w:color w:val="FF0000"/>
          <w:sz w:val="24"/>
          <w:szCs w:val="24"/>
          <w:highlight w:val="none"/>
          <w:lang w:val="en-US" w:eastAsia="zh-CN"/>
        </w:rPr>
        <w:t>因</w:t>
      </w:r>
      <w:r>
        <w:rPr>
          <w:rFonts w:hint="default" w:ascii="Times New Roman" w:hAnsi="Times New Roman" w:cs="Times New Roman"/>
          <w:color w:val="FF0000"/>
          <w:sz w:val="24"/>
          <w:szCs w:val="24"/>
          <w:highlight w:val="none"/>
          <w:lang w:val="en-US" w:eastAsia="zh-CN"/>
        </w:rPr>
        <w:t>采矿证</w:t>
      </w:r>
      <w:r>
        <w:rPr>
          <w:rFonts w:hint="eastAsia" w:cs="Times New Roman"/>
          <w:color w:val="FF0000"/>
          <w:sz w:val="24"/>
          <w:szCs w:val="24"/>
          <w:highlight w:val="none"/>
          <w:lang w:val="en-US" w:eastAsia="zh-CN"/>
        </w:rPr>
        <w:t>采矿</w:t>
      </w:r>
      <w:r>
        <w:rPr>
          <w:rFonts w:hint="default" w:ascii="Times New Roman" w:hAnsi="Times New Roman" w:cs="Times New Roman"/>
          <w:color w:val="FF0000"/>
          <w:sz w:val="24"/>
          <w:szCs w:val="24"/>
          <w:highlight w:val="none"/>
          <w:lang w:val="en-US" w:eastAsia="zh-CN"/>
        </w:rPr>
        <w:t>规模为80万吨/年，根据《中华人民共和国矿产资源法》严禁超量开采，本次按照产能80万吨/年开展评价，后续建设单位有新的原料来源，增加产能，提前向主管环保部门提出申请，按照要求</w:t>
      </w:r>
      <w:r>
        <w:rPr>
          <w:rFonts w:hint="eastAsia" w:cs="Times New Roman"/>
          <w:color w:val="FF0000"/>
          <w:sz w:val="24"/>
          <w:szCs w:val="24"/>
          <w:highlight w:val="none"/>
          <w:lang w:val="en-US" w:eastAsia="zh-CN"/>
        </w:rPr>
        <w:t>履行</w:t>
      </w:r>
      <w:r>
        <w:rPr>
          <w:rFonts w:hint="default" w:ascii="Times New Roman" w:hAnsi="Times New Roman" w:cs="Times New Roman"/>
          <w:color w:val="FF0000"/>
          <w:sz w:val="24"/>
          <w:szCs w:val="24"/>
          <w:highlight w:val="none"/>
          <w:lang w:val="en-US" w:eastAsia="zh-CN"/>
        </w:rPr>
        <w:t>环评手续。</w:t>
      </w:r>
    </w:p>
    <w:p w14:paraId="3A7173BF">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（3）本项目矿区气候干旱，无地表水分布且地下水埋</w:t>
      </w:r>
      <w:r>
        <w:rPr>
          <w:rFonts w:hint="default" w:ascii="Times New Roman" w:hAnsi="Times New Roman" w:cs="Times New Roman"/>
          <w:color w:val="auto"/>
          <w:sz w:val="24"/>
          <w:szCs w:val="24"/>
          <w:highlight w:val="none"/>
          <w:lang w:val="en-US" w:eastAsia="zh-CN"/>
        </w:rPr>
        <w:t>藏较深</w:t>
      </w:r>
      <w:r>
        <w:rPr>
          <w:rFonts w:hint="default" w:ascii="Times New Roman" w:hAnsi="Times New Roman" w:cs="Times New Roman"/>
          <w:color w:val="auto"/>
          <w:sz w:val="24"/>
          <w:szCs w:val="24"/>
          <w:highlight w:val="none"/>
        </w:rPr>
        <w:t>。运营期废水主要是生活污水和生产废水。矿区生活污水经</w:t>
      </w:r>
      <w:r>
        <w:rPr>
          <w:rFonts w:hint="default" w:ascii="Times New Roman" w:hAnsi="Times New Roman" w:cs="Times New Roman"/>
          <w:color w:val="auto"/>
          <w:sz w:val="24"/>
          <w:szCs w:val="24"/>
          <w:highlight w:val="none"/>
          <w:lang w:val="en-US" w:eastAsia="zh-CN"/>
        </w:rPr>
        <w:t>地埋式</w:t>
      </w:r>
      <w:r>
        <w:rPr>
          <w:rFonts w:hint="default" w:ascii="Times New Roman" w:hAnsi="Times New Roman" w:cs="Times New Roman"/>
          <w:color w:val="auto"/>
          <w:sz w:val="24"/>
          <w:szCs w:val="24"/>
          <w:highlight w:val="none"/>
        </w:rPr>
        <w:t>一体化污水处理设施处理后用于矿区洒水降尘；生产废水经沉淀后循环利用，不外排。</w:t>
      </w:r>
    </w:p>
    <w:p w14:paraId="4A0615F7">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（4）本项目运营期废气主要是露天开采扬尘、运输扬尘、筛分粉尘、</w:t>
      </w:r>
      <w:r>
        <w:rPr>
          <w:rFonts w:hint="default" w:ascii="Times New Roman" w:hAnsi="Times New Roman" w:cs="Times New Roman"/>
          <w:color w:val="auto"/>
          <w:sz w:val="24"/>
          <w:szCs w:val="24"/>
          <w:highlight w:val="none"/>
          <w:lang w:val="en-US" w:eastAsia="zh-CN"/>
        </w:rPr>
        <w:t>烘干</w:t>
      </w:r>
      <w:r>
        <w:rPr>
          <w:rFonts w:hint="eastAsia" w:cs="Times New Roman"/>
          <w:color w:val="auto"/>
          <w:sz w:val="24"/>
          <w:szCs w:val="24"/>
          <w:highlight w:val="none"/>
          <w:lang w:val="en-US" w:eastAsia="zh-CN"/>
        </w:rPr>
        <w:t>粉尘</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装卸扬尘、堆场扬尘等。露天开采扬尘配套采用移动式雾炮机降尘、分区分片开采等措施处理；运输扬尘通过采取苫布遮盖密闭运输，控制运输车辆行驶速度及装载量，减少物料转运环节，缩短物料运输距离，严禁在大风及暴雨天气进行物料采装、运输等措施；筛分粉尘采用“集气罩+布袋除尘器”除尘，处理后经15m排气筒排放；</w:t>
      </w:r>
      <w:r>
        <w:rPr>
          <w:rFonts w:hint="default" w:ascii="Times New Roman" w:hAnsi="Times New Roman" w:cs="Times New Roman"/>
          <w:color w:val="00B050"/>
          <w:sz w:val="24"/>
          <w:szCs w:val="24"/>
          <w:highlight w:val="none"/>
          <w:lang w:val="en-US" w:eastAsia="zh-CN"/>
        </w:rPr>
        <w:t>烘干炉</w:t>
      </w:r>
      <w:r>
        <w:rPr>
          <w:rFonts w:hint="eastAsia" w:cs="Times New Roman"/>
          <w:color w:val="00B050"/>
          <w:sz w:val="24"/>
          <w:szCs w:val="24"/>
          <w:highlight w:val="none"/>
          <w:lang w:val="en-US" w:eastAsia="zh-CN"/>
        </w:rPr>
        <w:t>采用清洁能源电，烘干粉尘</w:t>
      </w:r>
      <w:r>
        <w:rPr>
          <w:rFonts w:hint="default" w:ascii="Times New Roman" w:hAnsi="Times New Roman" w:cs="Times New Roman"/>
          <w:color w:val="00B050"/>
          <w:sz w:val="24"/>
          <w:szCs w:val="24"/>
          <w:highlight w:val="none"/>
          <w:lang w:val="en-US" w:eastAsia="zh-CN"/>
        </w:rPr>
        <w:t>采取布袋除尘器除尘后，经15m高排气筒排放；</w:t>
      </w:r>
      <w:r>
        <w:rPr>
          <w:rFonts w:hint="default" w:ascii="Times New Roman" w:hAnsi="Times New Roman" w:cs="Times New Roman"/>
          <w:color w:val="auto"/>
          <w:sz w:val="24"/>
          <w:szCs w:val="24"/>
          <w:highlight w:val="none"/>
        </w:rPr>
        <w:t>堆场扬尘采取定期洒水，采用</w:t>
      </w:r>
      <w:r>
        <w:rPr>
          <w:rFonts w:hint="default" w:ascii="Times New Roman" w:hAnsi="Times New Roman" w:cs="Times New Roman"/>
          <w:color w:val="auto"/>
          <w:sz w:val="24"/>
          <w:szCs w:val="24"/>
          <w:highlight w:val="none"/>
          <w:lang w:eastAsia="zh-CN"/>
        </w:rPr>
        <w:t>篷布</w:t>
      </w:r>
      <w:r>
        <w:rPr>
          <w:rFonts w:hint="default" w:ascii="Times New Roman" w:hAnsi="Times New Roman" w:cs="Times New Roman"/>
          <w:color w:val="auto"/>
          <w:sz w:val="24"/>
          <w:szCs w:val="24"/>
          <w:highlight w:val="none"/>
        </w:rPr>
        <w:t>遮盖</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整体来说本项目</w:t>
      </w:r>
      <w:r>
        <w:rPr>
          <w:rFonts w:hint="default" w:ascii="Times New Roman" w:hAnsi="Times New Roman" w:cs="Times New Roman"/>
          <w:color w:val="auto"/>
          <w:sz w:val="24"/>
          <w:szCs w:val="24"/>
          <w:highlight w:val="none"/>
        </w:rPr>
        <w:t>废气影响可控。</w:t>
      </w:r>
    </w:p>
    <w:p w14:paraId="71A8D104">
      <w:pPr>
        <w:spacing w:beforeLines="0" w:afterLines="0"/>
        <w:rPr>
          <w:rFonts w:hint="default" w:ascii="Times New Roman" w:hAnsi="Times New Roman" w:cs="Times New Roman"/>
          <w:color w:val="FF0000"/>
          <w:sz w:val="24"/>
          <w:szCs w:val="24"/>
          <w:highlight w:val="none"/>
        </w:rPr>
      </w:pPr>
      <w:r>
        <w:rPr>
          <w:rFonts w:hint="default" w:ascii="Times New Roman" w:hAnsi="Times New Roman" w:cs="Times New Roman"/>
          <w:color w:val="FF0000"/>
          <w:sz w:val="24"/>
          <w:szCs w:val="24"/>
          <w:highlight w:val="none"/>
        </w:rPr>
        <w:t>（5）本项目矿体开采的过程中会改变土地利用类型、破坏植被，对生态环境有一定的影响，矿山</w:t>
      </w:r>
      <w:r>
        <w:rPr>
          <w:rFonts w:hint="eastAsia" w:cs="Times New Roman"/>
          <w:color w:val="FF0000"/>
          <w:sz w:val="24"/>
          <w:szCs w:val="24"/>
          <w:highlight w:val="none"/>
          <w:lang w:val="en-US" w:eastAsia="zh-CN"/>
        </w:rPr>
        <w:t>在运营期采取边开采，边复垦的措施进行生态恢复，</w:t>
      </w:r>
      <w:r>
        <w:rPr>
          <w:rFonts w:hint="default" w:ascii="Times New Roman" w:hAnsi="Times New Roman" w:cs="Times New Roman"/>
          <w:color w:val="FF0000"/>
          <w:sz w:val="24"/>
          <w:szCs w:val="24"/>
          <w:highlight w:val="none"/>
        </w:rPr>
        <w:t>服务期满后矿山闭矿采取</w:t>
      </w:r>
      <w:r>
        <w:rPr>
          <w:rFonts w:hint="eastAsia" w:cs="Times New Roman"/>
          <w:color w:val="FF0000"/>
          <w:sz w:val="24"/>
          <w:szCs w:val="24"/>
          <w:highlight w:val="none"/>
          <w:lang w:val="en-US" w:eastAsia="zh-CN"/>
        </w:rPr>
        <w:t>拆除地表构筑物、设备</w:t>
      </w:r>
      <w:r>
        <w:rPr>
          <w:rFonts w:hint="default" w:ascii="Times New Roman" w:hAnsi="Times New Roman" w:cs="Times New Roman"/>
          <w:color w:val="FF0000"/>
          <w:sz w:val="24"/>
          <w:szCs w:val="24"/>
          <w:highlight w:val="none"/>
        </w:rPr>
        <w:t>，恢复当地生态环境。</w:t>
      </w:r>
    </w:p>
    <w:p w14:paraId="0981D54F">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（6）项目区西侧紧邻新疆阜康市彩南国家沙化土地封禁保护区，本项目已采取避让措施，矿区不占用保护区范围，距离保护区最近距离</w:t>
      </w:r>
      <w:r>
        <w:rPr>
          <w:rFonts w:hint="default" w:ascii="Times New Roman" w:hAnsi="Times New Roman" w:cs="Times New Roman"/>
          <w:color w:val="auto"/>
          <w:sz w:val="24"/>
          <w:szCs w:val="24"/>
          <w:highlight w:val="none"/>
          <w:lang w:val="en-US" w:eastAsia="zh-CN"/>
        </w:rPr>
        <w:t>900</w:t>
      </w:r>
      <w:r>
        <w:rPr>
          <w:rFonts w:hint="default" w:ascii="Times New Roman" w:hAnsi="Times New Roman" w:cs="Times New Roman"/>
          <w:color w:val="auto"/>
          <w:sz w:val="24"/>
          <w:szCs w:val="24"/>
          <w:highlight w:val="none"/>
        </w:rPr>
        <w:t>m。</w:t>
      </w:r>
    </w:p>
    <w:p w14:paraId="66121E08">
      <w:pPr>
        <w:pStyle w:val="3"/>
        <w:bidi w:val="0"/>
        <w:rPr>
          <w:rFonts w:hint="default"/>
        </w:rPr>
      </w:pPr>
      <w:bookmarkStart w:id="11" w:name="bookmark3"/>
      <w:bookmarkEnd w:id="11"/>
      <w:bookmarkStart w:id="12" w:name="1.3环境影响评价工作过程"/>
      <w:bookmarkEnd w:id="12"/>
      <w:bookmarkStart w:id="13" w:name="_Toc27915"/>
      <w:bookmarkStart w:id="14" w:name="_Toc20050"/>
      <w:r>
        <w:rPr>
          <w:rFonts w:hint="default"/>
        </w:rPr>
        <w:t>环境影响评价工作过程</w:t>
      </w:r>
      <w:bookmarkEnd w:id="13"/>
      <w:bookmarkEnd w:id="14"/>
    </w:p>
    <w:p w14:paraId="5D22FA1D">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本次环境影响评价工作分为三个阶段，即现场踏勘、调查分析和工作方案阶段， 分析论证和预测评价阶段，环境影响评价文件编制阶段。</w:t>
      </w:r>
    </w:p>
    <w:p w14:paraId="361EE627">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本项目环评影响评价的工作流程见图 1.3-1。</w:t>
      </w:r>
    </w:p>
    <w:p w14:paraId="7452606B">
      <w:pPr>
        <w:pStyle w:val="14"/>
        <w:kinsoku w:val="0"/>
        <w:overflowPunct w:val="0"/>
        <w:spacing w:beforeLines="0" w:afterLines="0" w:line="9523" w:lineRule="exact"/>
        <w:ind w:left="1285"/>
        <w:rPr>
          <w:rFonts w:hint="default" w:ascii="Times New Roman" w:hAnsi="Times New Roman" w:cs="Times New Roman"/>
          <w:color w:val="auto"/>
          <w:position w:val="-190"/>
          <w:sz w:val="20"/>
          <w:szCs w:val="24"/>
          <w:highlight w:val="none"/>
        </w:rPr>
      </w:pPr>
      <w:r>
        <w:rPr>
          <w:rFonts w:hint="default" w:ascii="Times New Roman" w:hAnsi="Times New Roman" w:cs="Times New Roman"/>
          <w:color w:val="auto"/>
          <w:position w:val="-190"/>
          <w:sz w:val="20"/>
          <w:szCs w:val="24"/>
          <w:highlight w:val="none"/>
        </w:rPr>
        <w:drawing>
          <wp:inline distT="0" distB="0" distL="114300" distR="114300">
            <wp:extent cx="4529455" cy="6047105"/>
            <wp:effectExtent l="0" t="0" r="4445" b="10795"/>
            <wp:docPr id="13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5"/>
                    <pic:cNvPicPr>
                      <a:picLocks noChangeAspect="1"/>
                    </pic:cNvPicPr>
                  </pic:nvPicPr>
                  <pic:blipFill>
                    <a:blip r:embed="rId10"/>
                    <a:stretch>
                      <a:fillRect/>
                    </a:stretch>
                  </pic:blipFill>
                  <pic:spPr>
                    <a:xfrm>
                      <a:off x="0" y="0"/>
                      <a:ext cx="4529455" cy="6047105"/>
                    </a:xfrm>
                    <a:prstGeom prst="rect">
                      <a:avLst/>
                    </a:prstGeom>
                    <a:noFill/>
                    <a:ln>
                      <a:noFill/>
                    </a:ln>
                  </pic:spPr>
                </pic:pic>
              </a:graphicData>
            </a:graphic>
          </wp:inline>
        </w:drawing>
      </w:r>
    </w:p>
    <w:p w14:paraId="4DF34D42">
      <w:pPr>
        <w:pStyle w:val="14"/>
        <w:tabs>
          <w:tab w:val="left" w:pos="3505"/>
        </w:tabs>
        <w:kinsoku w:val="0"/>
        <w:overflowPunct w:val="0"/>
        <w:spacing w:before="69" w:beforeLines="0" w:afterLines="0"/>
        <w:ind w:left="2103"/>
        <w:rPr>
          <w:rFonts w:hint="default" w:ascii="Times New Roman" w:hAnsi="Times New Roman" w:cs="Times New Roman"/>
          <w:color w:val="auto"/>
          <w:sz w:val="24"/>
          <w:szCs w:val="24"/>
          <w:highlight w:val="none"/>
        </w:rPr>
      </w:pPr>
      <w:r>
        <w:rPr>
          <w:rFonts w:hint="default" w:ascii="Times New Roman" w:hAnsi="Times New Roman" w:cs="Times New Roman"/>
          <w:b/>
          <w:color w:val="auto"/>
          <w:sz w:val="24"/>
          <w:szCs w:val="24"/>
          <w:highlight w:val="none"/>
        </w:rPr>
        <w:t>图</w:t>
      </w:r>
      <w:r>
        <w:rPr>
          <w:rFonts w:hint="default" w:ascii="Times New Roman" w:hAnsi="Times New Roman" w:cs="Times New Roman"/>
          <w:b/>
          <w:color w:val="auto"/>
          <w:spacing w:val="-63"/>
          <w:sz w:val="24"/>
          <w:szCs w:val="24"/>
          <w:highlight w:val="none"/>
        </w:rPr>
        <w:t xml:space="preserve"> </w:t>
      </w:r>
      <w:r>
        <w:rPr>
          <w:rFonts w:hint="default" w:ascii="Times New Roman" w:hAnsi="Times New Roman" w:eastAsia="Times New Roman" w:cs="Times New Roman"/>
          <w:b/>
          <w:color w:val="auto"/>
          <w:sz w:val="24"/>
          <w:szCs w:val="24"/>
          <w:highlight w:val="none"/>
        </w:rPr>
        <w:t>1.3-1</w:t>
      </w:r>
      <w:r>
        <w:rPr>
          <w:rFonts w:hint="default" w:ascii="Times New Roman" w:hAnsi="Times New Roman" w:eastAsia="Times New Roman" w:cs="Times New Roman"/>
          <w:b/>
          <w:color w:val="auto"/>
          <w:sz w:val="24"/>
          <w:szCs w:val="24"/>
          <w:highlight w:val="none"/>
        </w:rPr>
        <w:tab/>
      </w:r>
      <w:r>
        <w:rPr>
          <w:rFonts w:hint="default" w:ascii="Times New Roman" w:hAnsi="Times New Roman" w:cs="Times New Roman"/>
          <w:b/>
          <w:color w:val="auto"/>
          <w:sz w:val="24"/>
          <w:szCs w:val="24"/>
          <w:highlight w:val="none"/>
        </w:rPr>
        <w:t>建设项目环境影响评价工作程序图</w:t>
      </w:r>
    </w:p>
    <w:p w14:paraId="78466A2B">
      <w:pPr>
        <w:pStyle w:val="14"/>
        <w:kinsoku w:val="0"/>
        <w:overflowPunct w:val="0"/>
        <w:spacing w:beforeLines="0" w:afterLines="0" w:line="251" w:lineRule="exact"/>
        <w:ind w:left="4566"/>
        <w:rPr>
          <w:rFonts w:hint="default" w:ascii="Times New Roman" w:hAnsi="Times New Roman" w:cs="Times New Roman"/>
          <w:color w:val="auto"/>
          <w:sz w:val="21"/>
          <w:szCs w:val="24"/>
          <w:highlight w:val="none"/>
        </w:rPr>
        <w:sectPr>
          <w:footerReference r:id="rId5" w:type="default"/>
          <w:pgSz w:w="11910" w:h="16840"/>
          <w:pgMar w:top="1361" w:right="1340" w:bottom="1134" w:left="1340" w:header="1050" w:footer="850" w:gutter="0"/>
          <w:pgBorders>
            <w:top w:val="none" w:sz="0" w:space="0"/>
            <w:left w:val="none" w:sz="0" w:space="0"/>
            <w:bottom w:val="none" w:sz="0" w:space="0"/>
            <w:right w:val="none" w:sz="0" w:space="0"/>
          </w:pgBorders>
          <w:lnNumType w:countBy="0" w:distance="360"/>
          <w:cols w:space="0" w:num="1"/>
          <w:rtlGutter w:val="0"/>
          <w:docGrid w:linePitch="0" w:charSpace="0"/>
        </w:sectPr>
      </w:pPr>
    </w:p>
    <w:p w14:paraId="49135FED">
      <w:pPr>
        <w:pStyle w:val="3"/>
        <w:bidi w:val="0"/>
        <w:rPr>
          <w:rFonts w:hint="default"/>
        </w:rPr>
      </w:pPr>
      <w:bookmarkStart w:id="15" w:name="bookmark4"/>
      <w:bookmarkEnd w:id="15"/>
      <w:bookmarkStart w:id="16" w:name="1.4分析判定相关情况"/>
      <w:bookmarkEnd w:id="16"/>
      <w:bookmarkStart w:id="17" w:name="_Toc18500"/>
      <w:bookmarkStart w:id="18" w:name="_Toc2120"/>
      <w:r>
        <w:rPr>
          <w:rFonts w:hint="default"/>
        </w:rPr>
        <w:t>分析判定相关情况</w:t>
      </w:r>
      <w:bookmarkEnd w:id="17"/>
      <w:bookmarkEnd w:id="18"/>
    </w:p>
    <w:p w14:paraId="20532775">
      <w:pPr>
        <w:pStyle w:val="4"/>
        <w:bidi w:val="0"/>
        <w:rPr>
          <w:rFonts w:hint="default"/>
        </w:rPr>
      </w:pPr>
      <w:bookmarkStart w:id="19" w:name="1.4.1产业政策符合性"/>
      <w:bookmarkEnd w:id="19"/>
      <w:r>
        <w:rPr>
          <w:rFonts w:hint="default"/>
        </w:rPr>
        <w:t>准入条件与“三线一单”符合性分析</w:t>
      </w:r>
    </w:p>
    <w:p w14:paraId="6AF8E880">
      <w:pPr>
        <w:pStyle w:val="5"/>
        <w:bidi w:val="0"/>
        <w:rPr>
          <w:rFonts w:hint="default"/>
        </w:rPr>
      </w:pPr>
      <w:bookmarkStart w:id="20" w:name="1.4.2.1《市场准入负面清单》（2022年版）符合性分析"/>
      <w:bookmarkEnd w:id="20"/>
      <w:r>
        <w:rPr>
          <w:rFonts w:hint="default"/>
        </w:rPr>
        <w:t>《市场准入负面清单》（202</w:t>
      </w:r>
      <w:r>
        <w:rPr>
          <w:rFonts w:hint="eastAsia"/>
          <w:lang w:val="en-US" w:eastAsia="zh-CN"/>
        </w:rPr>
        <w:t>5</w:t>
      </w:r>
      <w:r>
        <w:rPr>
          <w:rFonts w:hint="default"/>
        </w:rPr>
        <w:t>年版）符合性分析</w:t>
      </w:r>
    </w:p>
    <w:p w14:paraId="79A744CF">
      <w:pPr>
        <w:spacing w:beforeLines="0" w:afterLines="0"/>
        <w:rPr>
          <w:rFonts w:hint="default" w:ascii="Times New Roman" w:hAnsi="Times New Roman" w:cs="Times New Roman"/>
          <w:color w:val="FF0000"/>
          <w:sz w:val="24"/>
          <w:szCs w:val="24"/>
          <w:highlight w:val="none"/>
        </w:rPr>
      </w:pPr>
      <w:r>
        <w:rPr>
          <w:rFonts w:hint="default" w:ascii="Times New Roman" w:hAnsi="Times New Roman" w:cs="Times New Roman"/>
          <w:color w:val="FF0000"/>
          <w:sz w:val="24"/>
          <w:szCs w:val="24"/>
          <w:highlight w:val="none"/>
        </w:rPr>
        <w:t>《市场准入负面清单》（202</w:t>
      </w:r>
      <w:r>
        <w:rPr>
          <w:rFonts w:hint="eastAsia" w:cs="Times New Roman"/>
          <w:color w:val="FF0000"/>
          <w:sz w:val="24"/>
          <w:szCs w:val="24"/>
          <w:highlight w:val="none"/>
          <w:lang w:val="en-US" w:eastAsia="zh-CN"/>
        </w:rPr>
        <w:t>5</w:t>
      </w:r>
      <w:r>
        <w:rPr>
          <w:rFonts w:hint="default" w:ascii="Times New Roman" w:hAnsi="Times New Roman" w:cs="Times New Roman"/>
          <w:color w:val="FF0000"/>
          <w:sz w:val="24"/>
          <w:szCs w:val="24"/>
          <w:highlight w:val="none"/>
        </w:rPr>
        <w:t>年版）要求国家产业政策明令淘汰和限制的产品、技术、工艺、设备及行为禁止准入，提出《产业结构调整指导目录》中的淘汰类项目禁止投资；限制类项目禁止新建。本项目属于《产业结构调整指导目录》（</w:t>
      </w:r>
      <w:r>
        <w:rPr>
          <w:rFonts w:hint="default" w:ascii="Times New Roman" w:hAnsi="Times New Roman" w:cs="Times New Roman"/>
          <w:color w:val="FF0000"/>
          <w:sz w:val="24"/>
          <w:szCs w:val="24"/>
          <w:highlight w:val="none"/>
          <w:lang w:val="en-US" w:eastAsia="zh-CN"/>
        </w:rPr>
        <w:t>2024</w:t>
      </w:r>
      <w:r>
        <w:rPr>
          <w:rFonts w:hint="default" w:ascii="Times New Roman" w:hAnsi="Times New Roman" w:cs="Times New Roman"/>
          <w:color w:val="FF0000"/>
          <w:sz w:val="24"/>
          <w:szCs w:val="24"/>
          <w:highlight w:val="none"/>
        </w:rPr>
        <w:t>年</w:t>
      </w:r>
      <w:r>
        <w:rPr>
          <w:rFonts w:hint="default" w:ascii="Times New Roman" w:hAnsi="Times New Roman" w:cs="Times New Roman"/>
          <w:color w:val="FF0000"/>
          <w:sz w:val="24"/>
          <w:szCs w:val="24"/>
          <w:highlight w:val="none"/>
          <w:lang w:val="en-US" w:eastAsia="zh-CN"/>
        </w:rPr>
        <w:t>本</w:t>
      </w:r>
      <w:r>
        <w:rPr>
          <w:rFonts w:hint="default" w:ascii="Times New Roman" w:hAnsi="Times New Roman" w:cs="Times New Roman"/>
          <w:color w:val="FF0000"/>
          <w:sz w:val="24"/>
          <w:szCs w:val="24"/>
          <w:highlight w:val="none"/>
        </w:rPr>
        <w:t>）中的允许类项目，符合《市场准入负面清单》（202</w:t>
      </w:r>
      <w:r>
        <w:rPr>
          <w:rFonts w:hint="eastAsia" w:cs="Times New Roman"/>
          <w:color w:val="FF0000"/>
          <w:sz w:val="24"/>
          <w:szCs w:val="24"/>
          <w:highlight w:val="none"/>
          <w:lang w:val="en-US" w:eastAsia="zh-CN"/>
        </w:rPr>
        <w:t>5</w:t>
      </w:r>
      <w:r>
        <w:rPr>
          <w:rFonts w:hint="default" w:ascii="Times New Roman" w:hAnsi="Times New Roman" w:cs="Times New Roman"/>
          <w:color w:val="FF0000"/>
          <w:sz w:val="24"/>
          <w:szCs w:val="24"/>
          <w:highlight w:val="none"/>
        </w:rPr>
        <w:t>年版）要求。</w:t>
      </w:r>
    </w:p>
    <w:p w14:paraId="4CCFC428">
      <w:pPr>
        <w:pStyle w:val="5"/>
        <w:bidi w:val="0"/>
        <w:rPr>
          <w:rFonts w:hint="default"/>
        </w:rPr>
      </w:pPr>
      <w:bookmarkStart w:id="21" w:name="1.4.2.2与《新疆维吾尔自治区重点行业环境准入条件（修订）》符合性"/>
      <w:bookmarkEnd w:id="21"/>
      <w:r>
        <w:rPr>
          <w:rFonts w:hint="default"/>
        </w:rPr>
        <w:t>与《新疆维吾尔自治区重点行业环境准入条件（</w:t>
      </w:r>
      <w:r>
        <w:rPr>
          <w:rFonts w:hint="default"/>
          <w:lang w:val="en-US" w:eastAsia="zh-CN"/>
        </w:rPr>
        <w:t>2024年本</w:t>
      </w:r>
      <w:r>
        <w:rPr>
          <w:rFonts w:hint="default"/>
        </w:rPr>
        <w:t>）》符合性</w:t>
      </w:r>
    </w:p>
    <w:p w14:paraId="5C994E64">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《新疆维吾尔自治区重点行业环境准入条件（</w:t>
      </w:r>
      <w:r>
        <w:rPr>
          <w:rFonts w:hint="default" w:ascii="Times New Roman" w:hAnsi="Times New Roman" w:cs="Times New Roman"/>
          <w:color w:val="auto"/>
          <w:sz w:val="24"/>
          <w:szCs w:val="24"/>
          <w:highlight w:val="none"/>
          <w:lang w:val="en-US" w:eastAsia="zh-CN"/>
        </w:rPr>
        <w:t>2024年本</w:t>
      </w:r>
      <w:r>
        <w:rPr>
          <w:rFonts w:hint="default" w:ascii="Times New Roman" w:hAnsi="Times New Roman" w:cs="Times New Roman"/>
          <w:color w:val="auto"/>
          <w:sz w:val="24"/>
          <w:szCs w:val="24"/>
          <w:highlight w:val="none"/>
        </w:rPr>
        <w:t>）》中第二条非金属矿采选行业的要求，本项目与环境准入条件的符合性分析见表1.4-1。</w:t>
      </w:r>
    </w:p>
    <w:p w14:paraId="55E71BD4">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表1.4-1</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本项目与《新疆维吾尔自治区重点行业环境准入条件（</w:t>
      </w:r>
      <w:r>
        <w:rPr>
          <w:rFonts w:hint="default" w:ascii="Times New Roman" w:hAnsi="Times New Roman" w:cs="Times New Roman"/>
          <w:color w:val="auto"/>
          <w:highlight w:val="none"/>
          <w:lang w:val="en-US" w:eastAsia="zh-CN"/>
        </w:rPr>
        <w:t>2024年本</w:t>
      </w:r>
      <w:r>
        <w:rPr>
          <w:rFonts w:hint="default" w:ascii="Times New Roman" w:hAnsi="Times New Roman" w:cs="Times New Roman"/>
          <w:color w:val="auto"/>
          <w:highlight w:val="none"/>
        </w:rPr>
        <w:t>）》的符合性分析</w:t>
      </w:r>
    </w:p>
    <w:tbl>
      <w:tblPr>
        <w:tblStyle w:val="31"/>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5042"/>
        <w:gridCol w:w="3055"/>
        <w:gridCol w:w="726"/>
      </w:tblGrid>
      <w:tr w14:paraId="67D6A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1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7F0216D">
            <w:pPr>
              <w:pStyle w:val="48"/>
              <w:keepNext w:val="0"/>
              <w:keepLines w:val="0"/>
              <w:pageBreakBefore w:val="0"/>
              <w:widowControl w:val="0"/>
              <w:kinsoku w:val="0"/>
              <w:wordWrap/>
              <w:overflowPunct w:val="0"/>
              <w:topLinePunct w:val="0"/>
              <w:autoSpaceDE w:val="0"/>
              <w:autoSpaceDN w:val="0"/>
              <w:bidi w:val="0"/>
              <w:adjustRightInd w:val="0"/>
              <w:snapToGrid/>
              <w:ind w:left="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项目</w:t>
            </w:r>
          </w:p>
        </w:tc>
        <w:tc>
          <w:tcPr>
            <w:tcW w:w="272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57C7735">
            <w:pPr>
              <w:pStyle w:val="48"/>
              <w:keepNext w:val="0"/>
              <w:keepLines w:val="0"/>
              <w:pageBreakBefore w:val="0"/>
              <w:widowControl w:val="0"/>
              <w:kinsoku w:val="0"/>
              <w:wordWrap/>
              <w:overflowPunct w:val="0"/>
              <w:topLinePunct w:val="0"/>
              <w:autoSpaceDE w:val="0"/>
              <w:autoSpaceDN w:val="0"/>
              <w:bidi w:val="0"/>
              <w:adjustRightInd w:val="0"/>
              <w:snapToGrid/>
              <w:ind w:left="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准入条件要求</w:t>
            </w:r>
          </w:p>
        </w:tc>
        <w:tc>
          <w:tcPr>
            <w:tcW w:w="165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EA0AAEB">
            <w:pPr>
              <w:pStyle w:val="48"/>
              <w:keepNext w:val="0"/>
              <w:keepLines w:val="0"/>
              <w:pageBreakBefore w:val="0"/>
              <w:widowControl w:val="0"/>
              <w:kinsoku w:val="0"/>
              <w:wordWrap/>
              <w:overflowPunct w:val="0"/>
              <w:topLinePunct w:val="0"/>
              <w:autoSpaceDE w:val="0"/>
              <w:autoSpaceDN w:val="0"/>
              <w:bidi w:val="0"/>
              <w:adjustRightInd w:val="0"/>
              <w:snapToGrid/>
              <w:ind w:left="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本项目情况</w:t>
            </w:r>
          </w:p>
        </w:tc>
        <w:tc>
          <w:tcPr>
            <w:tcW w:w="40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D1B1EA4">
            <w:pPr>
              <w:pStyle w:val="48"/>
              <w:keepNext w:val="0"/>
              <w:keepLines w:val="0"/>
              <w:pageBreakBefore w:val="0"/>
              <w:widowControl w:val="0"/>
              <w:kinsoku w:val="0"/>
              <w:wordWrap/>
              <w:overflowPunct w:val="0"/>
              <w:topLinePunct w:val="0"/>
              <w:autoSpaceDE w:val="0"/>
              <w:autoSpaceDN w:val="0"/>
              <w:bidi w:val="0"/>
              <w:adjustRightInd w:val="0"/>
              <w:snapToGrid/>
              <w:ind w:left="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p w14:paraId="2D871360">
            <w:pPr>
              <w:pStyle w:val="48"/>
              <w:keepNext w:val="0"/>
              <w:keepLines w:val="0"/>
              <w:pageBreakBefore w:val="0"/>
              <w:widowControl w:val="0"/>
              <w:kinsoku w:val="0"/>
              <w:wordWrap/>
              <w:overflowPunct w:val="0"/>
              <w:topLinePunct w:val="0"/>
              <w:autoSpaceDE w:val="0"/>
              <w:autoSpaceDN w:val="0"/>
              <w:bidi w:val="0"/>
              <w:adjustRightInd w:val="0"/>
              <w:snapToGrid/>
              <w:ind w:left="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性</w:t>
            </w:r>
          </w:p>
        </w:tc>
      </w:tr>
      <w:tr w14:paraId="165CE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7AD2BE90">
            <w:pPr>
              <w:pStyle w:val="48"/>
              <w:keepNext w:val="0"/>
              <w:keepLines w:val="0"/>
              <w:pageBreakBefore w:val="0"/>
              <w:widowControl w:val="0"/>
              <w:kinsoku w:val="0"/>
              <w:wordWrap/>
              <w:overflowPunct w:val="0"/>
              <w:topLinePunct w:val="0"/>
              <w:autoSpaceDE w:val="0"/>
              <w:autoSpaceDN w:val="0"/>
              <w:bidi w:val="0"/>
              <w:adjustRightInd w:val="0"/>
              <w:snapToGrid/>
              <w:ind w:left="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选址与空间布局</w:t>
            </w:r>
          </w:p>
        </w:tc>
        <w:tc>
          <w:tcPr>
            <w:tcW w:w="272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B2A0996">
            <w:pPr>
              <w:pStyle w:val="48"/>
              <w:keepNext w:val="0"/>
              <w:keepLines w:val="0"/>
              <w:pageBreakBefore w:val="0"/>
              <w:widowControl w:val="0"/>
              <w:kinsoku w:val="0"/>
              <w:wordWrap/>
              <w:overflowPunct w:val="0"/>
              <w:topLinePunct w:val="0"/>
              <w:autoSpaceDE w:val="0"/>
              <w:autoSpaceDN w:val="0"/>
              <w:bidi w:val="0"/>
              <w:adjustRightInd w:val="0"/>
              <w:snapToGrid/>
              <w:ind w:left="0"/>
              <w:jc w:val="center"/>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1.禁止在重要工业区、大型水利工程设施、城镇市政工程设施所在区域，军事管理区、机场、国防工程设施圈定的区域，高速公路、国道、省道等重要交通干线两侧用地外缘200米范围内(确有必要可根据实际情况论证)，铁路线路两侧路堤坡脚、路堑坡顶、铁路桥梁外侧起各1000米范围内及在铁路隧道上方中心线两侧各1000米范围内建设非金属矿采矿项目。居民聚集区1千米以内禁止石灰石开采</w:t>
            </w:r>
            <w:r>
              <w:rPr>
                <w:rFonts w:hint="default" w:ascii="Times New Roman" w:hAnsi="Times New Roman" w:cs="Times New Roman"/>
                <w:color w:val="auto"/>
                <w:highlight w:val="none"/>
                <w:lang w:eastAsia="zh-CN"/>
              </w:rPr>
              <w:t>。</w:t>
            </w:r>
          </w:p>
        </w:tc>
        <w:tc>
          <w:tcPr>
            <w:tcW w:w="165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94B59EF">
            <w:pPr>
              <w:pStyle w:val="48"/>
              <w:keepNext w:val="0"/>
              <w:keepLines w:val="0"/>
              <w:pageBreakBefore w:val="0"/>
              <w:widowControl w:val="0"/>
              <w:kinsoku w:val="0"/>
              <w:wordWrap/>
              <w:overflowPunct w:val="0"/>
              <w:topLinePunct w:val="0"/>
              <w:autoSpaceDE w:val="0"/>
              <w:autoSpaceDN w:val="0"/>
              <w:bidi w:val="0"/>
              <w:adjustRightInd w:val="0"/>
              <w:snapToGrid/>
              <w:ind w:left="0"/>
              <w:jc w:val="center"/>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本项目矿址不在该条中圈定的重要工业区等区域，周围200m范围内不涉及</w:t>
            </w:r>
            <w:r>
              <w:rPr>
                <w:rFonts w:hint="default" w:ascii="Times New Roman" w:hAnsi="Times New Roman" w:cs="Times New Roman"/>
                <w:color w:val="auto"/>
                <w:highlight w:val="none"/>
              </w:rPr>
              <w:t>高速公路、国道、省道等重要交通干线。</w:t>
            </w:r>
            <w:r>
              <w:rPr>
                <w:rFonts w:hint="default" w:ascii="Times New Roman" w:hAnsi="Times New Roman" w:cs="Times New Roman"/>
                <w:color w:val="auto"/>
                <w:highlight w:val="none"/>
                <w:lang w:val="en-US" w:eastAsia="zh-CN"/>
              </w:rPr>
              <w:t>周边1km范围无居民聚集区。</w:t>
            </w:r>
          </w:p>
        </w:tc>
        <w:tc>
          <w:tcPr>
            <w:tcW w:w="40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841B9CA">
            <w:pPr>
              <w:pStyle w:val="48"/>
              <w:keepNext w:val="0"/>
              <w:keepLines w:val="0"/>
              <w:pageBreakBefore w:val="0"/>
              <w:widowControl w:val="0"/>
              <w:kinsoku w:val="0"/>
              <w:wordWrap/>
              <w:overflowPunct w:val="0"/>
              <w:topLinePunct w:val="0"/>
              <w:autoSpaceDE w:val="0"/>
              <w:autoSpaceDN w:val="0"/>
              <w:bidi w:val="0"/>
              <w:adjustRightInd w:val="0"/>
              <w:snapToGrid/>
              <w:ind w:left="0"/>
              <w:jc w:val="center"/>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符合</w:t>
            </w:r>
          </w:p>
        </w:tc>
      </w:tr>
      <w:tr w14:paraId="4994B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0E5CE33B">
            <w:pPr>
              <w:pStyle w:val="48"/>
              <w:keepNext w:val="0"/>
              <w:keepLines w:val="0"/>
              <w:pageBreakBefore w:val="0"/>
              <w:widowControl w:val="0"/>
              <w:kinsoku w:val="0"/>
              <w:wordWrap/>
              <w:overflowPunct w:val="0"/>
              <w:topLinePunct w:val="0"/>
              <w:autoSpaceDE w:val="0"/>
              <w:autoSpaceDN w:val="0"/>
              <w:bidi w:val="0"/>
              <w:adjustRightInd w:val="0"/>
              <w:snapToGrid/>
              <w:ind w:left="0"/>
              <w:jc w:val="center"/>
              <w:textAlignment w:val="auto"/>
              <w:rPr>
                <w:rFonts w:hint="default" w:ascii="Times New Roman" w:hAnsi="Times New Roman" w:cs="Times New Roman"/>
                <w:color w:val="auto"/>
                <w:highlight w:val="none"/>
              </w:rPr>
            </w:pPr>
          </w:p>
        </w:tc>
        <w:tc>
          <w:tcPr>
            <w:tcW w:w="272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8884EB4">
            <w:pPr>
              <w:pStyle w:val="48"/>
              <w:keepNext w:val="0"/>
              <w:keepLines w:val="0"/>
              <w:pageBreakBefore w:val="0"/>
              <w:widowControl w:val="0"/>
              <w:kinsoku w:val="0"/>
              <w:wordWrap/>
              <w:overflowPunct w:val="0"/>
              <w:topLinePunct w:val="0"/>
              <w:autoSpaceDE w:val="0"/>
              <w:autoSpaceDN w:val="0"/>
              <w:bidi w:val="0"/>
              <w:adjustRightInd w:val="0"/>
              <w:snapToGrid/>
              <w:ind w:left="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2.河道范围及其附近的非金属矿采选项目应符合国家和自治区河道管理条例要求，具体根据矿产资源开发利用结论和环境影响评价结论管控。</w:t>
            </w:r>
          </w:p>
        </w:tc>
        <w:tc>
          <w:tcPr>
            <w:tcW w:w="165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16EF98D">
            <w:pPr>
              <w:pStyle w:val="48"/>
              <w:keepNext w:val="0"/>
              <w:keepLines w:val="0"/>
              <w:pageBreakBefore w:val="0"/>
              <w:widowControl w:val="0"/>
              <w:kinsoku w:val="0"/>
              <w:wordWrap/>
              <w:overflowPunct w:val="0"/>
              <w:topLinePunct w:val="0"/>
              <w:autoSpaceDE w:val="0"/>
              <w:autoSpaceDN w:val="0"/>
              <w:bidi w:val="0"/>
              <w:adjustRightInd w:val="0"/>
              <w:snapToGrid/>
              <w:ind w:left="0"/>
              <w:jc w:val="center"/>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项目不涉及地表水体。</w:t>
            </w:r>
          </w:p>
        </w:tc>
        <w:tc>
          <w:tcPr>
            <w:tcW w:w="40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E1903DF">
            <w:pPr>
              <w:pStyle w:val="48"/>
              <w:keepNext w:val="0"/>
              <w:keepLines w:val="0"/>
              <w:pageBreakBefore w:val="0"/>
              <w:widowControl w:val="0"/>
              <w:kinsoku w:val="0"/>
              <w:wordWrap/>
              <w:overflowPunct w:val="0"/>
              <w:topLinePunct w:val="0"/>
              <w:autoSpaceDE w:val="0"/>
              <w:autoSpaceDN w:val="0"/>
              <w:bidi w:val="0"/>
              <w:adjustRightInd w:val="0"/>
              <w:snapToGrid/>
              <w:ind w:left="0"/>
              <w:jc w:val="center"/>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符合</w:t>
            </w:r>
          </w:p>
        </w:tc>
      </w:tr>
      <w:tr w14:paraId="1E066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30C1F813">
            <w:pPr>
              <w:pStyle w:val="48"/>
              <w:keepNext w:val="0"/>
              <w:keepLines w:val="0"/>
              <w:pageBreakBefore w:val="0"/>
              <w:widowControl w:val="0"/>
              <w:kinsoku w:val="0"/>
              <w:wordWrap/>
              <w:overflowPunct w:val="0"/>
              <w:topLinePunct w:val="0"/>
              <w:autoSpaceDE w:val="0"/>
              <w:autoSpaceDN w:val="0"/>
              <w:bidi w:val="0"/>
              <w:adjustRightInd w:val="0"/>
              <w:snapToGrid/>
              <w:ind w:left="0"/>
              <w:jc w:val="center"/>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污染防治与环境影响</w:t>
            </w:r>
          </w:p>
        </w:tc>
        <w:tc>
          <w:tcPr>
            <w:tcW w:w="272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E947D39">
            <w:pPr>
              <w:pStyle w:val="48"/>
              <w:keepNext w:val="0"/>
              <w:keepLines w:val="0"/>
              <w:pageBreakBefore w:val="0"/>
              <w:widowControl w:val="0"/>
              <w:kinsoku w:val="0"/>
              <w:wordWrap/>
              <w:overflowPunct w:val="0"/>
              <w:topLinePunct w:val="0"/>
              <w:autoSpaceDE w:val="0"/>
              <w:autoSpaceDN w:val="0"/>
              <w:bidi w:val="0"/>
              <w:adjustRightInd w:val="0"/>
              <w:snapToGrid/>
              <w:ind w:left="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矿石开采须采用湿式凿岩作业方式。矿石转运、破碎筛分等粉尘产生工序，须配备抑尘、除尘设施，除尘效率不低于99%。矿石、废石堆场须采用酒水抑尘、设置围挡等无组织粉尘防治措施。大气污染物排放须满足《大气污染物综合排放标准》(GB16297)要求，有行业排放标准的执行行业标准。</w:t>
            </w:r>
          </w:p>
        </w:tc>
        <w:tc>
          <w:tcPr>
            <w:tcW w:w="165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C37F72D">
            <w:pPr>
              <w:pStyle w:val="48"/>
              <w:keepNext w:val="0"/>
              <w:keepLines w:val="0"/>
              <w:pageBreakBefore w:val="0"/>
              <w:widowControl w:val="0"/>
              <w:kinsoku w:val="0"/>
              <w:wordWrap/>
              <w:overflowPunct w:val="0"/>
              <w:topLinePunct w:val="0"/>
              <w:autoSpaceDE w:val="0"/>
              <w:autoSpaceDN w:val="0"/>
              <w:bidi w:val="0"/>
              <w:adjustRightInd w:val="0"/>
              <w:snapToGrid/>
              <w:ind w:left="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本项目为露天开采，采取铲车装运方式，装运过程</w:t>
            </w:r>
            <w:r>
              <w:rPr>
                <w:rFonts w:hint="default" w:ascii="Times New Roman" w:hAnsi="Times New Roman" w:cs="Times New Roman"/>
                <w:color w:val="auto"/>
                <w:highlight w:val="none"/>
              </w:rPr>
              <w:t>配套采用移动式雾炮机降尘、分区分片开采等措施处理；筛分粉尘采用“集气罩+布袋除尘器”除尘，处理后经15m排气筒排放；</w:t>
            </w:r>
            <w:r>
              <w:rPr>
                <w:rFonts w:hint="default" w:ascii="Times New Roman" w:hAnsi="Times New Roman" w:cs="Times New Roman"/>
                <w:color w:val="00B050"/>
                <w:highlight w:val="none"/>
                <w:lang w:val="en-US" w:eastAsia="zh-CN"/>
              </w:rPr>
              <w:t>烘干</w:t>
            </w:r>
            <w:r>
              <w:rPr>
                <w:rFonts w:hint="eastAsia" w:ascii="Times New Roman" w:hAnsi="Times New Roman" w:cs="Times New Roman"/>
                <w:color w:val="00B050"/>
                <w:highlight w:val="none"/>
                <w:lang w:val="en-US" w:eastAsia="zh-CN"/>
              </w:rPr>
              <w:t>工序的粉尘</w:t>
            </w:r>
            <w:r>
              <w:rPr>
                <w:rFonts w:hint="default" w:ascii="Times New Roman" w:hAnsi="Times New Roman" w:cs="Times New Roman"/>
                <w:color w:val="00B050"/>
                <w:highlight w:val="none"/>
                <w:lang w:val="en-US" w:eastAsia="zh-CN"/>
              </w:rPr>
              <w:t>经布袋除尘器除尘后，通过15m高排气筒排放</w:t>
            </w:r>
            <w:r>
              <w:rPr>
                <w:rFonts w:hint="default" w:ascii="Times New Roman" w:hAnsi="Times New Roman" w:cs="Times New Roman"/>
                <w:color w:val="00B050"/>
                <w:highlight w:val="none"/>
                <w:lang w:eastAsia="zh-CN"/>
              </w:rPr>
              <w:t>；</w:t>
            </w:r>
            <w:r>
              <w:rPr>
                <w:rFonts w:hint="default" w:ascii="Times New Roman" w:hAnsi="Times New Roman" w:cs="Times New Roman"/>
                <w:color w:val="auto"/>
                <w:highlight w:val="none"/>
              </w:rPr>
              <w:t>堆场扬尘采取定期洒水，上部采用</w:t>
            </w:r>
            <w:r>
              <w:rPr>
                <w:rFonts w:hint="default" w:ascii="Times New Roman" w:hAnsi="Times New Roman" w:cs="Times New Roman"/>
                <w:color w:val="auto"/>
                <w:highlight w:val="none"/>
                <w:lang w:val="en-US" w:eastAsia="zh-CN"/>
              </w:rPr>
              <w:t>篷布</w:t>
            </w:r>
            <w:r>
              <w:rPr>
                <w:rFonts w:hint="default" w:ascii="Times New Roman" w:hAnsi="Times New Roman" w:cs="Times New Roman"/>
                <w:color w:val="auto"/>
                <w:highlight w:val="none"/>
              </w:rPr>
              <w:t>遮盖，废气影响可控。粉尘排放</w:t>
            </w:r>
            <w:r>
              <w:rPr>
                <w:rFonts w:hint="default" w:ascii="Times New Roman" w:hAnsi="Times New Roman" w:cs="Times New Roman"/>
                <w:color w:val="auto"/>
                <w:highlight w:val="none"/>
                <w:lang w:val="en-US" w:eastAsia="zh-CN"/>
              </w:rPr>
              <w:t>满足</w:t>
            </w:r>
            <w:r>
              <w:rPr>
                <w:rFonts w:hint="default" w:ascii="Times New Roman" w:hAnsi="Times New Roman" w:cs="Times New Roman"/>
                <w:color w:val="auto"/>
                <w:highlight w:val="none"/>
              </w:rPr>
              <w:t>《大气污染物综合排放标准》（GB16297-1996）排放限值要求。</w:t>
            </w:r>
          </w:p>
        </w:tc>
        <w:tc>
          <w:tcPr>
            <w:tcW w:w="40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4CC0FFA">
            <w:pPr>
              <w:pStyle w:val="48"/>
              <w:keepNext w:val="0"/>
              <w:keepLines w:val="0"/>
              <w:pageBreakBefore w:val="0"/>
              <w:widowControl w:val="0"/>
              <w:kinsoku w:val="0"/>
              <w:wordWrap/>
              <w:overflowPunct w:val="0"/>
              <w:topLinePunct w:val="0"/>
              <w:autoSpaceDE w:val="0"/>
              <w:autoSpaceDN w:val="0"/>
              <w:bidi w:val="0"/>
              <w:adjustRightInd w:val="0"/>
              <w:snapToGrid/>
              <w:ind w:left="0"/>
              <w:jc w:val="center"/>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符合</w:t>
            </w:r>
          </w:p>
        </w:tc>
      </w:tr>
      <w:tr w14:paraId="3BA04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46EB3177">
            <w:pPr>
              <w:pStyle w:val="48"/>
              <w:keepNext w:val="0"/>
              <w:keepLines w:val="0"/>
              <w:pageBreakBefore w:val="0"/>
              <w:widowControl w:val="0"/>
              <w:kinsoku w:val="0"/>
              <w:wordWrap/>
              <w:overflowPunct w:val="0"/>
              <w:topLinePunct w:val="0"/>
              <w:autoSpaceDE w:val="0"/>
              <w:autoSpaceDN w:val="0"/>
              <w:bidi w:val="0"/>
              <w:adjustRightInd w:val="0"/>
              <w:snapToGrid/>
              <w:ind w:left="0"/>
              <w:jc w:val="center"/>
              <w:textAlignment w:val="auto"/>
              <w:rPr>
                <w:rFonts w:hint="default" w:ascii="Times New Roman" w:hAnsi="Times New Roman" w:cs="Times New Roman"/>
                <w:color w:val="auto"/>
                <w:highlight w:val="none"/>
              </w:rPr>
            </w:pPr>
          </w:p>
        </w:tc>
        <w:tc>
          <w:tcPr>
            <w:tcW w:w="272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73BECDA">
            <w:pPr>
              <w:pStyle w:val="48"/>
              <w:keepNext w:val="0"/>
              <w:keepLines w:val="0"/>
              <w:pageBreakBefore w:val="0"/>
              <w:widowControl w:val="0"/>
              <w:kinsoku w:val="0"/>
              <w:wordWrap/>
              <w:overflowPunct w:val="0"/>
              <w:topLinePunct w:val="0"/>
              <w:autoSpaceDE w:val="0"/>
              <w:autoSpaceDN w:val="0"/>
              <w:bidi w:val="0"/>
              <w:adjustRightInd w:val="0"/>
              <w:snapToGrid/>
              <w:ind w:left="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严禁未经处理的采矿废水直接排放，禁止利用渗井渗坑、裂隙和溶洞等排放废水。鼓励将矿坑水优先作为生产用水和辅助水源利用。在于旱缺水地区，鼓励将外排矿坑水处理达标后用于农林灌溉，生活污水处理达标后尽量综合利用，边远矿区的生活污水排放和综合利用可参照《农村生活污水处理排放标准》(DB65/4275)要求管控。</w:t>
            </w:r>
          </w:p>
        </w:tc>
        <w:tc>
          <w:tcPr>
            <w:tcW w:w="165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B7BB34F">
            <w:pPr>
              <w:pStyle w:val="48"/>
              <w:keepNext w:val="0"/>
              <w:keepLines w:val="0"/>
              <w:pageBreakBefore w:val="0"/>
              <w:widowControl w:val="0"/>
              <w:kinsoku w:val="0"/>
              <w:wordWrap/>
              <w:overflowPunct w:val="0"/>
              <w:topLinePunct w:val="0"/>
              <w:autoSpaceDE w:val="0"/>
              <w:autoSpaceDN w:val="0"/>
              <w:bidi w:val="0"/>
              <w:adjustRightInd w:val="0"/>
              <w:snapToGrid/>
              <w:ind w:left="0"/>
              <w:jc w:val="center"/>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生产废水经沉淀池沉淀后回用，不外排；生活污水经地埋式一体化污水处理设施处理后满足</w:t>
            </w:r>
            <w:r>
              <w:rPr>
                <w:rFonts w:hint="default" w:ascii="Times New Roman" w:hAnsi="Times New Roman" w:cs="Times New Roman"/>
                <w:color w:val="auto"/>
                <w:highlight w:val="none"/>
              </w:rPr>
              <w:t>《农村生活污水处理排放标准》(DB65/4275)</w:t>
            </w:r>
            <w:r>
              <w:rPr>
                <w:rFonts w:hint="default" w:ascii="Times New Roman" w:hAnsi="Times New Roman" w:cs="Times New Roman"/>
                <w:color w:val="auto"/>
                <w:highlight w:val="none"/>
                <w:lang w:val="en-US" w:eastAsia="zh-CN"/>
              </w:rPr>
              <w:t>回用于矿区降尘洒水。</w:t>
            </w:r>
          </w:p>
        </w:tc>
        <w:tc>
          <w:tcPr>
            <w:tcW w:w="40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44F453B">
            <w:pPr>
              <w:pStyle w:val="48"/>
              <w:keepNext w:val="0"/>
              <w:keepLines w:val="0"/>
              <w:pageBreakBefore w:val="0"/>
              <w:widowControl w:val="0"/>
              <w:kinsoku w:val="0"/>
              <w:wordWrap/>
              <w:overflowPunct w:val="0"/>
              <w:topLinePunct w:val="0"/>
              <w:autoSpaceDE w:val="0"/>
              <w:autoSpaceDN w:val="0"/>
              <w:bidi w:val="0"/>
              <w:adjustRightInd w:val="0"/>
              <w:snapToGrid/>
              <w:ind w:left="0"/>
              <w:jc w:val="center"/>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符合</w:t>
            </w:r>
          </w:p>
        </w:tc>
      </w:tr>
      <w:tr w14:paraId="38624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6F5121F3">
            <w:pPr>
              <w:pStyle w:val="48"/>
              <w:keepNext w:val="0"/>
              <w:keepLines w:val="0"/>
              <w:pageBreakBefore w:val="0"/>
              <w:widowControl w:val="0"/>
              <w:kinsoku w:val="0"/>
              <w:wordWrap/>
              <w:overflowPunct w:val="0"/>
              <w:topLinePunct w:val="0"/>
              <w:autoSpaceDE w:val="0"/>
              <w:autoSpaceDN w:val="0"/>
              <w:bidi w:val="0"/>
              <w:adjustRightInd w:val="0"/>
              <w:snapToGrid/>
              <w:ind w:left="0"/>
              <w:jc w:val="center"/>
              <w:textAlignment w:val="auto"/>
              <w:rPr>
                <w:rFonts w:hint="default" w:ascii="Times New Roman" w:hAnsi="Times New Roman" w:cs="Times New Roman"/>
                <w:color w:val="auto"/>
                <w:highlight w:val="none"/>
              </w:rPr>
            </w:pPr>
          </w:p>
        </w:tc>
        <w:tc>
          <w:tcPr>
            <w:tcW w:w="272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C21D9B7">
            <w:pPr>
              <w:pStyle w:val="48"/>
              <w:keepNext w:val="0"/>
              <w:keepLines w:val="0"/>
              <w:pageBreakBefore w:val="0"/>
              <w:widowControl w:val="0"/>
              <w:kinsoku w:val="0"/>
              <w:wordWrap/>
              <w:overflowPunct w:val="0"/>
              <w:topLinePunct w:val="0"/>
              <w:autoSpaceDE w:val="0"/>
              <w:autoSpaceDN w:val="0"/>
              <w:bidi w:val="0"/>
              <w:adjustRightInd w:val="0"/>
              <w:snapToGrid/>
              <w:ind w:left="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(3)噪声排放执行《工业企业厂界环境噪声排放标准》(GB12348)</w:t>
            </w:r>
          </w:p>
        </w:tc>
        <w:tc>
          <w:tcPr>
            <w:tcW w:w="165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0634CC7">
            <w:pPr>
              <w:pStyle w:val="48"/>
              <w:keepNext w:val="0"/>
              <w:keepLines w:val="0"/>
              <w:pageBreakBefore w:val="0"/>
              <w:widowControl w:val="0"/>
              <w:kinsoku w:val="0"/>
              <w:wordWrap/>
              <w:overflowPunct w:val="0"/>
              <w:topLinePunct w:val="0"/>
              <w:autoSpaceDE w:val="0"/>
              <w:autoSpaceDN w:val="0"/>
              <w:bidi w:val="0"/>
              <w:adjustRightInd w:val="0"/>
              <w:snapToGrid/>
              <w:ind w:left="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本项目噪声排放符合《工业企业厂界环境噪声排放标准》(GB12348-2008)2类标准。</w:t>
            </w:r>
          </w:p>
        </w:tc>
        <w:tc>
          <w:tcPr>
            <w:tcW w:w="40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9958264">
            <w:pPr>
              <w:pStyle w:val="48"/>
              <w:keepNext w:val="0"/>
              <w:keepLines w:val="0"/>
              <w:pageBreakBefore w:val="0"/>
              <w:widowControl w:val="0"/>
              <w:kinsoku w:val="0"/>
              <w:wordWrap/>
              <w:overflowPunct w:val="0"/>
              <w:topLinePunct w:val="0"/>
              <w:autoSpaceDE w:val="0"/>
              <w:autoSpaceDN w:val="0"/>
              <w:bidi w:val="0"/>
              <w:adjustRightInd w:val="0"/>
              <w:snapToGrid/>
              <w:ind w:left="0"/>
              <w:jc w:val="center"/>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符合</w:t>
            </w:r>
          </w:p>
        </w:tc>
      </w:tr>
      <w:tr w14:paraId="293CC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57B5061A">
            <w:pPr>
              <w:pStyle w:val="48"/>
              <w:keepNext w:val="0"/>
              <w:keepLines w:val="0"/>
              <w:pageBreakBefore w:val="0"/>
              <w:widowControl w:val="0"/>
              <w:kinsoku w:val="0"/>
              <w:wordWrap/>
              <w:overflowPunct w:val="0"/>
              <w:topLinePunct w:val="0"/>
              <w:autoSpaceDE w:val="0"/>
              <w:autoSpaceDN w:val="0"/>
              <w:bidi w:val="0"/>
              <w:adjustRightInd w:val="0"/>
              <w:snapToGrid/>
              <w:ind w:left="0"/>
              <w:jc w:val="center"/>
              <w:textAlignment w:val="auto"/>
              <w:rPr>
                <w:rFonts w:hint="default" w:ascii="Times New Roman" w:hAnsi="Times New Roman" w:cs="Times New Roman"/>
                <w:color w:val="auto"/>
                <w:highlight w:val="none"/>
              </w:rPr>
            </w:pPr>
          </w:p>
        </w:tc>
        <w:tc>
          <w:tcPr>
            <w:tcW w:w="272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DA2815E">
            <w:pPr>
              <w:pStyle w:val="48"/>
              <w:keepNext w:val="0"/>
              <w:keepLines w:val="0"/>
              <w:pageBreakBefore w:val="0"/>
              <w:widowControl w:val="0"/>
              <w:kinsoku w:val="0"/>
              <w:wordWrap/>
              <w:overflowPunct w:val="0"/>
              <w:topLinePunct w:val="0"/>
              <w:autoSpaceDE w:val="0"/>
              <w:autoSpaceDN w:val="0"/>
              <w:bidi w:val="0"/>
              <w:adjustRightInd w:val="0"/>
              <w:snapToGrid/>
              <w:ind w:left="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(4)应对采矿废石等固体废物采取回填、筑路、制作建筑材料等方式资源综合利用，提高综合利用率。无法利用的必须使用专用场所堆放，并采取有效措施防止二次环境污染及诱发次生地质灾害，固体废物处置率100%。废石堆场按《一般工业固体废物贮存和填埋污染控制标准》(GB18599)要求建设。生活垃圾实现100%无害化处置</w:t>
            </w:r>
          </w:p>
        </w:tc>
        <w:tc>
          <w:tcPr>
            <w:tcW w:w="165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627C578">
            <w:pPr>
              <w:pStyle w:val="48"/>
              <w:keepNext w:val="0"/>
              <w:keepLines w:val="0"/>
              <w:pageBreakBefore w:val="0"/>
              <w:widowControl w:val="0"/>
              <w:kinsoku w:val="0"/>
              <w:wordWrap/>
              <w:overflowPunct w:val="0"/>
              <w:topLinePunct w:val="0"/>
              <w:autoSpaceDE w:val="0"/>
              <w:autoSpaceDN w:val="0"/>
              <w:bidi w:val="0"/>
              <w:adjustRightInd w:val="0"/>
              <w:snapToGrid/>
              <w:ind w:left="0"/>
              <w:jc w:val="center"/>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本项目采取分区分片由北向南推进，本阶段产生的废料及废土可回填上一阶段采坑，固废处置率可达100%。采矿初期产生的废料和废土堆存在排土场中，排土场按照</w:t>
            </w:r>
            <w:r>
              <w:rPr>
                <w:rFonts w:hint="default" w:ascii="Times New Roman" w:hAnsi="Times New Roman" w:cs="Times New Roman"/>
                <w:color w:val="auto"/>
                <w:highlight w:val="none"/>
              </w:rPr>
              <w:t>《一般工业固体废物贮存和填埋污染控制标准》(GB18599)要求建设</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生活垃圾采用垃圾箱进行分类收集，定期随矿区车辆运至垃圾填埋场填埋处理。</w:t>
            </w:r>
          </w:p>
        </w:tc>
        <w:tc>
          <w:tcPr>
            <w:tcW w:w="40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E280CEB">
            <w:pPr>
              <w:pStyle w:val="48"/>
              <w:keepNext w:val="0"/>
              <w:keepLines w:val="0"/>
              <w:pageBreakBefore w:val="0"/>
              <w:widowControl w:val="0"/>
              <w:kinsoku w:val="0"/>
              <w:wordWrap/>
              <w:overflowPunct w:val="0"/>
              <w:topLinePunct w:val="0"/>
              <w:autoSpaceDE w:val="0"/>
              <w:autoSpaceDN w:val="0"/>
              <w:bidi w:val="0"/>
              <w:adjustRightInd w:val="0"/>
              <w:snapToGrid/>
              <w:ind w:left="0"/>
              <w:jc w:val="center"/>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符合</w:t>
            </w:r>
          </w:p>
        </w:tc>
      </w:tr>
      <w:tr w14:paraId="3CC78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1AAAF41">
            <w:pPr>
              <w:pStyle w:val="48"/>
              <w:keepNext w:val="0"/>
              <w:keepLines w:val="0"/>
              <w:pageBreakBefore w:val="0"/>
              <w:widowControl w:val="0"/>
              <w:kinsoku w:val="0"/>
              <w:wordWrap/>
              <w:overflowPunct w:val="0"/>
              <w:topLinePunct w:val="0"/>
              <w:autoSpaceDE w:val="0"/>
              <w:autoSpaceDN w:val="0"/>
              <w:bidi w:val="0"/>
              <w:adjustRightInd w:val="0"/>
              <w:snapToGrid/>
              <w:ind w:left="0"/>
              <w:jc w:val="center"/>
              <w:textAlignment w:val="auto"/>
              <w:rPr>
                <w:rFonts w:hint="default" w:ascii="Times New Roman" w:hAnsi="Times New Roman" w:cs="Times New Roman"/>
                <w:color w:val="auto"/>
                <w:highlight w:val="none"/>
              </w:rPr>
            </w:pPr>
          </w:p>
        </w:tc>
        <w:tc>
          <w:tcPr>
            <w:tcW w:w="272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65CA918">
            <w:pPr>
              <w:pStyle w:val="48"/>
              <w:keepNext w:val="0"/>
              <w:keepLines w:val="0"/>
              <w:pageBreakBefore w:val="0"/>
              <w:widowControl w:val="0"/>
              <w:kinsoku w:val="0"/>
              <w:wordWrap/>
              <w:overflowPunct w:val="0"/>
              <w:topLinePunct w:val="0"/>
              <w:autoSpaceDE w:val="0"/>
              <w:autoSpaceDN w:val="0"/>
              <w:bidi w:val="0"/>
              <w:adjustRightInd w:val="0"/>
              <w:snapToGrid/>
              <w:ind w:left="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新建、改(扩)建矿山应在矿山开采前完成《矿山生态环境保护与恢复治理方案》编制工作。位于荒漠和风沙区的矿产资源开发应尽可能避开易发生风蚀和生态退化地带</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排土场料场等场地应采取围挡和覆盖等防风蚀措施。水蚀敏感区矿产资源开发应科学设置露天采场、排土场及料场，并采取边坡防护，工程拦挡等水土保持措施。矿山生产过程中应采取复垦措施，对露天坑、废石场等永久性坡面进行稳定化处理，防止水土流失和滑坡。历史遗留矿山开采破坏土地复垦率达到45%以上，新建矿山应做到边开采、边复垦，破坏土地复垦率达到85%以上。</w:t>
            </w:r>
          </w:p>
        </w:tc>
        <w:tc>
          <w:tcPr>
            <w:tcW w:w="165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1DFD739">
            <w:pPr>
              <w:pStyle w:val="48"/>
              <w:keepNext w:val="0"/>
              <w:keepLines w:val="0"/>
              <w:pageBreakBefore w:val="0"/>
              <w:widowControl w:val="0"/>
              <w:kinsoku w:val="0"/>
              <w:wordWrap/>
              <w:overflowPunct w:val="0"/>
              <w:topLinePunct w:val="0"/>
              <w:autoSpaceDE w:val="0"/>
              <w:autoSpaceDN w:val="0"/>
              <w:bidi w:val="0"/>
              <w:adjustRightInd w:val="0"/>
              <w:snapToGrid/>
              <w:ind w:left="0"/>
              <w:jc w:val="center"/>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本项目已完成《新疆采虹矿业投资有限公司新疆阜康市北部沙漠天然石英砂矿（压裂用）外围矿产资源开发利用与生态保护修复方案》并取得评审意见【昌州审(2025)45号】。</w:t>
            </w:r>
          </w:p>
          <w:p w14:paraId="07064B97">
            <w:pPr>
              <w:pStyle w:val="48"/>
              <w:keepNext w:val="0"/>
              <w:keepLines w:val="0"/>
              <w:pageBreakBefore w:val="0"/>
              <w:widowControl w:val="0"/>
              <w:kinsoku w:val="0"/>
              <w:wordWrap/>
              <w:overflowPunct w:val="0"/>
              <w:topLinePunct w:val="0"/>
              <w:autoSpaceDE w:val="0"/>
              <w:autoSpaceDN w:val="0"/>
              <w:bidi w:val="0"/>
              <w:adjustRightInd w:val="0"/>
              <w:snapToGrid/>
              <w:ind w:left="0"/>
              <w:jc w:val="center"/>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矿山生产过程中应采取边开采，边复垦措施，土地复垦率达到85%。</w:t>
            </w:r>
          </w:p>
        </w:tc>
        <w:tc>
          <w:tcPr>
            <w:tcW w:w="40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FFF3DDC">
            <w:pPr>
              <w:pStyle w:val="48"/>
              <w:keepNext w:val="0"/>
              <w:keepLines w:val="0"/>
              <w:pageBreakBefore w:val="0"/>
              <w:widowControl w:val="0"/>
              <w:kinsoku w:val="0"/>
              <w:wordWrap/>
              <w:overflowPunct w:val="0"/>
              <w:topLinePunct w:val="0"/>
              <w:autoSpaceDE w:val="0"/>
              <w:autoSpaceDN w:val="0"/>
              <w:bidi w:val="0"/>
              <w:adjustRightInd w:val="0"/>
              <w:snapToGrid/>
              <w:ind w:left="0"/>
              <w:jc w:val="center"/>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符合</w:t>
            </w:r>
          </w:p>
        </w:tc>
      </w:tr>
      <w:tr w14:paraId="05EA2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7250A095">
            <w:pPr>
              <w:pStyle w:val="48"/>
              <w:keepNext w:val="0"/>
              <w:keepLines w:val="0"/>
              <w:pageBreakBefore w:val="0"/>
              <w:widowControl w:val="0"/>
              <w:kinsoku w:val="0"/>
              <w:wordWrap/>
              <w:overflowPunct w:val="0"/>
              <w:topLinePunct w:val="0"/>
              <w:autoSpaceDE w:val="0"/>
              <w:autoSpaceDN w:val="0"/>
              <w:bidi w:val="0"/>
              <w:adjustRightInd w:val="0"/>
              <w:snapToGrid/>
              <w:ind w:left="0"/>
              <w:jc w:val="center"/>
              <w:textAlignment w:val="auto"/>
              <w:rPr>
                <w:rFonts w:hint="default" w:ascii="Times New Roman" w:hAnsi="Times New Roman" w:cs="Times New Roman"/>
                <w:color w:val="auto"/>
                <w:highlight w:val="none"/>
              </w:rPr>
            </w:pPr>
          </w:p>
        </w:tc>
        <w:tc>
          <w:tcPr>
            <w:tcW w:w="272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DAA10F6">
            <w:pPr>
              <w:pStyle w:val="48"/>
              <w:keepNext w:val="0"/>
              <w:keepLines w:val="0"/>
              <w:pageBreakBefore w:val="0"/>
              <w:widowControl w:val="0"/>
              <w:kinsoku w:val="0"/>
              <w:wordWrap/>
              <w:overflowPunct w:val="0"/>
              <w:topLinePunct w:val="0"/>
              <w:autoSpaceDE w:val="0"/>
              <w:autoSpaceDN w:val="0"/>
              <w:bidi w:val="0"/>
              <w:adjustRightInd w:val="0"/>
              <w:snapToGrid/>
              <w:ind w:left="0"/>
              <w:jc w:val="center"/>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2.选矿</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(1)破碎、筛分车间应采用尘源密闭、局部通风方式，并安装高效除尘设施防治粉尘污染，除尘效率&gt;99%，大气污染物排放有行业标准的应达到行业标准要求，无行业标准的应达到《大气污染物综合排放标准》(GB16297)要求</w:t>
            </w:r>
            <w:r>
              <w:rPr>
                <w:rFonts w:hint="default" w:ascii="Times New Roman" w:hAnsi="Times New Roman" w:cs="Times New Roman"/>
                <w:color w:val="auto"/>
                <w:highlight w:val="none"/>
                <w:lang w:eastAsia="zh-CN"/>
              </w:rPr>
              <w:t>；</w:t>
            </w:r>
          </w:p>
        </w:tc>
        <w:tc>
          <w:tcPr>
            <w:tcW w:w="165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74A4754">
            <w:pPr>
              <w:pStyle w:val="48"/>
              <w:keepNext w:val="0"/>
              <w:keepLines w:val="0"/>
              <w:pageBreakBefore w:val="0"/>
              <w:widowControl w:val="0"/>
              <w:kinsoku w:val="0"/>
              <w:wordWrap/>
              <w:overflowPunct w:val="0"/>
              <w:topLinePunct w:val="0"/>
              <w:autoSpaceDE w:val="0"/>
              <w:autoSpaceDN w:val="0"/>
              <w:bidi w:val="0"/>
              <w:adjustRightInd w:val="0"/>
              <w:snapToGrid/>
              <w:ind w:left="0"/>
              <w:jc w:val="center"/>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本项目筛分环节在车间内进行，对产尘点设置集气罩+布袋除尘器，处理后颗粒物排放浓度及速率满足</w:t>
            </w:r>
            <w:r>
              <w:rPr>
                <w:rFonts w:hint="default" w:ascii="Times New Roman" w:hAnsi="Times New Roman" w:cs="Times New Roman"/>
                <w:color w:val="auto"/>
                <w:highlight w:val="none"/>
              </w:rPr>
              <w:t>《大气污染物综合排放标准》(GB16297)要求</w:t>
            </w:r>
            <w:r>
              <w:rPr>
                <w:rFonts w:hint="default" w:ascii="Times New Roman" w:hAnsi="Times New Roman" w:cs="Times New Roman"/>
                <w:color w:val="auto"/>
                <w:highlight w:val="none"/>
                <w:lang w:eastAsia="zh-CN"/>
              </w:rPr>
              <w:t>。</w:t>
            </w:r>
          </w:p>
        </w:tc>
        <w:tc>
          <w:tcPr>
            <w:tcW w:w="40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96F3F59">
            <w:pPr>
              <w:pStyle w:val="48"/>
              <w:keepNext w:val="0"/>
              <w:keepLines w:val="0"/>
              <w:pageBreakBefore w:val="0"/>
              <w:widowControl w:val="0"/>
              <w:kinsoku w:val="0"/>
              <w:wordWrap/>
              <w:overflowPunct w:val="0"/>
              <w:topLinePunct w:val="0"/>
              <w:autoSpaceDE w:val="0"/>
              <w:autoSpaceDN w:val="0"/>
              <w:bidi w:val="0"/>
              <w:adjustRightInd w:val="0"/>
              <w:snapToGrid/>
              <w:ind w:left="0"/>
              <w:jc w:val="center"/>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符合</w:t>
            </w:r>
          </w:p>
        </w:tc>
      </w:tr>
      <w:tr w14:paraId="539CE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05F58CDF">
            <w:pPr>
              <w:pStyle w:val="48"/>
              <w:keepNext w:val="0"/>
              <w:keepLines w:val="0"/>
              <w:pageBreakBefore w:val="0"/>
              <w:widowControl w:val="0"/>
              <w:kinsoku w:val="0"/>
              <w:wordWrap/>
              <w:overflowPunct w:val="0"/>
              <w:topLinePunct w:val="0"/>
              <w:autoSpaceDE w:val="0"/>
              <w:autoSpaceDN w:val="0"/>
              <w:bidi w:val="0"/>
              <w:adjustRightInd w:val="0"/>
              <w:snapToGrid/>
              <w:ind w:left="0"/>
              <w:jc w:val="center"/>
              <w:textAlignment w:val="auto"/>
              <w:rPr>
                <w:rFonts w:hint="default" w:ascii="Times New Roman" w:hAnsi="Times New Roman" w:cs="Times New Roman"/>
                <w:color w:val="auto"/>
                <w:highlight w:val="none"/>
              </w:rPr>
            </w:pPr>
          </w:p>
        </w:tc>
        <w:tc>
          <w:tcPr>
            <w:tcW w:w="272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E2386A1">
            <w:pPr>
              <w:pStyle w:val="48"/>
              <w:keepNext w:val="0"/>
              <w:keepLines w:val="0"/>
              <w:pageBreakBefore w:val="0"/>
              <w:widowControl w:val="0"/>
              <w:kinsoku w:val="0"/>
              <w:wordWrap/>
              <w:overflowPunct w:val="0"/>
              <w:topLinePunct w:val="0"/>
              <w:autoSpaceDE w:val="0"/>
              <w:autoSpaceDN w:val="0"/>
              <w:bidi w:val="0"/>
              <w:adjustRightInd w:val="0"/>
              <w:snapToGrid/>
              <w:ind w:left="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(2)选矿废水(含尾矿库溢流水)应循环利用，循环利用率&gt;80%，无循环利用条件的废水应进行收集，处理达标后排放。</w:t>
            </w:r>
          </w:p>
        </w:tc>
        <w:tc>
          <w:tcPr>
            <w:tcW w:w="165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EFB5740">
            <w:pPr>
              <w:pStyle w:val="48"/>
              <w:keepNext w:val="0"/>
              <w:keepLines w:val="0"/>
              <w:pageBreakBefore w:val="0"/>
              <w:widowControl w:val="0"/>
              <w:kinsoku w:val="0"/>
              <w:wordWrap/>
              <w:overflowPunct w:val="0"/>
              <w:topLinePunct w:val="0"/>
              <w:autoSpaceDE w:val="0"/>
              <w:autoSpaceDN w:val="0"/>
              <w:bidi w:val="0"/>
              <w:adjustRightInd w:val="0"/>
              <w:snapToGrid/>
              <w:ind w:left="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本项目石英砂水洗生产废水经沉淀池沉淀后回用，不外排；</w:t>
            </w:r>
          </w:p>
        </w:tc>
        <w:tc>
          <w:tcPr>
            <w:tcW w:w="40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0DD1222">
            <w:pPr>
              <w:pStyle w:val="48"/>
              <w:keepNext w:val="0"/>
              <w:keepLines w:val="0"/>
              <w:pageBreakBefore w:val="0"/>
              <w:widowControl w:val="0"/>
              <w:kinsoku w:val="0"/>
              <w:wordWrap/>
              <w:overflowPunct w:val="0"/>
              <w:topLinePunct w:val="0"/>
              <w:autoSpaceDE w:val="0"/>
              <w:autoSpaceDN w:val="0"/>
              <w:bidi w:val="0"/>
              <w:adjustRightInd w:val="0"/>
              <w:snapToGrid/>
              <w:ind w:left="0"/>
              <w:jc w:val="center"/>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符合</w:t>
            </w:r>
          </w:p>
        </w:tc>
      </w:tr>
      <w:tr w14:paraId="167A5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01503345">
            <w:pPr>
              <w:pStyle w:val="48"/>
              <w:keepNext w:val="0"/>
              <w:keepLines w:val="0"/>
              <w:pageBreakBefore w:val="0"/>
              <w:widowControl w:val="0"/>
              <w:kinsoku w:val="0"/>
              <w:wordWrap/>
              <w:overflowPunct w:val="0"/>
              <w:topLinePunct w:val="0"/>
              <w:autoSpaceDE w:val="0"/>
              <w:autoSpaceDN w:val="0"/>
              <w:bidi w:val="0"/>
              <w:adjustRightInd w:val="0"/>
              <w:snapToGrid/>
              <w:ind w:left="0"/>
              <w:jc w:val="center"/>
              <w:textAlignment w:val="auto"/>
              <w:rPr>
                <w:rFonts w:hint="default" w:ascii="Times New Roman" w:hAnsi="Times New Roman" w:cs="Times New Roman"/>
                <w:color w:val="auto"/>
                <w:highlight w:val="none"/>
              </w:rPr>
            </w:pPr>
          </w:p>
        </w:tc>
        <w:tc>
          <w:tcPr>
            <w:tcW w:w="272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0116D5F">
            <w:pPr>
              <w:pStyle w:val="48"/>
              <w:keepNext w:val="0"/>
              <w:keepLines w:val="0"/>
              <w:pageBreakBefore w:val="0"/>
              <w:widowControl w:val="0"/>
              <w:kinsoku w:val="0"/>
              <w:wordWrap/>
              <w:overflowPunct w:val="0"/>
              <w:topLinePunct w:val="0"/>
              <w:autoSpaceDE w:val="0"/>
              <w:autoSpaceDN w:val="0"/>
              <w:bidi w:val="0"/>
              <w:adjustRightInd w:val="0"/>
              <w:snapToGrid/>
              <w:ind w:left="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(3)噪声排放执行《工业企业厂界环境噪声排放标准》(GB12348)</w:t>
            </w:r>
          </w:p>
        </w:tc>
        <w:tc>
          <w:tcPr>
            <w:tcW w:w="165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CB90C61">
            <w:pPr>
              <w:pStyle w:val="48"/>
              <w:keepNext w:val="0"/>
              <w:keepLines w:val="0"/>
              <w:pageBreakBefore w:val="0"/>
              <w:widowControl w:val="0"/>
              <w:kinsoku w:val="0"/>
              <w:wordWrap/>
              <w:overflowPunct w:val="0"/>
              <w:topLinePunct w:val="0"/>
              <w:autoSpaceDE w:val="0"/>
              <w:autoSpaceDN w:val="0"/>
              <w:bidi w:val="0"/>
              <w:adjustRightInd w:val="0"/>
              <w:snapToGrid/>
              <w:ind w:left="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本项目噪声排放符合《工业企业厂界环境噪声排放标准》(GB12348-2008)2类标准。</w:t>
            </w:r>
          </w:p>
        </w:tc>
        <w:tc>
          <w:tcPr>
            <w:tcW w:w="40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0FD1069">
            <w:pPr>
              <w:pStyle w:val="48"/>
              <w:keepNext w:val="0"/>
              <w:keepLines w:val="0"/>
              <w:pageBreakBefore w:val="0"/>
              <w:widowControl w:val="0"/>
              <w:kinsoku w:val="0"/>
              <w:wordWrap/>
              <w:overflowPunct w:val="0"/>
              <w:topLinePunct w:val="0"/>
              <w:autoSpaceDE w:val="0"/>
              <w:autoSpaceDN w:val="0"/>
              <w:bidi w:val="0"/>
              <w:adjustRightInd w:val="0"/>
              <w:snapToGrid/>
              <w:ind w:left="0"/>
              <w:jc w:val="center"/>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符合</w:t>
            </w:r>
          </w:p>
        </w:tc>
      </w:tr>
      <w:tr w14:paraId="79B3F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3F6A0C5F">
            <w:pPr>
              <w:pStyle w:val="48"/>
              <w:keepNext w:val="0"/>
              <w:keepLines w:val="0"/>
              <w:pageBreakBefore w:val="0"/>
              <w:widowControl w:val="0"/>
              <w:kinsoku w:val="0"/>
              <w:wordWrap/>
              <w:overflowPunct w:val="0"/>
              <w:topLinePunct w:val="0"/>
              <w:autoSpaceDE w:val="0"/>
              <w:autoSpaceDN w:val="0"/>
              <w:bidi w:val="0"/>
              <w:adjustRightInd w:val="0"/>
              <w:snapToGrid/>
              <w:ind w:left="0"/>
              <w:jc w:val="center"/>
              <w:textAlignment w:val="auto"/>
              <w:rPr>
                <w:rFonts w:hint="default" w:ascii="Times New Roman" w:hAnsi="Times New Roman" w:cs="Times New Roman"/>
                <w:color w:val="auto"/>
                <w:highlight w:val="none"/>
              </w:rPr>
            </w:pPr>
          </w:p>
        </w:tc>
        <w:tc>
          <w:tcPr>
            <w:tcW w:w="272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4FC3DCD">
            <w:pPr>
              <w:pStyle w:val="48"/>
              <w:keepNext w:val="0"/>
              <w:keepLines w:val="0"/>
              <w:pageBreakBefore w:val="0"/>
              <w:widowControl w:val="0"/>
              <w:kinsoku w:val="0"/>
              <w:wordWrap/>
              <w:overflowPunct w:val="0"/>
              <w:topLinePunct w:val="0"/>
              <w:autoSpaceDE w:val="0"/>
              <w:autoSpaceDN w:val="0"/>
              <w:bidi w:val="0"/>
              <w:adjustRightInd w:val="0"/>
              <w:snapToGrid/>
              <w:ind w:left="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(4)选矿项目应设置专用尾矿库，尾矿库按《尾矿设施设计规范》(GB50863)、《尾矿库安全监督管理规定》、《尾矿库环境应急管理工作指南(试行)》(环办〔2010138号)、《防范化解尾矿库安全风险工作方案》(应急(2020]15号)《尾矿污染环境防治管理办法》(中华人民共和国生态环境部令第26号)等要求进行选址、建设、运行和闭库。鼓励尾矿综合利用，尾矿利用率&gt;10%。现有尾矿库应按《深入开展尾矿库综合治理行动方案》(安监总管一〔2013〕58号)进行整改。</w:t>
            </w:r>
          </w:p>
        </w:tc>
        <w:tc>
          <w:tcPr>
            <w:tcW w:w="165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C9CA3A3">
            <w:pPr>
              <w:pStyle w:val="48"/>
              <w:keepNext w:val="0"/>
              <w:keepLines w:val="0"/>
              <w:pageBreakBefore w:val="0"/>
              <w:widowControl w:val="0"/>
              <w:kinsoku w:val="0"/>
              <w:wordWrap/>
              <w:overflowPunct w:val="0"/>
              <w:topLinePunct w:val="0"/>
              <w:autoSpaceDE w:val="0"/>
              <w:autoSpaceDN w:val="0"/>
              <w:bidi w:val="0"/>
              <w:adjustRightInd w:val="0"/>
              <w:snapToGrid/>
              <w:ind w:left="0"/>
              <w:jc w:val="center"/>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本项目为石英砂开采，不设置尾矿库，设置排土场，主要贮存不合格废料及筛分的废土。闭矿期将其进行回填至采坑。</w:t>
            </w:r>
          </w:p>
        </w:tc>
        <w:tc>
          <w:tcPr>
            <w:tcW w:w="40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C2534B5">
            <w:pPr>
              <w:pStyle w:val="48"/>
              <w:keepNext w:val="0"/>
              <w:keepLines w:val="0"/>
              <w:pageBreakBefore w:val="0"/>
              <w:widowControl w:val="0"/>
              <w:kinsoku w:val="0"/>
              <w:wordWrap/>
              <w:overflowPunct w:val="0"/>
              <w:topLinePunct w:val="0"/>
              <w:autoSpaceDE w:val="0"/>
              <w:autoSpaceDN w:val="0"/>
              <w:bidi w:val="0"/>
              <w:adjustRightInd w:val="0"/>
              <w:snapToGrid/>
              <w:ind w:left="0"/>
              <w:jc w:val="center"/>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符合</w:t>
            </w:r>
          </w:p>
        </w:tc>
      </w:tr>
    </w:tbl>
    <w:p w14:paraId="115E0C1C">
      <w:pPr>
        <w:pStyle w:val="5"/>
        <w:bidi w:val="0"/>
        <w:rPr>
          <w:rFonts w:hint="default"/>
        </w:rPr>
      </w:pPr>
      <w:bookmarkStart w:id="22" w:name="1.4.2.3与“三线一单”符合性分析"/>
      <w:bookmarkEnd w:id="22"/>
      <w:r>
        <w:rPr>
          <w:rFonts w:hint="default"/>
        </w:rPr>
        <w:t>与“三线一单”符合性分析</w:t>
      </w:r>
    </w:p>
    <w:p w14:paraId="4A17C839">
      <w:pPr>
        <w:pStyle w:val="6"/>
        <w:bidi w:val="0"/>
        <w:rPr>
          <w:rFonts w:hint="eastAsia"/>
          <w:lang w:val="en-US" w:eastAsia="zh-CN"/>
        </w:rPr>
      </w:pPr>
      <w:r>
        <w:rPr>
          <w:rFonts w:hint="default"/>
          <w:lang w:val="en-US" w:eastAsia="zh-CN"/>
        </w:rPr>
        <w:t>与《新疆维吾尔自治区生态环境分区管控动态更新成果》的通知”新环环评发〔2024〕157号符合性</w:t>
      </w:r>
    </w:p>
    <w:p w14:paraId="48494AEC">
      <w:pPr>
        <w:pStyle w:val="69"/>
        <w:bidi w:val="0"/>
        <w:rPr>
          <w:rFonts w:hint="default" w:ascii="Times New Roman" w:hAnsi="Times New Roman" w:eastAsia="宋体" w:cs="Times New Roman"/>
          <w:lang w:val="en-US" w:eastAsia="zh-CN"/>
        </w:rPr>
      </w:pPr>
      <w:r>
        <w:rPr>
          <w:rFonts w:hint="eastAsia" w:ascii="Times New Roman" w:hAnsi="Times New Roman" w:cs="Times New Roman"/>
          <w:lang w:val="en-US" w:eastAsia="zh-CN"/>
        </w:rPr>
        <w:t xml:space="preserve">表1.4-2   </w:t>
      </w:r>
      <w:r>
        <w:rPr>
          <w:rFonts w:hint="default" w:ascii="Times New Roman" w:hAnsi="Times New Roman" w:cs="Times New Roman"/>
          <w:lang w:val="en-US" w:eastAsia="zh-CN"/>
        </w:rPr>
        <w:t>本工程</w:t>
      </w:r>
      <w:r>
        <w:rPr>
          <w:rFonts w:hint="default" w:ascii="Times New Roman" w:hAnsi="Times New Roman" w:eastAsia="宋体" w:cs="Times New Roman"/>
          <w:lang w:val="en-US" w:eastAsia="zh-CN"/>
        </w:rPr>
        <w:t>与《新疆维吾尔自治区生态环境分区管控动态更新成果》的通知”新环环评发〔2024〕157号符合性分析表</w:t>
      </w:r>
    </w:p>
    <w:tbl>
      <w:tblPr>
        <w:tblStyle w:val="31"/>
        <w:tblW w:w="4997"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57" w:type="dxa"/>
          <w:bottom w:w="0" w:type="dxa"/>
          <w:right w:w="57" w:type="dxa"/>
        </w:tblCellMar>
      </w:tblPr>
      <w:tblGrid>
        <w:gridCol w:w="1074"/>
        <w:gridCol w:w="761"/>
        <w:gridCol w:w="758"/>
        <w:gridCol w:w="3906"/>
        <w:gridCol w:w="1919"/>
        <w:gridCol w:w="760"/>
      </w:tblGrid>
      <w:tr w14:paraId="1BE16EB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454" w:hRule="atLeast"/>
          <w:tblHeader/>
          <w:jc w:val="center"/>
        </w:trPr>
        <w:tc>
          <w:tcPr>
            <w:tcW w:w="995" w:type="pct"/>
            <w:gridSpan w:val="2"/>
            <w:tcBorders>
              <w:bottom w:val="single" w:color="auto" w:sz="4" w:space="0"/>
              <w:right w:val="single" w:color="auto" w:sz="4" w:space="0"/>
            </w:tcBorders>
            <w:noWrap w:val="0"/>
            <w:vAlign w:val="center"/>
          </w:tcPr>
          <w:p w14:paraId="18A4B59F">
            <w:pPr>
              <w:pStyle w:val="48"/>
              <w:keepNext w:val="0"/>
              <w:keepLines w:val="0"/>
              <w:suppressLineNumbers w:val="0"/>
              <w:bidi w:val="0"/>
              <w:spacing w:before="0" w:beforeAutospacing="0" w:afterAutospacing="0"/>
              <w:ind w:right="0"/>
              <w:rPr>
                <w:rFonts w:hint="default" w:ascii="Times New Roman" w:hAnsi="Times New Roman" w:cs="Times New Roman"/>
              </w:rPr>
            </w:pPr>
            <w:r>
              <w:rPr>
                <w:rFonts w:hint="default" w:ascii="Times New Roman" w:hAnsi="Times New Roman" w:cs="Times New Roman"/>
              </w:rPr>
              <w:t>文件名称</w:t>
            </w:r>
          </w:p>
        </w:tc>
        <w:tc>
          <w:tcPr>
            <w:tcW w:w="2542" w:type="pct"/>
            <w:gridSpan w:val="2"/>
            <w:tcBorders>
              <w:left w:val="single" w:color="auto" w:sz="4" w:space="0"/>
              <w:bottom w:val="single" w:color="auto" w:sz="4" w:space="0"/>
              <w:right w:val="single" w:color="auto" w:sz="4" w:space="0"/>
            </w:tcBorders>
            <w:noWrap w:val="0"/>
            <w:vAlign w:val="center"/>
          </w:tcPr>
          <w:p w14:paraId="3EB57969">
            <w:pPr>
              <w:pStyle w:val="48"/>
              <w:keepNext w:val="0"/>
              <w:keepLines w:val="0"/>
              <w:suppressLineNumbers w:val="0"/>
              <w:bidi w:val="0"/>
              <w:spacing w:before="0" w:beforeAutospacing="0" w:afterAutospacing="0"/>
              <w:ind w:right="0"/>
              <w:rPr>
                <w:rFonts w:hint="default" w:ascii="Times New Roman" w:hAnsi="Times New Roman" w:cs="Times New Roman"/>
              </w:rPr>
            </w:pPr>
            <w:r>
              <w:rPr>
                <w:rFonts w:hint="default" w:ascii="Times New Roman" w:hAnsi="Times New Roman" w:cs="Times New Roman"/>
              </w:rPr>
              <w:t>环境管理政策有关要求</w:t>
            </w:r>
          </w:p>
        </w:tc>
        <w:tc>
          <w:tcPr>
            <w:tcW w:w="1046" w:type="pct"/>
            <w:tcBorders>
              <w:left w:val="single" w:color="auto" w:sz="4" w:space="0"/>
              <w:bottom w:val="single" w:color="auto" w:sz="4" w:space="0"/>
              <w:right w:val="single" w:color="auto" w:sz="4" w:space="0"/>
            </w:tcBorders>
            <w:noWrap w:val="0"/>
            <w:vAlign w:val="center"/>
          </w:tcPr>
          <w:p w14:paraId="7EEFA533">
            <w:pPr>
              <w:pStyle w:val="48"/>
              <w:keepNext w:val="0"/>
              <w:keepLines w:val="0"/>
              <w:suppressLineNumbers w:val="0"/>
              <w:bidi w:val="0"/>
              <w:spacing w:before="0" w:beforeAutospacing="0" w:afterAutospacing="0"/>
              <w:ind w:right="0"/>
              <w:rPr>
                <w:rFonts w:hint="default" w:ascii="Times New Roman" w:hAnsi="Times New Roman" w:cs="Times New Roman"/>
              </w:rPr>
            </w:pPr>
            <w:r>
              <w:rPr>
                <w:rFonts w:hint="default" w:ascii="Times New Roman" w:hAnsi="Times New Roman" w:cs="Times New Roman"/>
                <w:highlight w:val="none"/>
                <w:lang w:eastAsia="zh-CN"/>
              </w:rPr>
              <w:t>本工程</w:t>
            </w:r>
            <w:r>
              <w:rPr>
                <w:rFonts w:hint="default" w:ascii="Times New Roman" w:hAnsi="Times New Roman" w:cs="Times New Roman"/>
                <w:highlight w:val="none"/>
              </w:rPr>
              <w:t>情况</w:t>
            </w:r>
          </w:p>
        </w:tc>
        <w:tc>
          <w:tcPr>
            <w:tcW w:w="415" w:type="pct"/>
            <w:tcBorders>
              <w:left w:val="single" w:color="auto" w:sz="4" w:space="0"/>
              <w:bottom w:val="single" w:color="auto" w:sz="4" w:space="0"/>
            </w:tcBorders>
            <w:noWrap w:val="0"/>
            <w:vAlign w:val="center"/>
          </w:tcPr>
          <w:p w14:paraId="32FC2099">
            <w:pPr>
              <w:pStyle w:val="48"/>
              <w:keepNext w:val="0"/>
              <w:keepLines w:val="0"/>
              <w:suppressLineNumbers w:val="0"/>
              <w:bidi w:val="0"/>
              <w:spacing w:before="0" w:beforeAutospacing="0" w:afterAutospacing="0"/>
              <w:ind w:right="0"/>
              <w:rPr>
                <w:rFonts w:hint="default" w:ascii="Times New Roman" w:hAnsi="Times New Roman" w:cs="Times New Roman"/>
              </w:rPr>
            </w:pPr>
            <w:r>
              <w:rPr>
                <w:rFonts w:hint="default" w:ascii="Times New Roman" w:hAnsi="Times New Roman" w:cs="Times New Roman"/>
              </w:rPr>
              <w:t>符合性</w:t>
            </w:r>
          </w:p>
        </w:tc>
      </w:tr>
      <w:tr w14:paraId="0B61D37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454" w:hRule="atLeast"/>
          <w:tblHeader/>
          <w:jc w:val="center"/>
        </w:trPr>
        <w:tc>
          <w:tcPr>
            <w:tcW w:w="579" w:type="pct"/>
            <w:vMerge w:val="restart"/>
            <w:tcBorders>
              <w:top w:val="single" w:color="auto" w:sz="4" w:space="0"/>
              <w:bottom w:val="single" w:color="auto" w:sz="4" w:space="0"/>
              <w:right w:val="single" w:color="auto" w:sz="4" w:space="0"/>
            </w:tcBorders>
            <w:noWrap w:val="0"/>
            <w:vAlign w:val="center"/>
          </w:tcPr>
          <w:p w14:paraId="0B98B005">
            <w:pPr>
              <w:pStyle w:val="48"/>
              <w:keepNext w:val="0"/>
              <w:keepLines w:val="0"/>
              <w:suppressLineNumbers w:val="0"/>
              <w:bidi w:val="0"/>
              <w:spacing w:before="0" w:beforeAutospacing="0" w:afterAutospacing="0"/>
              <w:ind w:right="0"/>
              <w:rPr>
                <w:rFonts w:hint="default" w:ascii="Times New Roman" w:hAnsi="Times New Roman" w:cs="Times New Roman"/>
              </w:rPr>
            </w:pPr>
            <w:r>
              <w:rPr>
                <w:rFonts w:hint="default" w:ascii="Times New Roman" w:hAnsi="Times New Roman" w:cs="Times New Roman"/>
                <w:lang w:val="en-US" w:eastAsia="zh-CN"/>
              </w:rPr>
              <w:t>“关于印发《新疆维吾尔自治区生态环境分区管控动态更新成果》的通知”新环环评发〔2024〕157号</w:t>
            </w:r>
          </w:p>
        </w:tc>
        <w:tc>
          <w:tcPr>
            <w:tcW w:w="415" w:type="pct"/>
            <w:vMerge w:val="restart"/>
            <w:tcBorders>
              <w:top w:val="single" w:color="auto" w:sz="4" w:space="0"/>
              <w:left w:val="single" w:color="auto" w:sz="4" w:space="0"/>
              <w:bottom w:val="single" w:color="auto" w:sz="4" w:space="0"/>
              <w:right w:val="single" w:color="auto" w:sz="4" w:space="0"/>
            </w:tcBorders>
            <w:noWrap w:val="0"/>
            <w:vAlign w:val="center"/>
          </w:tcPr>
          <w:p w14:paraId="780386B8">
            <w:pPr>
              <w:pStyle w:val="48"/>
              <w:keepNext w:val="0"/>
              <w:keepLines w:val="0"/>
              <w:suppressLineNumbers w:val="0"/>
              <w:bidi w:val="0"/>
              <w:spacing w:before="0" w:beforeAutospacing="0" w:afterAutospacing="0"/>
              <w:ind w:right="0"/>
              <w:rPr>
                <w:rFonts w:hint="default" w:ascii="Times New Roman" w:hAnsi="Times New Roman" w:cs="Times New Roman"/>
                <w:lang w:val="en-US" w:eastAsia="zh-CN"/>
              </w:rPr>
            </w:pPr>
            <w:r>
              <w:rPr>
                <w:rFonts w:hint="default" w:ascii="Times New Roman" w:hAnsi="Times New Roman" w:cs="Times New Roman"/>
                <w:lang w:val="en-US" w:eastAsia="zh-CN"/>
              </w:rPr>
              <w:t>自治区总体管控要求</w:t>
            </w:r>
          </w:p>
        </w:tc>
        <w:tc>
          <w:tcPr>
            <w:tcW w:w="414" w:type="pct"/>
            <w:vMerge w:val="restart"/>
            <w:tcBorders>
              <w:top w:val="single" w:color="auto" w:sz="4" w:space="0"/>
              <w:left w:val="single" w:color="auto" w:sz="4" w:space="0"/>
              <w:bottom w:val="single" w:color="auto" w:sz="4" w:space="0"/>
              <w:right w:val="single" w:color="auto" w:sz="4" w:space="0"/>
            </w:tcBorders>
            <w:noWrap w:val="0"/>
            <w:vAlign w:val="center"/>
          </w:tcPr>
          <w:p w14:paraId="3BF51B93">
            <w:pPr>
              <w:pStyle w:val="48"/>
              <w:keepNext w:val="0"/>
              <w:keepLines w:val="0"/>
              <w:suppressLineNumbers w:val="0"/>
              <w:bidi w:val="0"/>
              <w:spacing w:before="0" w:beforeAutospacing="0" w:afterAutospacing="0"/>
              <w:ind w:right="0"/>
              <w:rPr>
                <w:rFonts w:hint="default" w:ascii="Times New Roman" w:hAnsi="Times New Roman" w:cs="Times New Roman"/>
                <w:lang w:val="en-US" w:eastAsia="zh-CN"/>
              </w:rPr>
            </w:pPr>
            <w:r>
              <w:rPr>
                <w:rFonts w:hint="default" w:ascii="Times New Roman" w:hAnsi="Times New Roman" w:cs="Times New Roman"/>
              </w:rPr>
              <w:t>空间布局约束</w:t>
            </w:r>
          </w:p>
        </w:tc>
        <w:tc>
          <w:tcPr>
            <w:tcW w:w="2127" w:type="pct"/>
            <w:tcBorders>
              <w:top w:val="single" w:color="auto" w:sz="4" w:space="0"/>
              <w:left w:val="single" w:color="auto" w:sz="4" w:space="0"/>
              <w:bottom w:val="single" w:color="auto" w:sz="4" w:space="0"/>
              <w:right w:val="single" w:color="auto" w:sz="4" w:space="0"/>
            </w:tcBorders>
            <w:noWrap w:val="0"/>
            <w:vAlign w:val="center"/>
          </w:tcPr>
          <w:p w14:paraId="325E889B">
            <w:pPr>
              <w:pStyle w:val="48"/>
              <w:keepNext w:val="0"/>
              <w:keepLines w:val="0"/>
              <w:suppressLineNumbers w:val="0"/>
              <w:bidi w:val="0"/>
              <w:spacing w:before="0" w:beforeAutospacing="0" w:afterAutospacing="0"/>
              <w:ind w:right="0"/>
              <w:jc w:val="both"/>
              <w:rPr>
                <w:rFonts w:hint="default" w:ascii="Times New Roman" w:hAnsi="Times New Roman" w:cs="Times New Roman"/>
                <w:color w:val="FF0000"/>
                <w:lang w:val="en-US" w:eastAsia="zh-CN"/>
              </w:rPr>
            </w:pPr>
            <w:r>
              <w:rPr>
                <w:rFonts w:hint="default" w:ascii="Times New Roman" w:hAnsi="Times New Roman" w:cs="Times New Roman"/>
                <w:color w:val="FF0000"/>
                <w:lang w:val="en-US" w:eastAsia="zh-CN"/>
              </w:rPr>
              <w:t>〔A1.1-1〕禁止新建、扩建《产业结构调整指导目录（2024年本）》中淘汰类项目。禁止引入《市场准入负面清单（2022年版）》禁止准入类事项。</w:t>
            </w:r>
          </w:p>
        </w:tc>
        <w:tc>
          <w:tcPr>
            <w:tcW w:w="1046" w:type="pct"/>
            <w:tcBorders>
              <w:top w:val="single" w:color="auto" w:sz="4" w:space="0"/>
              <w:left w:val="single" w:color="auto" w:sz="4" w:space="0"/>
              <w:bottom w:val="single" w:color="auto" w:sz="4" w:space="0"/>
              <w:right w:val="single" w:color="auto" w:sz="4" w:space="0"/>
            </w:tcBorders>
            <w:noWrap w:val="0"/>
            <w:vAlign w:val="center"/>
          </w:tcPr>
          <w:p w14:paraId="381D621E">
            <w:pPr>
              <w:pStyle w:val="48"/>
              <w:keepNext w:val="0"/>
              <w:keepLines w:val="0"/>
              <w:suppressLineNumbers w:val="0"/>
              <w:bidi w:val="0"/>
              <w:spacing w:before="0" w:beforeAutospacing="0" w:afterAutospacing="0"/>
              <w:ind w:right="0"/>
              <w:rPr>
                <w:rFonts w:hint="default" w:ascii="Times New Roman" w:hAnsi="Times New Roman" w:cs="Times New Roman"/>
                <w:color w:val="FF0000"/>
                <w:lang w:val="en-US" w:eastAsia="zh-CN"/>
              </w:rPr>
            </w:pPr>
            <w:r>
              <w:rPr>
                <w:rFonts w:hint="eastAsia" w:cs="Times New Roman"/>
                <w:color w:val="FF0000"/>
                <w:lang w:val="en-US" w:eastAsia="zh-CN"/>
              </w:rPr>
              <w:t>本项目不属于</w:t>
            </w:r>
            <w:r>
              <w:rPr>
                <w:rFonts w:hint="default" w:ascii="Times New Roman" w:hAnsi="Times New Roman" w:cs="Times New Roman"/>
                <w:color w:val="FF0000"/>
                <w:lang w:val="en-US" w:eastAsia="zh-CN"/>
              </w:rPr>
              <w:t>《产业结构调整指导目录（2024年本）》</w:t>
            </w:r>
            <w:r>
              <w:rPr>
                <w:rFonts w:hint="eastAsia" w:cs="Times New Roman"/>
                <w:color w:val="FF0000"/>
                <w:lang w:val="en-US" w:eastAsia="zh-CN"/>
              </w:rPr>
              <w:t>，不属于</w:t>
            </w:r>
            <w:r>
              <w:rPr>
                <w:rFonts w:hint="default" w:ascii="Times New Roman" w:hAnsi="Times New Roman" w:cs="Times New Roman"/>
                <w:color w:val="FF0000"/>
                <w:lang w:val="en-US" w:eastAsia="zh-CN"/>
              </w:rPr>
              <w:t>《市场准入负面清单（202</w:t>
            </w:r>
            <w:r>
              <w:rPr>
                <w:rFonts w:hint="eastAsia" w:ascii="Times New Roman" w:hAnsi="Times New Roman" w:cs="Times New Roman"/>
                <w:color w:val="FF0000"/>
                <w:lang w:val="en-US" w:eastAsia="zh-CN"/>
              </w:rPr>
              <w:t>5</w:t>
            </w:r>
            <w:r>
              <w:rPr>
                <w:rFonts w:hint="default" w:ascii="Times New Roman" w:hAnsi="Times New Roman" w:cs="Times New Roman"/>
                <w:color w:val="FF0000"/>
                <w:lang w:val="en-US" w:eastAsia="zh-CN"/>
              </w:rPr>
              <w:t>年版）》禁止准入类事项</w:t>
            </w:r>
          </w:p>
        </w:tc>
        <w:tc>
          <w:tcPr>
            <w:tcW w:w="415" w:type="pct"/>
            <w:tcBorders>
              <w:top w:val="single" w:color="auto" w:sz="4" w:space="0"/>
              <w:left w:val="single" w:color="auto" w:sz="4" w:space="0"/>
              <w:bottom w:val="single" w:color="auto" w:sz="4" w:space="0"/>
            </w:tcBorders>
            <w:noWrap w:val="0"/>
            <w:vAlign w:val="center"/>
          </w:tcPr>
          <w:p w14:paraId="2FDD7C3C">
            <w:pPr>
              <w:pStyle w:val="48"/>
              <w:keepNext w:val="0"/>
              <w:keepLines w:val="0"/>
              <w:suppressLineNumbers w:val="0"/>
              <w:bidi w:val="0"/>
              <w:spacing w:before="0" w:beforeAutospacing="0" w:afterAutospacing="0"/>
              <w:ind w:right="0"/>
              <w:rPr>
                <w:rFonts w:hint="default" w:ascii="Times New Roman" w:hAnsi="Times New Roman" w:cs="Times New Roman"/>
                <w:color w:val="FF0000"/>
                <w:lang w:val="en-US" w:eastAsia="zh-CN"/>
              </w:rPr>
            </w:pPr>
            <w:r>
              <w:rPr>
                <w:rFonts w:hint="default" w:ascii="Times New Roman" w:hAnsi="Times New Roman" w:cs="Times New Roman"/>
                <w:color w:val="FF0000"/>
                <w:lang w:val="en-US" w:eastAsia="zh-CN"/>
              </w:rPr>
              <w:t>符合</w:t>
            </w:r>
          </w:p>
        </w:tc>
      </w:tr>
      <w:tr w14:paraId="7BECAED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454" w:hRule="atLeast"/>
          <w:tblHeader/>
          <w:jc w:val="center"/>
        </w:trPr>
        <w:tc>
          <w:tcPr>
            <w:tcW w:w="579" w:type="pct"/>
            <w:vMerge w:val="continue"/>
            <w:tcBorders>
              <w:top w:val="single" w:color="auto" w:sz="4" w:space="0"/>
              <w:bottom w:val="single" w:color="auto" w:sz="4" w:space="0"/>
              <w:right w:val="single" w:color="auto" w:sz="4" w:space="0"/>
            </w:tcBorders>
            <w:noWrap w:val="0"/>
            <w:vAlign w:val="center"/>
          </w:tcPr>
          <w:p w14:paraId="5C333C18">
            <w:pPr>
              <w:pStyle w:val="48"/>
              <w:keepNext w:val="0"/>
              <w:keepLines w:val="0"/>
              <w:suppressLineNumbers w:val="0"/>
              <w:bidi w:val="0"/>
              <w:spacing w:before="0" w:beforeAutospacing="0" w:afterAutospacing="0"/>
              <w:ind w:right="0"/>
              <w:rPr>
                <w:rFonts w:hint="default" w:ascii="Times New Roman" w:hAnsi="Times New Roman" w:cs="Times New Roman"/>
                <w:lang w:eastAsia="zh-CN"/>
              </w:rPr>
            </w:pPr>
          </w:p>
        </w:tc>
        <w:tc>
          <w:tcPr>
            <w:tcW w:w="415" w:type="pct"/>
            <w:vMerge w:val="continue"/>
            <w:tcBorders>
              <w:top w:val="single" w:color="auto" w:sz="4" w:space="0"/>
              <w:left w:val="single" w:color="auto" w:sz="4" w:space="0"/>
              <w:bottom w:val="single" w:color="auto" w:sz="4" w:space="0"/>
              <w:right w:val="single" w:color="auto" w:sz="4" w:space="0"/>
            </w:tcBorders>
            <w:noWrap w:val="0"/>
            <w:vAlign w:val="center"/>
          </w:tcPr>
          <w:p w14:paraId="2822511A">
            <w:pPr>
              <w:pStyle w:val="48"/>
              <w:keepNext w:val="0"/>
              <w:keepLines w:val="0"/>
              <w:suppressLineNumbers w:val="0"/>
              <w:bidi w:val="0"/>
              <w:spacing w:before="0" w:beforeAutospacing="0" w:afterAutospacing="0"/>
              <w:ind w:right="0"/>
              <w:rPr>
                <w:rFonts w:hint="default" w:ascii="Times New Roman" w:hAnsi="Times New Roman" w:cs="Times New Roman"/>
                <w:lang w:val="en-US" w:eastAsia="zh-CN"/>
              </w:rPr>
            </w:pPr>
          </w:p>
        </w:tc>
        <w:tc>
          <w:tcPr>
            <w:tcW w:w="414" w:type="pct"/>
            <w:vMerge w:val="continue"/>
            <w:tcBorders>
              <w:top w:val="single" w:color="auto" w:sz="4" w:space="0"/>
              <w:left w:val="single" w:color="auto" w:sz="4" w:space="0"/>
              <w:bottom w:val="single" w:color="auto" w:sz="4" w:space="0"/>
              <w:right w:val="single" w:color="auto" w:sz="4" w:space="0"/>
            </w:tcBorders>
            <w:noWrap w:val="0"/>
            <w:vAlign w:val="center"/>
          </w:tcPr>
          <w:p w14:paraId="6D56BD8D">
            <w:pPr>
              <w:pStyle w:val="48"/>
              <w:keepNext w:val="0"/>
              <w:keepLines w:val="0"/>
              <w:suppressLineNumbers w:val="0"/>
              <w:bidi w:val="0"/>
              <w:spacing w:before="0" w:beforeAutospacing="0" w:afterAutospacing="0"/>
              <w:ind w:right="0"/>
              <w:rPr>
                <w:rFonts w:hint="default" w:ascii="Times New Roman" w:hAnsi="Times New Roman" w:cs="Times New Roman"/>
              </w:rPr>
            </w:pPr>
          </w:p>
        </w:tc>
        <w:tc>
          <w:tcPr>
            <w:tcW w:w="2127" w:type="pct"/>
            <w:tcBorders>
              <w:top w:val="single" w:color="auto" w:sz="4" w:space="0"/>
              <w:left w:val="single" w:color="auto" w:sz="4" w:space="0"/>
              <w:bottom w:val="single" w:color="auto" w:sz="4" w:space="0"/>
              <w:right w:val="single" w:color="auto" w:sz="4" w:space="0"/>
            </w:tcBorders>
            <w:noWrap w:val="0"/>
            <w:vAlign w:val="center"/>
          </w:tcPr>
          <w:p w14:paraId="3C14A5EA">
            <w:pPr>
              <w:pStyle w:val="48"/>
              <w:keepNext w:val="0"/>
              <w:keepLines w:val="0"/>
              <w:suppressLineNumbers w:val="0"/>
              <w:bidi w:val="0"/>
              <w:spacing w:before="0" w:beforeAutospacing="0" w:afterAutospacing="0"/>
              <w:ind w:right="0"/>
              <w:jc w:val="both"/>
              <w:rPr>
                <w:rFonts w:hint="default" w:ascii="Times New Roman" w:hAnsi="Times New Roman" w:cs="Times New Roman"/>
                <w:color w:val="FF0000"/>
                <w:lang w:val="en-US" w:eastAsia="zh-CN"/>
              </w:rPr>
            </w:pPr>
            <w:r>
              <w:rPr>
                <w:rFonts w:hint="default" w:ascii="Times New Roman" w:hAnsi="Times New Roman" w:cs="Times New Roman"/>
                <w:color w:val="FF0000"/>
                <w:lang w:val="en-US" w:eastAsia="zh-CN"/>
              </w:rPr>
              <w:t>〔A1.4-1〕一切开发建设活动应符合国家、自治区主体功能区规划</w:t>
            </w:r>
            <w:r>
              <w:rPr>
                <w:rFonts w:hint="eastAsia" w:cs="Times New Roman"/>
                <w:color w:val="FF0000"/>
                <w:lang w:val="en-US" w:eastAsia="zh-CN"/>
              </w:rPr>
              <w:t>、</w:t>
            </w:r>
            <w:r>
              <w:rPr>
                <w:rFonts w:hint="default" w:ascii="Times New Roman" w:hAnsi="Times New Roman" w:cs="Times New Roman"/>
                <w:color w:val="FF0000"/>
                <w:lang w:val="en-US" w:eastAsia="zh-CN"/>
              </w:rPr>
              <w:t>自治区和各地颁布实施的生态环境功能区划、国民经济发展规划、产业发展规划、国土空间规划等相关规划及重点生态功能区负面清单要求，符合区域或产业规划环评要求。</w:t>
            </w:r>
          </w:p>
        </w:tc>
        <w:tc>
          <w:tcPr>
            <w:tcW w:w="1046" w:type="pct"/>
            <w:tcBorders>
              <w:top w:val="single" w:color="auto" w:sz="4" w:space="0"/>
              <w:left w:val="single" w:color="auto" w:sz="4" w:space="0"/>
              <w:bottom w:val="single" w:color="auto" w:sz="4" w:space="0"/>
              <w:right w:val="single" w:color="auto" w:sz="4" w:space="0"/>
            </w:tcBorders>
            <w:noWrap w:val="0"/>
            <w:vAlign w:val="center"/>
          </w:tcPr>
          <w:p w14:paraId="304CD940">
            <w:pPr>
              <w:pStyle w:val="48"/>
              <w:keepNext w:val="0"/>
              <w:keepLines w:val="0"/>
              <w:suppressLineNumbers w:val="0"/>
              <w:bidi w:val="0"/>
              <w:spacing w:before="0" w:beforeAutospacing="0" w:afterAutospacing="0"/>
              <w:ind w:right="0"/>
              <w:rPr>
                <w:rFonts w:hint="default" w:ascii="Times New Roman" w:hAnsi="Times New Roman" w:cs="Times New Roman"/>
                <w:color w:val="FF0000"/>
                <w:lang w:val="en-US" w:eastAsia="zh-CN"/>
              </w:rPr>
            </w:pPr>
            <w:r>
              <w:rPr>
                <w:rFonts w:hint="eastAsia" w:cs="Times New Roman"/>
                <w:color w:val="FF0000"/>
                <w:highlight w:val="none"/>
                <w:lang w:val="en-US" w:eastAsia="zh-CN"/>
              </w:rPr>
              <w:t>本项目符合</w:t>
            </w:r>
            <w:r>
              <w:rPr>
                <w:rFonts w:hint="default" w:ascii="Times New Roman" w:hAnsi="Times New Roman" w:cs="Times New Roman"/>
                <w:color w:val="FF0000"/>
                <w:highlight w:val="none"/>
                <w:lang w:val="en-US" w:eastAsia="zh-CN"/>
              </w:rPr>
              <w:t>国家、自治区主体功能区规划</w:t>
            </w:r>
            <w:r>
              <w:rPr>
                <w:rFonts w:hint="eastAsia" w:cs="Times New Roman"/>
                <w:color w:val="FF0000"/>
                <w:highlight w:val="none"/>
                <w:lang w:val="en-US" w:eastAsia="zh-CN"/>
              </w:rPr>
              <w:t>、</w:t>
            </w:r>
            <w:r>
              <w:rPr>
                <w:rFonts w:hint="default" w:ascii="Times New Roman" w:hAnsi="Times New Roman" w:cs="Times New Roman"/>
                <w:color w:val="FF0000"/>
                <w:highlight w:val="none"/>
                <w:lang w:val="en-US" w:eastAsia="zh-CN"/>
              </w:rPr>
              <w:t>自治区和各地颁布实施的生态环境功能区划经济发展规划、产业发展规划、国土空间规划等相关规划及重点生态功能区负面清单要求</w:t>
            </w:r>
            <w:r>
              <w:rPr>
                <w:rFonts w:hint="eastAsia" w:cs="Times New Roman"/>
                <w:color w:val="FF0000"/>
                <w:highlight w:val="none"/>
                <w:lang w:val="en-US" w:eastAsia="zh-CN"/>
              </w:rPr>
              <w:t>，符合</w:t>
            </w:r>
            <w:r>
              <w:rPr>
                <w:rFonts w:hint="eastAsia" w:ascii="宋体" w:hAnsi="宋体" w:eastAsia="宋体" w:cs="宋体"/>
                <w:b w:val="0"/>
                <w:bCs w:val="0"/>
                <w:color w:val="FF0000"/>
                <w:kern w:val="0"/>
                <w:sz w:val="24"/>
                <w:szCs w:val="24"/>
                <w:highlight w:val="none"/>
                <w:lang w:val="en-US" w:eastAsia="zh-CN" w:bidi="ar-SA"/>
              </w:rPr>
              <w:t>《新疆维吾尔自治区昌吉回族自治州矿产资源总体规划（2021-2025）》、</w:t>
            </w:r>
            <w:r>
              <w:rPr>
                <w:rFonts w:hint="default" w:ascii="Times New Roman" w:hAnsi="Times New Roman" w:cs="Times New Roman"/>
                <w:color w:val="FF0000"/>
                <w:sz w:val="24"/>
                <w:szCs w:val="24"/>
                <w:highlight w:val="none"/>
              </w:rPr>
              <w:t>《新疆维吾尔自治区阜康市矿产资源总体规划（2021-2025年）》</w:t>
            </w:r>
            <w:r>
              <w:rPr>
                <w:rFonts w:hint="eastAsia" w:ascii="Times New Roman" w:hAnsi="Times New Roman" w:cs="Times New Roman"/>
                <w:color w:val="FF0000"/>
                <w:sz w:val="24"/>
                <w:szCs w:val="24"/>
                <w:highlight w:val="none"/>
                <w:lang w:eastAsia="zh-CN"/>
              </w:rPr>
              <w:t>、</w:t>
            </w:r>
            <w:r>
              <w:rPr>
                <w:rFonts w:hint="default" w:ascii="Times New Roman" w:hAnsi="Times New Roman" w:cs="Times New Roman"/>
                <w:color w:val="FF0000"/>
                <w:sz w:val="24"/>
                <w:szCs w:val="24"/>
                <w:highlight w:val="none"/>
              </w:rPr>
              <w:t>《新疆维吾尔自治区矿产资源总体规划（2021-2025年）环境影响报告书》</w:t>
            </w:r>
            <w:r>
              <w:rPr>
                <w:rFonts w:hint="eastAsia" w:cs="Times New Roman"/>
                <w:color w:val="FF0000"/>
                <w:highlight w:val="none"/>
                <w:lang w:val="en-US" w:eastAsia="zh-CN"/>
              </w:rPr>
              <w:t>的要求。</w:t>
            </w:r>
          </w:p>
        </w:tc>
        <w:tc>
          <w:tcPr>
            <w:tcW w:w="415" w:type="pct"/>
            <w:tcBorders>
              <w:top w:val="single" w:color="auto" w:sz="4" w:space="0"/>
              <w:left w:val="single" w:color="auto" w:sz="4" w:space="0"/>
              <w:bottom w:val="single" w:color="auto" w:sz="4" w:space="0"/>
            </w:tcBorders>
            <w:noWrap w:val="0"/>
            <w:vAlign w:val="center"/>
          </w:tcPr>
          <w:p w14:paraId="62A4AA84">
            <w:pPr>
              <w:pStyle w:val="48"/>
              <w:keepNext w:val="0"/>
              <w:keepLines w:val="0"/>
              <w:suppressLineNumbers w:val="0"/>
              <w:bidi w:val="0"/>
              <w:spacing w:before="0" w:beforeAutospacing="0" w:afterAutospacing="0"/>
              <w:ind w:right="0"/>
              <w:rPr>
                <w:rFonts w:hint="default" w:ascii="Times New Roman" w:hAnsi="Times New Roman" w:cs="Times New Roman"/>
                <w:color w:val="FF0000"/>
                <w:lang w:val="en-US" w:eastAsia="zh-CN"/>
              </w:rPr>
            </w:pPr>
            <w:r>
              <w:rPr>
                <w:rFonts w:hint="default" w:ascii="Times New Roman" w:hAnsi="Times New Roman" w:cs="Times New Roman"/>
                <w:color w:val="FF0000"/>
                <w:lang w:val="en-US" w:eastAsia="zh-CN"/>
              </w:rPr>
              <w:t>符合</w:t>
            </w:r>
          </w:p>
        </w:tc>
      </w:tr>
      <w:tr w14:paraId="5B818BB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454" w:hRule="atLeast"/>
          <w:tblHeader/>
          <w:jc w:val="center"/>
        </w:trPr>
        <w:tc>
          <w:tcPr>
            <w:tcW w:w="579" w:type="pct"/>
            <w:vMerge w:val="continue"/>
            <w:tcBorders>
              <w:top w:val="single" w:color="auto" w:sz="4" w:space="0"/>
              <w:bottom w:val="single" w:color="auto" w:sz="4" w:space="0"/>
              <w:right w:val="single" w:color="auto" w:sz="4" w:space="0"/>
            </w:tcBorders>
            <w:noWrap w:val="0"/>
            <w:vAlign w:val="center"/>
          </w:tcPr>
          <w:p w14:paraId="5436E53C">
            <w:pPr>
              <w:pStyle w:val="48"/>
              <w:keepNext w:val="0"/>
              <w:keepLines w:val="0"/>
              <w:suppressLineNumbers w:val="0"/>
              <w:bidi w:val="0"/>
              <w:spacing w:before="0" w:beforeAutospacing="0" w:afterAutospacing="0"/>
              <w:ind w:right="0"/>
              <w:rPr>
                <w:rFonts w:hint="default" w:ascii="Times New Roman" w:hAnsi="Times New Roman" w:cs="Times New Roman"/>
                <w:lang w:eastAsia="zh-CN"/>
              </w:rPr>
            </w:pPr>
          </w:p>
        </w:tc>
        <w:tc>
          <w:tcPr>
            <w:tcW w:w="415" w:type="pct"/>
            <w:vMerge w:val="continue"/>
            <w:tcBorders>
              <w:top w:val="single" w:color="auto" w:sz="4" w:space="0"/>
              <w:left w:val="single" w:color="auto" w:sz="4" w:space="0"/>
              <w:bottom w:val="single" w:color="auto" w:sz="4" w:space="0"/>
              <w:right w:val="single" w:color="auto" w:sz="4" w:space="0"/>
            </w:tcBorders>
            <w:noWrap w:val="0"/>
            <w:vAlign w:val="center"/>
          </w:tcPr>
          <w:p w14:paraId="390DCBAF">
            <w:pPr>
              <w:pStyle w:val="48"/>
              <w:keepNext w:val="0"/>
              <w:keepLines w:val="0"/>
              <w:suppressLineNumbers w:val="0"/>
              <w:bidi w:val="0"/>
              <w:spacing w:before="0" w:beforeAutospacing="0" w:afterAutospacing="0"/>
              <w:ind w:right="0"/>
              <w:rPr>
                <w:rFonts w:hint="default" w:ascii="Times New Roman" w:hAnsi="Times New Roman" w:cs="Times New Roman"/>
                <w:lang w:val="en-US" w:eastAsia="zh-CN"/>
              </w:rPr>
            </w:pPr>
          </w:p>
        </w:tc>
        <w:tc>
          <w:tcPr>
            <w:tcW w:w="414" w:type="pct"/>
            <w:vMerge w:val="restart"/>
            <w:tcBorders>
              <w:top w:val="single" w:color="auto" w:sz="4" w:space="0"/>
              <w:left w:val="single" w:color="auto" w:sz="4" w:space="0"/>
              <w:right w:val="single" w:color="auto" w:sz="4" w:space="0"/>
            </w:tcBorders>
            <w:noWrap w:val="0"/>
            <w:vAlign w:val="center"/>
          </w:tcPr>
          <w:p w14:paraId="6EDBE90D">
            <w:pPr>
              <w:pStyle w:val="48"/>
              <w:keepNext w:val="0"/>
              <w:keepLines w:val="0"/>
              <w:suppressLineNumbers w:val="0"/>
              <w:bidi w:val="0"/>
              <w:spacing w:before="0" w:beforeAutospacing="0" w:afterAutospacing="0"/>
              <w:ind w:right="0"/>
              <w:rPr>
                <w:rFonts w:hint="default" w:ascii="Times New Roman" w:hAnsi="Times New Roman" w:cs="Times New Roman"/>
                <w:color w:val="FF0000"/>
                <w:lang w:val="en-US" w:eastAsia="zh-CN"/>
              </w:rPr>
            </w:pPr>
            <w:r>
              <w:rPr>
                <w:rFonts w:hint="default" w:ascii="Times New Roman" w:hAnsi="Times New Roman" w:cs="Times New Roman"/>
                <w:color w:val="FF0000"/>
                <w:lang w:val="en-US" w:eastAsia="zh-CN"/>
              </w:rPr>
              <w:t>污染物排放管理</w:t>
            </w:r>
          </w:p>
        </w:tc>
        <w:tc>
          <w:tcPr>
            <w:tcW w:w="2127" w:type="pct"/>
            <w:tcBorders>
              <w:top w:val="single" w:color="auto" w:sz="4" w:space="0"/>
              <w:left w:val="single" w:color="auto" w:sz="4" w:space="0"/>
              <w:bottom w:val="single" w:color="auto" w:sz="4" w:space="0"/>
              <w:right w:val="single" w:color="auto" w:sz="4" w:space="0"/>
            </w:tcBorders>
            <w:noWrap w:val="0"/>
            <w:vAlign w:val="center"/>
          </w:tcPr>
          <w:p w14:paraId="572D122C">
            <w:pPr>
              <w:pStyle w:val="48"/>
              <w:keepNext w:val="0"/>
              <w:keepLines w:val="0"/>
              <w:suppressLineNumbers w:val="0"/>
              <w:bidi w:val="0"/>
              <w:spacing w:before="0" w:beforeAutospacing="0" w:afterAutospacing="0"/>
              <w:ind w:right="0"/>
              <w:jc w:val="both"/>
              <w:rPr>
                <w:rFonts w:hint="default" w:ascii="Times New Roman" w:hAnsi="Times New Roman" w:cs="Times New Roman"/>
                <w:color w:val="FF0000"/>
                <w:lang w:val="en-US" w:eastAsia="zh-CN"/>
              </w:rPr>
            </w:pPr>
            <w:r>
              <w:rPr>
                <w:rFonts w:hint="default" w:ascii="Times New Roman" w:hAnsi="Times New Roman" w:cs="Times New Roman"/>
                <w:color w:val="FF0000"/>
                <w:lang w:val="en-US" w:eastAsia="zh-CN"/>
              </w:rPr>
              <w:t>〔A2.2-6〕推进地表水与地下水协同防治。以傍河型地下水饮用水水源为重点，防范受污染河段侧渗和垂直补给对地下水污染。加强化学品生产企业、工业聚集区、</w:t>
            </w:r>
            <w:r>
              <w:rPr>
                <w:rFonts w:hint="default" w:ascii="Times New Roman" w:hAnsi="Times New Roman" w:cs="Times New Roman"/>
                <w:b/>
                <w:bCs/>
                <w:color w:val="FF0000"/>
                <w:lang w:val="en-US" w:eastAsia="zh-CN"/>
              </w:rPr>
              <w:t>矿山开采区等污染源的地表、地下协同防治与环境风险管控</w:t>
            </w:r>
            <w:r>
              <w:rPr>
                <w:rFonts w:hint="default" w:ascii="Times New Roman" w:hAnsi="Times New Roman" w:cs="Times New Roman"/>
                <w:color w:val="FF0000"/>
                <w:lang w:val="en-US" w:eastAsia="zh-CN"/>
              </w:rPr>
              <w:t>。加强工业污染防治。推动重点行业、重点企业绿色发展，严格落实水污染物排放标准和排污许可制度。加强农副食品加工、化工、印染、棉浆粕、粘胶纤维、制糖等企业综合治理和清洁化改造。支持企业积极实施节水技术改造，加强工业园区污水集中处理设施运行管理，加快再生水回用设施建设，提升园区水资源循环利用水平。</w:t>
            </w:r>
          </w:p>
        </w:tc>
        <w:tc>
          <w:tcPr>
            <w:tcW w:w="1046" w:type="pct"/>
            <w:tcBorders>
              <w:top w:val="single" w:color="auto" w:sz="4" w:space="0"/>
              <w:left w:val="single" w:color="auto" w:sz="4" w:space="0"/>
              <w:bottom w:val="single" w:color="auto" w:sz="4" w:space="0"/>
              <w:right w:val="single" w:color="auto" w:sz="4" w:space="0"/>
            </w:tcBorders>
            <w:noWrap w:val="0"/>
            <w:vAlign w:val="center"/>
          </w:tcPr>
          <w:p w14:paraId="4BC77FC2">
            <w:pPr>
              <w:pStyle w:val="48"/>
              <w:keepNext w:val="0"/>
              <w:keepLines w:val="0"/>
              <w:suppressLineNumbers w:val="0"/>
              <w:bidi w:val="0"/>
              <w:spacing w:before="0" w:beforeAutospacing="0" w:afterAutospacing="0"/>
              <w:ind w:right="0"/>
              <w:rPr>
                <w:rFonts w:hint="default" w:ascii="Times New Roman" w:hAnsi="Times New Roman" w:cs="Times New Roman"/>
                <w:color w:val="FF0000"/>
                <w:highlight w:val="none"/>
                <w:lang w:val="en-US" w:eastAsia="zh-CN"/>
              </w:rPr>
            </w:pPr>
            <w:r>
              <w:rPr>
                <w:rFonts w:hint="eastAsia" w:cs="Times New Roman"/>
                <w:color w:val="FF0000"/>
                <w:highlight w:val="none"/>
                <w:lang w:val="en-US" w:eastAsia="zh-CN"/>
              </w:rPr>
              <w:t>本项目区域无地表水体，无地下水，本项目生产过程中，生产废水全部回用，不外排，生活污水经处理后用作降尘。危废贮存点、生活污水处理装置进行防渗，并设置围堰，环境风险可控。要求该矿山按照绿色矿山要求进行建设，项目污染物排放对区域水环境影响很小。</w:t>
            </w:r>
          </w:p>
        </w:tc>
        <w:tc>
          <w:tcPr>
            <w:tcW w:w="415" w:type="pct"/>
            <w:tcBorders>
              <w:top w:val="single" w:color="auto" w:sz="4" w:space="0"/>
              <w:left w:val="single" w:color="auto" w:sz="4" w:space="0"/>
              <w:bottom w:val="single" w:color="auto" w:sz="4" w:space="0"/>
            </w:tcBorders>
            <w:noWrap w:val="0"/>
            <w:vAlign w:val="center"/>
          </w:tcPr>
          <w:p w14:paraId="05EBC9B1">
            <w:pPr>
              <w:pStyle w:val="48"/>
              <w:keepNext w:val="0"/>
              <w:keepLines w:val="0"/>
              <w:suppressLineNumbers w:val="0"/>
              <w:bidi w:val="0"/>
              <w:spacing w:before="0" w:beforeAutospacing="0" w:afterAutospacing="0"/>
              <w:ind w:right="0"/>
              <w:rPr>
                <w:rFonts w:hint="default" w:ascii="Times New Roman" w:hAnsi="Times New Roman" w:cs="Times New Roman"/>
                <w:color w:val="FF0000"/>
                <w:highlight w:val="none"/>
                <w:lang w:val="en-US" w:eastAsia="zh-CN"/>
              </w:rPr>
            </w:pPr>
            <w:r>
              <w:rPr>
                <w:rFonts w:hint="default" w:ascii="Times New Roman" w:hAnsi="Times New Roman" w:cs="Times New Roman"/>
                <w:color w:val="FF0000"/>
                <w:highlight w:val="none"/>
                <w:lang w:val="en-US" w:eastAsia="zh-CN"/>
              </w:rPr>
              <w:t>符合</w:t>
            </w:r>
          </w:p>
        </w:tc>
      </w:tr>
      <w:tr w14:paraId="2DF6B0F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454" w:hRule="atLeast"/>
          <w:tblHeader/>
          <w:jc w:val="center"/>
        </w:trPr>
        <w:tc>
          <w:tcPr>
            <w:tcW w:w="579" w:type="pct"/>
            <w:vMerge w:val="continue"/>
            <w:tcBorders>
              <w:top w:val="single" w:color="auto" w:sz="4" w:space="0"/>
              <w:bottom w:val="single" w:color="auto" w:sz="4" w:space="0"/>
              <w:right w:val="single" w:color="auto" w:sz="4" w:space="0"/>
            </w:tcBorders>
            <w:noWrap w:val="0"/>
            <w:vAlign w:val="center"/>
          </w:tcPr>
          <w:p w14:paraId="659E5AA3">
            <w:pPr>
              <w:pStyle w:val="48"/>
              <w:keepNext w:val="0"/>
              <w:keepLines w:val="0"/>
              <w:suppressLineNumbers w:val="0"/>
              <w:bidi w:val="0"/>
              <w:spacing w:before="0" w:beforeAutospacing="0" w:afterAutospacing="0"/>
              <w:ind w:right="0"/>
              <w:rPr>
                <w:rFonts w:hint="default" w:ascii="Times New Roman" w:hAnsi="Times New Roman" w:cs="Times New Roman"/>
                <w:lang w:eastAsia="zh-CN"/>
              </w:rPr>
            </w:pPr>
          </w:p>
        </w:tc>
        <w:tc>
          <w:tcPr>
            <w:tcW w:w="415" w:type="pct"/>
            <w:vMerge w:val="continue"/>
            <w:tcBorders>
              <w:top w:val="single" w:color="auto" w:sz="4" w:space="0"/>
              <w:left w:val="single" w:color="auto" w:sz="4" w:space="0"/>
              <w:bottom w:val="single" w:color="auto" w:sz="4" w:space="0"/>
              <w:right w:val="single" w:color="auto" w:sz="4" w:space="0"/>
            </w:tcBorders>
            <w:noWrap w:val="0"/>
            <w:vAlign w:val="center"/>
          </w:tcPr>
          <w:p w14:paraId="44EA5CDB">
            <w:pPr>
              <w:pStyle w:val="48"/>
              <w:keepNext w:val="0"/>
              <w:keepLines w:val="0"/>
              <w:suppressLineNumbers w:val="0"/>
              <w:bidi w:val="0"/>
              <w:spacing w:before="0" w:beforeAutospacing="0" w:afterAutospacing="0"/>
              <w:ind w:right="0"/>
              <w:rPr>
                <w:rFonts w:hint="default" w:ascii="Times New Roman" w:hAnsi="Times New Roman" w:cs="Times New Roman"/>
                <w:lang w:val="en-US" w:eastAsia="zh-CN"/>
              </w:rPr>
            </w:pPr>
          </w:p>
        </w:tc>
        <w:tc>
          <w:tcPr>
            <w:tcW w:w="414" w:type="pct"/>
            <w:vMerge w:val="continue"/>
            <w:tcBorders>
              <w:left w:val="single" w:color="auto" w:sz="4" w:space="0"/>
              <w:bottom w:val="single" w:color="auto" w:sz="4" w:space="0"/>
              <w:right w:val="single" w:color="auto" w:sz="4" w:space="0"/>
            </w:tcBorders>
            <w:noWrap w:val="0"/>
            <w:vAlign w:val="center"/>
          </w:tcPr>
          <w:p w14:paraId="1169CBBA">
            <w:pPr>
              <w:pStyle w:val="48"/>
              <w:keepNext w:val="0"/>
              <w:keepLines w:val="0"/>
              <w:suppressLineNumbers w:val="0"/>
              <w:bidi w:val="0"/>
              <w:spacing w:before="0" w:beforeAutospacing="0" w:afterAutospacing="0"/>
              <w:ind w:right="0"/>
              <w:rPr>
                <w:rFonts w:hint="default" w:ascii="Times New Roman" w:hAnsi="Times New Roman" w:cs="Times New Roman"/>
                <w:color w:val="FF0000"/>
                <w:lang w:val="en-US" w:eastAsia="zh-CN"/>
              </w:rPr>
            </w:pPr>
          </w:p>
        </w:tc>
        <w:tc>
          <w:tcPr>
            <w:tcW w:w="2127" w:type="pct"/>
            <w:tcBorders>
              <w:top w:val="single" w:color="auto" w:sz="4" w:space="0"/>
              <w:left w:val="single" w:color="auto" w:sz="4" w:space="0"/>
              <w:bottom w:val="single" w:color="auto" w:sz="4" w:space="0"/>
              <w:right w:val="single" w:color="auto" w:sz="4" w:space="0"/>
            </w:tcBorders>
            <w:noWrap w:val="0"/>
            <w:vAlign w:val="center"/>
          </w:tcPr>
          <w:p w14:paraId="17F1AD97">
            <w:pPr>
              <w:pStyle w:val="48"/>
              <w:keepNext w:val="0"/>
              <w:keepLines w:val="0"/>
              <w:suppressLineNumbers w:val="0"/>
              <w:bidi w:val="0"/>
              <w:spacing w:before="0" w:beforeAutospacing="0" w:afterAutospacing="0"/>
              <w:ind w:right="0"/>
              <w:jc w:val="both"/>
              <w:rPr>
                <w:rFonts w:hint="default" w:ascii="Times New Roman" w:hAnsi="Times New Roman" w:cs="Times New Roman"/>
                <w:color w:val="FF0000"/>
                <w:lang w:val="en-US" w:eastAsia="zh-CN"/>
              </w:rPr>
            </w:pPr>
            <w:r>
              <w:rPr>
                <w:rFonts w:hint="default" w:ascii="Times New Roman" w:hAnsi="Times New Roman" w:cs="Times New Roman"/>
                <w:color w:val="FF0000"/>
                <w:lang w:val="en-US" w:eastAsia="zh-CN"/>
              </w:rPr>
              <w:t>〔A2.1-1〕新、改、扩建重点行业建设项目应符合“三线一单”、产业政策、区域环评、规划环评和行业环境准入管控要求。重点区域的新、改、扩建重点行业建设项目应遵循重点重金属污染物排放“减量替代”原则。</w:t>
            </w:r>
          </w:p>
        </w:tc>
        <w:tc>
          <w:tcPr>
            <w:tcW w:w="1046" w:type="pct"/>
            <w:tcBorders>
              <w:top w:val="single" w:color="auto" w:sz="4" w:space="0"/>
              <w:left w:val="single" w:color="auto" w:sz="4" w:space="0"/>
              <w:bottom w:val="single" w:color="auto" w:sz="4" w:space="0"/>
              <w:right w:val="single" w:color="auto" w:sz="4" w:space="0"/>
            </w:tcBorders>
            <w:noWrap w:val="0"/>
            <w:vAlign w:val="center"/>
          </w:tcPr>
          <w:p w14:paraId="7D078281">
            <w:pPr>
              <w:pStyle w:val="48"/>
              <w:keepNext w:val="0"/>
              <w:keepLines w:val="0"/>
              <w:suppressLineNumbers w:val="0"/>
              <w:bidi w:val="0"/>
              <w:spacing w:before="0" w:beforeAutospacing="0" w:afterAutospacing="0"/>
              <w:ind w:right="0"/>
              <w:rPr>
                <w:rFonts w:hint="default" w:cs="Times New Roman"/>
                <w:color w:val="FF0000"/>
                <w:highlight w:val="none"/>
                <w:lang w:val="en-US" w:eastAsia="zh-CN"/>
              </w:rPr>
            </w:pPr>
            <w:r>
              <w:rPr>
                <w:rFonts w:hint="eastAsia" w:cs="Times New Roman"/>
                <w:color w:val="FF0000"/>
                <w:highlight w:val="none"/>
                <w:lang w:val="en-US" w:eastAsia="zh-CN"/>
              </w:rPr>
              <w:t>本项目符合“三线一单”，符合产业政策、</w:t>
            </w:r>
            <w:r>
              <w:rPr>
                <w:rFonts w:hint="default" w:ascii="Times New Roman" w:hAnsi="Times New Roman" w:cs="Times New Roman"/>
                <w:color w:val="FF0000"/>
                <w:highlight w:val="none"/>
                <w:lang w:val="en-US" w:eastAsia="zh-CN"/>
              </w:rPr>
              <w:t>规划环评和行业环境准入管控要求。</w:t>
            </w:r>
          </w:p>
        </w:tc>
        <w:tc>
          <w:tcPr>
            <w:tcW w:w="415" w:type="pct"/>
            <w:tcBorders>
              <w:top w:val="single" w:color="auto" w:sz="4" w:space="0"/>
              <w:left w:val="single" w:color="auto" w:sz="4" w:space="0"/>
              <w:bottom w:val="single" w:color="auto" w:sz="4" w:space="0"/>
            </w:tcBorders>
            <w:noWrap w:val="0"/>
            <w:vAlign w:val="center"/>
          </w:tcPr>
          <w:p w14:paraId="730D8E3D">
            <w:pPr>
              <w:pStyle w:val="48"/>
              <w:keepNext w:val="0"/>
              <w:keepLines w:val="0"/>
              <w:suppressLineNumbers w:val="0"/>
              <w:bidi w:val="0"/>
              <w:spacing w:before="0" w:beforeAutospacing="0" w:afterAutospacing="0"/>
              <w:ind w:right="0"/>
              <w:rPr>
                <w:rFonts w:hint="default" w:ascii="Times New Roman" w:hAnsi="Times New Roman" w:cs="Times New Roman"/>
                <w:color w:val="FF0000"/>
                <w:highlight w:val="none"/>
                <w:lang w:val="en-US" w:eastAsia="zh-CN"/>
              </w:rPr>
            </w:pPr>
            <w:r>
              <w:rPr>
                <w:rFonts w:hint="eastAsia" w:ascii="Times New Roman" w:hAnsi="Times New Roman" w:cs="Times New Roman"/>
                <w:color w:val="FF0000"/>
                <w:highlight w:val="none"/>
                <w:lang w:val="en-US" w:eastAsia="zh-CN"/>
              </w:rPr>
              <w:t>符合</w:t>
            </w:r>
          </w:p>
        </w:tc>
      </w:tr>
      <w:tr w14:paraId="319FB35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454" w:hRule="atLeast"/>
          <w:tblHeader/>
          <w:jc w:val="center"/>
        </w:trPr>
        <w:tc>
          <w:tcPr>
            <w:tcW w:w="579" w:type="pct"/>
            <w:vMerge w:val="continue"/>
            <w:tcBorders>
              <w:top w:val="single" w:color="auto" w:sz="4" w:space="0"/>
              <w:bottom w:val="single" w:color="auto" w:sz="4" w:space="0"/>
              <w:right w:val="single" w:color="auto" w:sz="4" w:space="0"/>
            </w:tcBorders>
            <w:noWrap w:val="0"/>
            <w:vAlign w:val="center"/>
          </w:tcPr>
          <w:p w14:paraId="5DD332DD">
            <w:pPr>
              <w:pStyle w:val="48"/>
              <w:keepNext w:val="0"/>
              <w:keepLines w:val="0"/>
              <w:suppressLineNumbers w:val="0"/>
              <w:bidi w:val="0"/>
              <w:spacing w:before="0" w:beforeAutospacing="0" w:afterAutospacing="0"/>
              <w:ind w:right="0"/>
              <w:rPr>
                <w:rFonts w:hint="default" w:ascii="Times New Roman" w:hAnsi="Times New Roman" w:cs="Times New Roman"/>
                <w:lang w:eastAsia="zh-CN"/>
              </w:rPr>
            </w:pPr>
          </w:p>
        </w:tc>
        <w:tc>
          <w:tcPr>
            <w:tcW w:w="415" w:type="pct"/>
            <w:vMerge w:val="continue"/>
            <w:tcBorders>
              <w:top w:val="single" w:color="auto" w:sz="4" w:space="0"/>
              <w:left w:val="single" w:color="auto" w:sz="4" w:space="0"/>
              <w:bottom w:val="single" w:color="auto" w:sz="4" w:space="0"/>
              <w:right w:val="single" w:color="auto" w:sz="4" w:space="0"/>
            </w:tcBorders>
            <w:noWrap w:val="0"/>
            <w:vAlign w:val="center"/>
          </w:tcPr>
          <w:p w14:paraId="14D3FE7D">
            <w:pPr>
              <w:pStyle w:val="48"/>
              <w:keepNext w:val="0"/>
              <w:keepLines w:val="0"/>
              <w:suppressLineNumbers w:val="0"/>
              <w:bidi w:val="0"/>
              <w:spacing w:before="0" w:beforeAutospacing="0" w:afterAutospacing="0"/>
              <w:ind w:right="0"/>
              <w:rPr>
                <w:rFonts w:hint="default" w:ascii="Times New Roman" w:hAnsi="Times New Roman" w:cs="Times New Roman"/>
                <w:lang w:val="en-US" w:eastAsia="zh-CN"/>
              </w:rPr>
            </w:pPr>
          </w:p>
        </w:tc>
        <w:tc>
          <w:tcPr>
            <w:tcW w:w="414" w:type="pct"/>
            <w:tcBorders>
              <w:top w:val="single" w:color="auto" w:sz="4" w:space="0"/>
              <w:left w:val="single" w:color="auto" w:sz="4" w:space="0"/>
              <w:bottom w:val="single" w:color="auto" w:sz="4" w:space="0"/>
              <w:right w:val="single" w:color="auto" w:sz="4" w:space="0"/>
            </w:tcBorders>
            <w:noWrap w:val="0"/>
            <w:vAlign w:val="center"/>
          </w:tcPr>
          <w:p w14:paraId="43F630A8">
            <w:pPr>
              <w:pStyle w:val="48"/>
              <w:keepNext w:val="0"/>
              <w:keepLines w:val="0"/>
              <w:suppressLineNumbers w:val="0"/>
              <w:bidi w:val="0"/>
              <w:spacing w:before="0" w:beforeAutospacing="0" w:afterAutospacing="0"/>
              <w:ind w:right="0"/>
              <w:rPr>
                <w:rFonts w:hint="default" w:ascii="Times New Roman" w:hAnsi="Times New Roman" w:cs="Times New Roman"/>
                <w:color w:val="FF0000"/>
                <w:lang w:val="en-US" w:eastAsia="zh-CN"/>
              </w:rPr>
            </w:pPr>
            <w:r>
              <w:rPr>
                <w:rFonts w:hint="default" w:ascii="Times New Roman" w:hAnsi="Times New Roman" w:cs="Times New Roman"/>
                <w:color w:val="FF0000"/>
                <w:lang w:val="en-US" w:eastAsia="zh-CN"/>
              </w:rPr>
              <w:t>环境风险防控</w:t>
            </w:r>
          </w:p>
        </w:tc>
        <w:tc>
          <w:tcPr>
            <w:tcW w:w="2127" w:type="pct"/>
            <w:tcBorders>
              <w:top w:val="single" w:color="auto" w:sz="4" w:space="0"/>
              <w:left w:val="single" w:color="auto" w:sz="4" w:space="0"/>
              <w:right w:val="single" w:color="auto" w:sz="4" w:space="0"/>
            </w:tcBorders>
            <w:noWrap w:val="0"/>
            <w:vAlign w:val="center"/>
          </w:tcPr>
          <w:p w14:paraId="23A3F1A2">
            <w:pPr>
              <w:pStyle w:val="48"/>
              <w:keepNext w:val="0"/>
              <w:keepLines w:val="0"/>
              <w:suppressLineNumbers w:val="0"/>
              <w:bidi w:val="0"/>
              <w:spacing w:before="0" w:beforeAutospacing="0" w:afterAutospacing="0"/>
              <w:ind w:right="0"/>
              <w:rPr>
                <w:rFonts w:hint="default" w:ascii="Times New Roman" w:hAnsi="Times New Roman" w:cs="Times New Roman"/>
                <w:color w:val="FF0000"/>
                <w:lang w:val="en-US" w:eastAsia="zh-CN"/>
              </w:rPr>
            </w:pPr>
            <w:r>
              <w:rPr>
                <w:rFonts w:hint="default" w:ascii="Times New Roman" w:hAnsi="Times New Roman" w:cs="Times New Roman"/>
                <w:color w:val="FF0000"/>
                <w:lang w:val="en-US" w:eastAsia="zh-CN"/>
              </w:rPr>
              <w:t>〔A3.2-5〕强化生态环境应急管理。实施企业突发生态环境应急预案电子化备案，完成县级以上政府突发环境事件应急预案修编。完善区域和企业应急处置物资储备系统，结合新疆各地特征污染物的特性，加强应急物资储备及应急物资信息化建设，掌握社会应急物资储备动态信息，妥善应对各类突发生态环境事件。加强应急监测装备配置，定期开展应急演练，增强实战能力。</w:t>
            </w:r>
          </w:p>
        </w:tc>
        <w:tc>
          <w:tcPr>
            <w:tcW w:w="1046" w:type="pct"/>
            <w:tcBorders>
              <w:top w:val="single" w:color="auto" w:sz="4" w:space="0"/>
              <w:left w:val="single" w:color="auto" w:sz="4" w:space="0"/>
              <w:right w:val="single" w:color="auto" w:sz="4" w:space="0"/>
            </w:tcBorders>
            <w:noWrap w:val="0"/>
            <w:vAlign w:val="center"/>
          </w:tcPr>
          <w:p w14:paraId="01EF0362">
            <w:pPr>
              <w:pStyle w:val="48"/>
              <w:keepNext w:val="0"/>
              <w:keepLines w:val="0"/>
              <w:suppressLineNumbers w:val="0"/>
              <w:bidi w:val="0"/>
              <w:spacing w:before="0" w:beforeAutospacing="0" w:afterAutospacing="0"/>
              <w:ind w:right="0"/>
              <w:rPr>
                <w:rFonts w:hint="default" w:ascii="Times New Roman" w:hAnsi="Times New Roman" w:cs="Times New Roman"/>
                <w:color w:val="FF0000"/>
                <w:lang w:val="en-US" w:eastAsia="zh-CN"/>
              </w:rPr>
            </w:pPr>
            <w:r>
              <w:rPr>
                <w:rFonts w:hint="eastAsia" w:ascii="Times New Roman" w:hAnsi="Times New Roman" w:cs="Times New Roman"/>
                <w:color w:val="FF0000"/>
                <w:lang w:val="en-US" w:eastAsia="zh-CN"/>
              </w:rPr>
              <w:t>本</w:t>
            </w:r>
            <w:r>
              <w:rPr>
                <w:rFonts w:hint="default" w:ascii="Times New Roman" w:hAnsi="Times New Roman" w:cs="Times New Roman"/>
                <w:color w:val="FF0000"/>
                <w:lang w:val="en-US" w:eastAsia="zh-CN"/>
              </w:rPr>
              <w:t>项目</w:t>
            </w:r>
            <w:r>
              <w:rPr>
                <w:rFonts w:hint="eastAsia" w:ascii="Times New Roman" w:hAnsi="Times New Roman" w:cs="Times New Roman"/>
                <w:color w:val="FF0000"/>
                <w:lang w:val="en-US" w:eastAsia="zh-CN"/>
              </w:rPr>
              <w:t>应</w:t>
            </w:r>
            <w:r>
              <w:rPr>
                <w:rFonts w:hint="eastAsia" w:cs="Times New Roman"/>
                <w:color w:val="FF0000"/>
                <w:lang w:val="en-US" w:eastAsia="zh-CN"/>
              </w:rPr>
              <w:t>制定环境风险事件应急预案，并且取得备案证，加强演练。</w:t>
            </w:r>
          </w:p>
        </w:tc>
        <w:tc>
          <w:tcPr>
            <w:tcW w:w="415" w:type="pct"/>
            <w:tcBorders>
              <w:top w:val="single" w:color="auto" w:sz="4" w:space="0"/>
              <w:left w:val="single" w:color="auto" w:sz="4" w:space="0"/>
            </w:tcBorders>
            <w:noWrap w:val="0"/>
            <w:vAlign w:val="center"/>
          </w:tcPr>
          <w:p w14:paraId="74F30A3C">
            <w:pPr>
              <w:pStyle w:val="48"/>
              <w:keepNext w:val="0"/>
              <w:keepLines w:val="0"/>
              <w:suppressLineNumbers w:val="0"/>
              <w:bidi w:val="0"/>
              <w:spacing w:before="0" w:beforeAutospacing="0" w:afterAutospacing="0"/>
              <w:ind w:right="0"/>
              <w:rPr>
                <w:rFonts w:hint="default" w:ascii="Times New Roman" w:hAnsi="Times New Roman" w:cs="Times New Roman"/>
                <w:color w:val="FF0000"/>
                <w:lang w:val="en-US" w:eastAsia="zh-CN"/>
              </w:rPr>
            </w:pPr>
            <w:r>
              <w:rPr>
                <w:rFonts w:hint="default" w:ascii="Times New Roman" w:hAnsi="Times New Roman" w:cs="Times New Roman"/>
                <w:color w:val="FF0000"/>
                <w:lang w:val="en-US" w:eastAsia="zh-CN"/>
              </w:rPr>
              <w:t>符合</w:t>
            </w:r>
          </w:p>
        </w:tc>
      </w:tr>
      <w:tr w14:paraId="765AE5C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454" w:hRule="atLeast"/>
          <w:tblHeader/>
          <w:jc w:val="center"/>
        </w:trPr>
        <w:tc>
          <w:tcPr>
            <w:tcW w:w="579" w:type="pct"/>
            <w:vMerge w:val="continue"/>
            <w:tcBorders>
              <w:top w:val="single" w:color="auto" w:sz="4" w:space="0"/>
              <w:right w:val="single" w:color="auto" w:sz="4" w:space="0"/>
            </w:tcBorders>
            <w:noWrap w:val="0"/>
            <w:vAlign w:val="center"/>
          </w:tcPr>
          <w:p w14:paraId="5C3DF7E9">
            <w:pPr>
              <w:pStyle w:val="48"/>
              <w:keepNext w:val="0"/>
              <w:keepLines w:val="0"/>
              <w:suppressLineNumbers w:val="0"/>
              <w:bidi w:val="0"/>
              <w:spacing w:before="0" w:beforeAutospacing="0" w:afterAutospacing="0"/>
              <w:ind w:right="0"/>
              <w:rPr>
                <w:rFonts w:hint="default" w:ascii="Times New Roman" w:hAnsi="Times New Roman" w:cs="Times New Roman"/>
                <w:lang w:eastAsia="zh-CN"/>
              </w:rPr>
            </w:pPr>
          </w:p>
        </w:tc>
        <w:tc>
          <w:tcPr>
            <w:tcW w:w="415" w:type="pct"/>
            <w:vMerge w:val="continue"/>
            <w:tcBorders>
              <w:top w:val="single" w:color="auto" w:sz="4" w:space="0"/>
              <w:left w:val="single" w:color="auto" w:sz="4" w:space="0"/>
              <w:right w:val="single" w:color="auto" w:sz="4" w:space="0"/>
            </w:tcBorders>
            <w:noWrap w:val="0"/>
            <w:vAlign w:val="center"/>
          </w:tcPr>
          <w:p w14:paraId="465542B2">
            <w:pPr>
              <w:pStyle w:val="48"/>
              <w:keepNext w:val="0"/>
              <w:keepLines w:val="0"/>
              <w:suppressLineNumbers w:val="0"/>
              <w:bidi w:val="0"/>
              <w:spacing w:before="0" w:beforeAutospacing="0" w:afterAutospacing="0"/>
              <w:ind w:right="0"/>
              <w:rPr>
                <w:rFonts w:hint="default" w:ascii="Times New Roman" w:hAnsi="Times New Roman" w:cs="Times New Roman"/>
                <w:lang w:val="en-US" w:eastAsia="zh-CN"/>
              </w:rPr>
            </w:pPr>
          </w:p>
        </w:tc>
        <w:tc>
          <w:tcPr>
            <w:tcW w:w="414" w:type="pct"/>
            <w:tcBorders>
              <w:top w:val="single" w:color="auto" w:sz="4" w:space="0"/>
              <w:left w:val="single" w:color="auto" w:sz="4" w:space="0"/>
              <w:right w:val="single" w:color="auto" w:sz="4" w:space="0"/>
            </w:tcBorders>
            <w:noWrap w:val="0"/>
            <w:vAlign w:val="center"/>
          </w:tcPr>
          <w:p w14:paraId="3F811A2C">
            <w:pPr>
              <w:pStyle w:val="48"/>
              <w:keepNext w:val="0"/>
              <w:keepLines w:val="0"/>
              <w:suppressLineNumbers w:val="0"/>
              <w:bidi w:val="0"/>
              <w:spacing w:before="0" w:beforeAutospacing="0" w:afterAutospacing="0"/>
              <w:ind w:right="0"/>
              <w:rPr>
                <w:rFonts w:hint="default" w:ascii="Times New Roman" w:hAnsi="Times New Roman" w:cs="Times New Roman"/>
                <w:color w:val="FF0000"/>
                <w:lang w:val="en-US" w:eastAsia="zh-CN"/>
              </w:rPr>
            </w:pPr>
            <w:r>
              <w:rPr>
                <w:rFonts w:hint="default" w:ascii="Times New Roman" w:hAnsi="Times New Roman" w:cs="Times New Roman"/>
                <w:color w:val="FF0000"/>
                <w:lang w:val="en-US" w:eastAsia="zh-CN"/>
              </w:rPr>
              <w:t>资源利用效率</w:t>
            </w:r>
          </w:p>
        </w:tc>
        <w:tc>
          <w:tcPr>
            <w:tcW w:w="2127" w:type="pct"/>
            <w:tcBorders>
              <w:top w:val="single" w:color="auto" w:sz="4" w:space="0"/>
              <w:left w:val="single" w:color="auto" w:sz="4" w:space="0"/>
              <w:right w:val="single" w:color="auto" w:sz="4" w:space="0"/>
            </w:tcBorders>
            <w:noWrap w:val="0"/>
            <w:vAlign w:val="center"/>
          </w:tcPr>
          <w:p w14:paraId="28D2721B">
            <w:pPr>
              <w:pStyle w:val="48"/>
              <w:keepNext w:val="0"/>
              <w:keepLines w:val="0"/>
              <w:suppressLineNumbers w:val="0"/>
              <w:bidi w:val="0"/>
              <w:spacing w:before="0" w:beforeAutospacing="0" w:afterAutospacing="0"/>
              <w:ind w:right="0"/>
              <w:rPr>
                <w:rFonts w:hint="default" w:ascii="Times New Roman" w:hAnsi="Times New Roman" w:cs="Times New Roman"/>
                <w:color w:val="FF0000"/>
                <w:lang w:val="en-US" w:eastAsia="zh-CN"/>
              </w:rPr>
            </w:pPr>
            <w:r>
              <w:rPr>
                <w:rFonts w:hint="default" w:ascii="Times New Roman" w:hAnsi="Times New Roman" w:cs="Times New Roman"/>
                <w:color w:val="FF0000"/>
                <w:lang w:val="en-US" w:eastAsia="zh-CN"/>
              </w:rPr>
              <w:t>〔A4.5-3〕结合工业领域减污降碳要求，加快探索钢铁、有色、化工、建材等重点行业工业固体废物减量化路径，</w:t>
            </w:r>
            <w:r>
              <w:rPr>
                <w:rFonts w:hint="default" w:ascii="Times New Roman" w:hAnsi="Times New Roman" w:cs="Times New Roman"/>
                <w:b/>
                <w:bCs/>
                <w:color w:val="FF0000"/>
                <w:lang w:val="en-US" w:eastAsia="zh-CN"/>
              </w:rPr>
              <w:t>全面推行清洁生产全面推进绿色矿山</w:t>
            </w:r>
            <w:r>
              <w:rPr>
                <w:rFonts w:hint="default" w:ascii="Times New Roman" w:hAnsi="Times New Roman" w:cs="Times New Roman"/>
                <w:color w:val="FF0000"/>
                <w:lang w:val="en-US" w:eastAsia="zh-CN"/>
              </w:rPr>
              <w:t>、“无废”矿区建设，推广尾矿等大宗工业固体废物环境友好型井下充填回填，减少尾矿库贮存量。推动大宗工业固体废物在提取有价组分、生产建材、筑路、生态修复、土壤治理等领域的规模化利用。</w:t>
            </w:r>
          </w:p>
        </w:tc>
        <w:tc>
          <w:tcPr>
            <w:tcW w:w="1046" w:type="pct"/>
            <w:tcBorders>
              <w:top w:val="single" w:color="auto" w:sz="4" w:space="0"/>
              <w:left w:val="single" w:color="auto" w:sz="4" w:space="0"/>
              <w:right w:val="single" w:color="auto" w:sz="4" w:space="0"/>
            </w:tcBorders>
            <w:shd w:val="clear" w:color="auto" w:fill="auto"/>
            <w:noWrap w:val="0"/>
            <w:vAlign w:val="top"/>
          </w:tcPr>
          <w:p w14:paraId="0E3172A1">
            <w:pPr>
              <w:pStyle w:val="47"/>
              <w:keepNext w:val="0"/>
              <w:keepLines w:val="0"/>
              <w:suppressLineNumbers w:val="0"/>
              <w:spacing w:before="0" w:beforeAutospacing="0" w:afterAutospacing="0" w:line="313" w:lineRule="exact"/>
              <w:ind w:left="0" w:leftChars="0" w:right="0" w:rightChars="0" w:firstLine="0" w:firstLineChars="0"/>
              <w:jc w:val="left"/>
              <w:rPr>
                <w:rFonts w:hint="default" w:ascii="宋体" w:hAnsi="宋体" w:eastAsia="宋体" w:cs="宋体"/>
                <w:color w:val="FF0000"/>
                <w:sz w:val="24"/>
                <w:szCs w:val="24"/>
                <w:highlight w:val="none"/>
                <w:lang w:val="en-US" w:eastAsia="zh-CN" w:bidi="ar-SA"/>
              </w:rPr>
            </w:pPr>
            <w:r>
              <w:rPr>
                <w:rFonts w:hint="eastAsia" w:ascii="宋体" w:hAnsi="宋体" w:eastAsia="宋体" w:cs="宋体"/>
                <w:color w:val="FF0000"/>
                <w:sz w:val="24"/>
                <w:szCs w:val="24"/>
                <w:highlight w:val="none"/>
                <w:lang w:val="en-US" w:eastAsia="zh-CN" w:bidi="ar-SA"/>
              </w:rPr>
              <w:t>本项目按照绿色矿山标准进行建设，生产过程中排土场废料采取边开采，边回填措施，闭矿后全部回填采坑。</w:t>
            </w:r>
          </w:p>
        </w:tc>
        <w:tc>
          <w:tcPr>
            <w:tcW w:w="415" w:type="pct"/>
            <w:tcBorders>
              <w:top w:val="single" w:color="auto" w:sz="4" w:space="0"/>
              <w:left w:val="single" w:color="auto" w:sz="4" w:space="0"/>
            </w:tcBorders>
            <w:noWrap w:val="0"/>
            <w:vAlign w:val="center"/>
          </w:tcPr>
          <w:p w14:paraId="3188D2BF">
            <w:pPr>
              <w:pStyle w:val="48"/>
              <w:keepNext w:val="0"/>
              <w:keepLines w:val="0"/>
              <w:suppressLineNumbers w:val="0"/>
              <w:bidi w:val="0"/>
              <w:spacing w:before="0" w:beforeAutospacing="0" w:afterAutospacing="0"/>
              <w:ind w:right="0"/>
              <w:rPr>
                <w:rFonts w:hint="default" w:ascii="Times New Roman" w:hAnsi="Times New Roman" w:cs="Times New Roman"/>
                <w:color w:val="FF0000"/>
                <w:highlight w:val="none"/>
                <w:lang w:val="en-US" w:eastAsia="zh-CN"/>
              </w:rPr>
            </w:pPr>
            <w:r>
              <w:rPr>
                <w:rFonts w:hint="default" w:ascii="Times New Roman" w:hAnsi="Times New Roman" w:cs="Times New Roman"/>
                <w:color w:val="FF0000"/>
                <w:highlight w:val="none"/>
                <w:lang w:val="en-US" w:eastAsia="zh-CN"/>
              </w:rPr>
              <w:t>符合</w:t>
            </w:r>
          </w:p>
        </w:tc>
      </w:tr>
    </w:tbl>
    <w:p w14:paraId="1A676235">
      <w:pPr>
        <w:numPr>
          <w:ilvl w:val="0"/>
          <w:numId w:val="0"/>
        </w:numPr>
        <w:spacing w:beforeLines="0" w:afterLines="0"/>
        <w:ind w:leftChars="0"/>
        <w:rPr>
          <w:rFonts w:hint="default" w:ascii="Times New Roman" w:hAnsi="Times New Roman" w:cs="Times New Roman"/>
          <w:color w:val="auto"/>
          <w:sz w:val="24"/>
          <w:szCs w:val="24"/>
          <w:highlight w:val="none"/>
        </w:rPr>
      </w:pPr>
    </w:p>
    <w:p w14:paraId="78AD7A21">
      <w:pPr>
        <w:pStyle w:val="6"/>
        <w:bidi w:val="0"/>
        <w:rPr>
          <w:rFonts w:hint="default"/>
          <w:lang w:val="en-US" w:eastAsia="zh-CN"/>
        </w:rPr>
      </w:pPr>
      <w:r>
        <w:rPr>
          <w:rFonts w:hint="default"/>
          <w:lang w:val="en-US" w:eastAsia="zh-CN"/>
        </w:rPr>
        <w:t>与《新疆维吾尔自治区七大片区“三线一单”生态环境分区管控要求》（2021年版）（新环环评发〔2021〕162号）符合性分析</w:t>
      </w:r>
    </w:p>
    <w:p w14:paraId="52B87700">
      <w:pPr>
        <w:pStyle w:val="69"/>
        <w:bidi w:val="0"/>
        <w:rPr>
          <w:rFonts w:hint="default" w:ascii="Times New Roman" w:hAnsi="Times New Roman" w:cs="Times New Roman"/>
          <w:lang w:val="en-US" w:eastAsia="zh-CN"/>
        </w:rPr>
      </w:pPr>
      <w:r>
        <w:rPr>
          <w:rFonts w:hint="eastAsia" w:cs="Times New Roman"/>
          <w:lang w:val="en-US" w:eastAsia="zh-CN"/>
        </w:rPr>
        <w:t xml:space="preserve">1.4-3   </w:t>
      </w:r>
      <w:r>
        <w:rPr>
          <w:rFonts w:hint="default" w:ascii="Times New Roman" w:hAnsi="Times New Roman" w:cs="Times New Roman"/>
          <w:lang w:val="en-US" w:eastAsia="zh-CN"/>
        </w:rPr>
        <w:t>与</w:t>
      </w:r>
      <w:r>
        <w:rPr>
          <w:rFonts w:hint="default" w:ascii="Times New Roman" w:hAnsi="Times New Roman" w:cs="Times New Roman"/>
        </w:rPr>
        <w:t>《新疆维吾尔自治区七大片区“三线一单”生态环境分区管控要求》</w:t>
      </w:r>
      <w:r>
        <w:rPr>
          <w:rFonts w:hint="default" w:ascii="Times New Roman" w:hAnsi="Times New Roman" w:cs="Times New Roman"/>
          <w:lang w:val="en-US" w:eastAsia="zh-CN"/>
        </w:rPr>
        <w:t>符合性分析表</w:t>
      </w:r>
    </w:p>
    <w:tbl>
      <w:tblPr>
        <w:tblStyle w:val="31"/>
        <w:tblW w:w="498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7" w:type="dxa"/>
          <w:bottom w:w="0" w:type="dxa"/>
          <w:right w:w="57" w:type="dxa"/>
        </w:tblCellMar>
      </w:tblPr>
      <w:tblGrid>
        <w:gridCol w:w="977"/>
        <w:gridCol w:w="791"/>
        <w:gridCol w:w="779"/>
        <w:gridCol w:w="3921"/>
        <w:gridCol w:w="1929"/>
        <w:gridCol w:w="764"/>
      </w:tblGrid>
      <w:tr w14:paraId="3B6D914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454" w:hRule="atLeast"/>
          <w:tblHeader/>
          <w:jc w:val="center"/>
        </w:trPr>
        <w:tc>
          <w:tcPr>
            <w:tcW w:w="533" w:type="pct"/>
            <w:vMerge w:val="restart"/>
            <w:tcBorders>
              <w:right w:val="single" w:color="auto" w:sz="4" w:space="0"/>
            </w:tcBorders>
            <w:noWrap w:val="0"/>
            <w:vAlign w:val="center"/>
          </w:tcPr>
          <w:p w14:paraId="657C59E1">
            <w:pPr>
              <w:pStyle w:val="48"/>
              <w:keepNext w:val="0"/>
              <w:keepLines w:val="0"/>
              <w:suppressLineNumbers w:val="0"/>
              <w:bidi w:val="0"/>
              <w:spacing w:before="0" w:beforeAutospacing="0" w:afterAutospacing="0"/>
              <w:ind w:right="0"/>
              <w:rPr>
                <w:rFonts w:hint="default" w:ascii="Times New Roman" w:hAnsi="Times New Roman" w:cs="Times New Roman"/>
                <w:lang w:val="en-US" w:eastAsia="zh-CN"/>
              </w:rPr>
            </w:pPr>
            <w:r>
              <w:rPr>
                <w:rFonts w:hint="default" w:ascii="Times New Roman" w:hAnsi="Times New Roman" w:cs="Times New Roman"/>
                <w:lang w:val="en-US" w:eastAsia="zh-CN"/>
              </w:rPr>
              <w:t>《新疆维吾尔自治区七大片区“三线一单”生态环境分区管控要求》（新环环评发〔2021〕162号）</w:t>
            </w:r>
          </w:p>
        </w:tc>
        <w:tc>
          <w:tcPr>
            <w:tcW w:w="431" w:type="pct"/>
            <w:vMerge w:val="restart"/>
            <w:tcBorders>
              <w:left w:val="single" w:color="auto" w:sz="4" w:space="0"/>
              <w:bottom w:val="single" w:color="auto" w:sz="4" w:space="0"/>
              <w:right w:val="single" w:color="auto" w:sz="4" w:space="0"/>
            </w:tcBorders>
            <w:noWrap w:val="0"/>
            <w:vAlign w:val="center"/>
          </w:tcPr>
          <w:p w14:paraId="1D469CF4">
            <w:pPr>
              <w:pStyle w:val="48"/>
              <w:keepNext w:val="0"/>
              <w:keepLines w:val="0"/>
              <w:suppressLineNumbers w:val="0"/>
              <w:bidi w:val="0"/>
              <w:spacing w:before="0" w:beforeAutospacing="0" w:afterAutospacing="0"/>
              <w:ind w:right="0"/>
              <w:rPr>
                <w:rFonts w:hint="default" w:ascii="Times New Roman" w:hAnsi="Times New Roman" w:cs="Times New Roman"/>
                <w:color w:val="FF0000"/>
                <w:lang w:val="en-US" w:eastAsia="zh-CN"/>
              </w:rPr>
            </w:pPr>
            <w:r>
              <w:rPr>
                <w:rFonts w:hint="default" w:ascii="Times New Roman" w:hAnsi="Times New Roman" w:cs="Times New Roman"/>
                <w:color w:val="FF0000"/>
                <w:lang w:val="en-US" w:eastAsia="zh-CN"/>
              </w:rPr>
              <w:t>总体要求</w:t>
            </w:r>
          </w:p>
        </w:tc>
        <w:tc>
          <w:tcPr>
            <w:tcW w:w="425" w:type="pct"/>
            <w:tcBorders>
              <w:left w:val="single" w:color="auto" w:sz="4" w:space="0"/>
              <w:bottom w:val="single" w:color="auto" w:sz="4" w:space="0"/>
              <w:right w:val="single" w:color="auto" w:sz="4" w:space="0"/>
            </w:tcBorders>
            <w:noWrap w:val="0"/>
            <w:vAlign w:val="center"/>
          </w:tcPr>
          <w:p w14:paraId="119DCDBA">
            <w:pPr>
              <w:pStyle w:val="48"/>
              <w:keepNext w:val="0"/>
              <w:keepLines w:val="0"/>
              <w:suppressLineNumbers w:val="0"/>
              <w:bidi w:val="0"/>
              <w:spacing w:before="0" w:beforeAutospacing="0" w:afterAutospacing="0"/>
              <w:ind w:right="0"/>
              <w:rPr>
                <w:rFonts w:hint="default" w:ascii="Times New Roman" w:hAnsi="Times New Roman" w:cs="Times New Roman"/>
                <w:color w:val="FF0000"/>
                <w:lang w:val="en-US" w:eastAsia="zh-CN"/>
              </w:rPr>
            </w:pPr>
            <w:r>
              <w:rPr>
                <w:rFonts w:hint="default" w:ascii="Times New Roman" w:hAnsi="Times New Roman" w:cs="Times New Roman"/>
                <w:color w:val="FF0000"/>
                <w:lang w:val="en-US" w:eastAsia="zh-CN"/>
              </w:rPr>
              <w:t>空间布局约束</w:t>
            </w:r>
          </w:p>
        </w:tc>
        <w:tc>
          <w:tcPr>
            <w:tcW w:w="2139" w:type="pct"/>
            <w:tcBorders>
              <w:left w:val="single" w:color="auto" w:sz="4" w:space="0"/>
              <w:bottom w:val="single" w:color="auto" w:sz="4" w:space="0"/>
              <w:right w:val="single" w:color="auto" w:sz="4" w:space="0"/>
            </w:tcBorders>
            <w:noWrap w:val="0"/>
            <w:vAlign w:val="center"/>
          </w:tcPr>
          <w:p w14:paraId="11ED4EFE">
            <w:pPr>
              <w:pStyle w:val="48"/>
              <w:keepNext w:val="0"/>
              <w:keepLines w:val="0"/>
              <w:suppressLineNumbers w:val="0"/>
              <w:bidi w:val="0"/>
              <w:spacing w:before="0" w:beforeAutospacing="0" w:afterAutospacing="0"/>
              <w:ind w:right="0"/>
              <w:rPr>
                <w:rFonts w:hint="default" w:ascii="Times New Roman" w:hAnsi="Times New Roman" w:cs="Times New Roman"/>
                <w:color w:val="FF0000"/>
                <w:lang w:val="en-US" w:eastAsia="zh-CN"/>
              </w:rPr>
            </w:pPr>
            <w:r>
              <w:rPr>
                <w:rFonts w:hint="default" w:ascii="Times New Roman" w:hAnsi="Times New Roman" w:cs="Times New Roman"/>
                <w:color w:val="FF0000"/>
                <w:lang w:val="en-US" w:eastAsia="zh-CN"/>
              </w:rPr>
              <w:t>严格执行国家、自治区产业政策和环境准入要求，严禁“三高”项目进新疆，坚决遏制“两高”项目盲目发展。不得在水源涵养区、饮用水水源保护区内和河流、湖泊、水库周围建设重化工、涉重金属等工业污染项目。推动项目集聚发展，新建、改建、扩建工业项目原则上应布置于由县级及以上人民政府批准建立、环境保护基础设施完善的产业园区、工业聚集区</w:t>
            </w:r>
            <w:r>
              <w:rPr>
                <w:rFonts w:hint="default" w:ascii="Times New Roman" w:hAnsi="Times New Roman" w:cs="Times New Roman"/>
                <w:b/>
                <w:bCs/>
                <w:color w:val="FF0000"/>
                <w:lang w:val="en-US" w:eastAsia="zh-CN"/>
              </w:rPr>
              <w:t>或规划矿区</w:t>
            </w:r>
            <w:r>
              <w:rPr>
                <w:rFonts w:hint="default" w:ascii="Times New Roman" w:hAnsi="Times New Roman" w:cs="Times New Roman"/>
                <w:color w:val="FF0000"/>
                <w:lang w:val="en-US" w:eastAsia="zh-CN"/>
              </w:rPr>
              <w:t>，并且符合相关规划和规划环评要求。</w:t>
            </w:r>
          </w:p>
        </w:tc>
        <w:tc>
          <w:tcPr>
            <w:tcW w:w="1052" w:type="pct"/>
            <w:tcBorders>
              <w:left w:val="single" w:color="auto" w:sz="4" w:space="0"/>
              <w:bottom w:val="single" w:color="auto" w:sz="4" w:space="0"/>
              <w:right w:val="single" w:color="auto" w:sz="4" w:space="0"/>
            </w:tcBorders>
            <w:noWrap w:val="0"/>
            <w:vAlign w:val="center"/>
          </w:tcPr>
          <w:p w14:paraId="497DAC73">
            <w:pPr>
              <w:pStyle w:val="48"/>
              <w:keepNext w:val="0"/>
              <w:keepLines w:val="0"/>
              <w:suppressLineNumbers w:val="0"/>
              <w:bidi w:val="0"/>
              <w:spacing w:before="0" w:beforeAutospacing="0" w:afterAutospacing="0"/>
              <w:ind w:right="0"/>
              <w:rPr>
                <w:rFonts w:hint="default" w:ascii="Times New Roman" w:hAnsi="Times New Roman" w:cs="Times New Roman"/>
                <w:color w:val="FF0000"/>
                <w:lang w:val="en-US" w:eastAsia="zh-CN"/>
              </w:rPr>
            </w:pPr>
            <w:r>
              <w:rPr>
                <w:rFonts w:hint="eastAsia" w:cs="Times New Roman"/>
                <w:color w:val="FF0000"/>
                <w:lang w:val="en-US" w:eastAsia="zh-CN"/>
              </w:rPr>
              <w:t>本</w:t>
            </w:r>
            <w:r>
              <w:rPr>
                <w:rFonts w:hint="eastAsia" w:cs="Times New Roman"/>
                <w:color w:val="FF0000"/>
                <w:highlight w:val="none"/>
                <w:lang w:val="en-US" w:eastAsia="zh-CN"/>
              </w:rPr>
              <w:t>项目不属于三高项目，不位于生态保护红线内，项目的建设符合</w:t>
            </w:r>
            <w:r>
              <w:rPr>
                <w:rFonts w:hint="eastAsia" w:ascii="宋体" w:hAnsi="宋体" w:eastAsia="宋体" w:cs="宋体"/>
                <w:b w:val="0"/>
                <w:bCs w:val="0"/>
                <w:color w:val="FF0000"/>
                <w:kern w:val="0"/>
                <w:sz w:val="24"/>
                <w:szCs w:val="24"/>
                <w:highlight w:val="none"/>
                <w:lang w:val="en-US" w:eastAsia="zh-CN" w:bidi="ar-SA"/>
              </w:rPr>
              <w:t>《新疆维吾尔自治区昌吉回族自治州矿产资源总体规划（2021-2025）》、</w:t>
            </w:r>
            <w:r>
              <w:rPr>
                <w:rFonts w:hint="default" w:ascii="Times New Roman" w:hAnsi="Times New Roman" w:cs="Times New Roman"/>
                <w:color w:val="FF0000"/>
                <w:sz w:val="24"/>
                <w:szCs w:val="24"/>
                <w:highlight w:val="none"/>
              </w:rPr>
              <w:t>《新疆维吾尔自治区阜康市矿产资源总体规划（2021-2025年）》</w:t>
            </w:r>
            <w:r>
              <w:rPr>
                <w:rFonts w:hint="eastAsia" w:ascii="Times New Roman" w:hAnsi="Times New Roman" w:cs="Times New Roman"/>
                <w:color w:val="FF0000"/>
                <w:sz w:val="24"/>
                <w:szCs w:val="24"/>
                <w:highlight w:val="none"/>
                <w:lang w:eastAsia="zh-CN"/>
              </w:rPr>
              <w:t>、</w:t>
            </w:r>
            <w:r>
              <w:rPr>
                <w:rFonts w:hint="default" w:ascii="Times New Roman" w:hAnsi="Times New Roman" w:cs="Times New Roman"/>
                <w:color w:val="FF0000"/>
                <w:sz w:val="24"/>
                <w:szCs w:val="24"/>
                <w:highlight w:val="none"/>
              </w:rPr>
              <w:t>《新疆维吾尔自治区矿产资源总体规划（2021-2025年）环境影响报告书》</w:t>
            </w:r>
            <w:r>
              <w:rPr>
                <w:rFonts w:hint="eastAsia" w:cs="Times New Roman"/>
                <w:color w:val="FF0000"/>
                <w:highlight w:val="none"/>
                <w:lang w:val="en-US" w:eastAsia="zh-CN"/>
              </w:rPr>
              <w:t>的要求。</w:t>
            </w:r>
          </w:p>
        </w:tc>
        <w:tc>
          <w:tcPr>
            <w:tcW w:w="417" w:type="pct"/>
            <w:tcBorders>
              <w:left w:val="single" w:color="auto" w:sz="4" w:space="0"/>
              <w:bottom w:val="single" w:color="auto" w:sz="4" w:space="0"/>
            </w:tcBorders>
            <w:noWrap w:val="0"/>
            <w:vAlign w:val="center"/>
          </w:tcPr>
          <w:p w14:paraId="75CF2BA2">
            <w:pPr>
              <w:pStyle w:val="48"/>
              <w:keepNext w:val="0"/>
              <w:keepLines w:val="0"/>
              <w:suppressLineNumbers w:val="0"/>
              <w:bidi w:val="0"/>
              <w:spacing w:before="0" w:beforeAutospacing="0" w:afterAutospacing="0"/>
              <w:ind w:right="0"/>
              <w:rPr>
                <w:rFonts w:hint="default" w:ascii="Times New Roman" w:hAnsi="Times New Roman" w:cs="Times New Roman"/>
                <w:color w:val="FF0000"/>
              </w:rPr>
            </w:pPr>
            <w:r>
              <w:rPr>
                <w:rFonts w:hint="default" w:ascii="Times New Roman" w:hAnsi="Times New Roman" w:cs="Times New Roman"/>
                <w:color w:val="FF0000"/>
                <w:lang w:val="en-US" w:eastAsia="zh-CN"/>
              </w:rPr>
              <w:t>符合</w:t>
            </w:r>
          </w:p>
        </w:tc>
      </w:tr>
      <w:tr w14:paraId="671E97F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454" w:hRule="atLeast"/>
          <w:tblHeader/>
          <w:jc w:val="center"/>
        </w:trPr>
        <w:tc>
          <w:tcPr>
            <w:tcW w:w="533" w:type="pct"/>
            <w:vMerge w:val="continue"/>
            <w:tcBorders>
              <w:right w:val="single" w:color="auto" w:sz="4" w:space="0"/>
            </w:tcBorders>
            <w:noWrap w:val="0"/>
            <w:vAlign w:val="center"/>
          </w:tcPr>
          <w:p w14:paraId="69105785">
            <w:pPr>
              <w:pStyle w:val="48"/>
              <w:keepNext w:val="0"/>
              <w:keepLines w:val="0"/>
              <w:suppressLineNumbers w:val="0"/>
              <w:bidi w:val="0"/>
              <w:spacing w:before="0" w:beforeAutospacing="0" w:afterAutospacing="0"/>
              <w:ind w:right="0"/>
              <w:rPr>
                <w:rFonts w:hint="default" w:ascii="Times New Roman" w:hAnsi="Times New Roman" w:cs="Times New Roman"/>
                <w:color w:val="FF0000"/>
                <w:lang w:val="en-US" w:eastAsia="zh-CN"/>
              </w:rPr>
            </w:pPr>
          </w:p>
        </w:tc>
        <w:tc>
          <w:tcPr>
            <w:tcW w:w="431" w:type="pct"/>
            <w:vMerge w:val="continue"/>
            <w:tcBorders>
              <w:top w:val="single" w:color="auto" w:sz="4" w:space="0"/>
              <w:left w:val="single" w:color="auto" w:sz="4" w:space="0"/>
              <w:bottom w:val="single" w:color="auto" w:sz="4" w:space="0"/>
              <w:right w:val="single" w:color="auto" w:sz="4" w:space="0"/>
            </w:tcBorders>
            <w:noWrap w:val="0"/>
            <w:vAlign w:val="center"/>
          </w:tcPr>
          <w:p w14:paraId="74E4519E">
            <w:pPr>
              <w:pStyle w:val="48"/>
              <w:keepNext w:val="0"/>
              <w:keepLines w:val="0"/>
              <w:suppressLineNumbers w:val="0"/>
              <w:bidi w:val="0"/>
              <w:spacing w:before="0" w:beforeAutospacing="0" w:afterAutospacing="0"/>
              <w:ind w:right="0"/>
              <w:rPr>
                <w:rFonts w:hint="default" w:ascii="Times New Roman" w:hAnsi="Times New Roman" w:cs="Times New Roman"/>
                <w:color w:val="FF0000"/>
                <w:lang w:val="en-US" w:eastAsia="zh-CN"/>
              </w:rPr>
            </w:pPr>
          </w:p>
        </w:tc>
        <w:tc>
          <w:tcPr>
            <w:tcW w:w="425" w:type="pct"/>
            <w:tcBorders>
              <w:top w:val="single" w:color="auto" w:sz="4" w:space="0"/>
              <w:left w:val="single" w:color="auto" w:sz="4" w:space="0"/>
              <w:bottom w:val="single" w:color="auto" w:sz="4" w:space="0"/>
              <w:right w:val="single" w:color="auto" w:sz="4" w:space="0"/>
            </w:tcBorders>
            <w:noWrap w:val="0"/>
            <w:vAlign w:val="center"/>
          </w:tcPr>
          <w:p w14:paraId="47481D4E">
            <w:pPr>
              <w:pStyle w:val="48"/>
              <w:keepNext w:val="0"/>
              <w:keepLines w:val="0"/>
              <w:suppressLineNumbers w:val="0"/>
              <w:bidi w:val="0"/>
              <w:spacing w:before="0" w:beforeAutospacing="0" w:afterAutospacing="0"/>
              <w:ind w:right="0"/>
              <w:rPr>
                <w:rFonts w:hint="default" w:ascii="Times New Roman" w:hAnsi="Times New Roman" w:cs="Times New Roman"/>
                <w:color w:val="FF0000"/>
                <w:lang w:val="en-US" w:eastAsia="zh-CN"/>
              </w:rPr>
            </w:pPr>
            <w:r>
              <w:rPr>
                <w:rFonts w:hint="default" w:ascii="Times New Roman" w:hAnsi="Times New Roman" w:cs="Times New Roman"/>
                <w:color w:val="FF0000"/>
                <w:lang w:val="en-US" w:eastAsia="zh-CN"/>
              </w:rPr>
              <w:t>污染物排放管控</w:t>
            </w:r>
          </w:p>
        </w:tc>
        <w:tc>
          <w:tcPr>
            <w:tcW w:w="2139" w:type="pct"/>
            <w:tcBorders>
              <w:top w:val="single" w:color="auto" w:sz="4" w:space="0"/>
              <w:left w:val="single" w:color="auto" w:sz="4" w:space="0"/>
              <w:bottom w:val="single" w:color="auto" w:sz="4" w:space="0"/>
              <w:right w:val="single" w:color="auto" w:sz="4" w:space="0"/>
            </w:tcBorders>
            <w:noWrap w:val="0"/>
            <w:vAlign w:val="center"/>
          </w:tcPr>
          <w:p w14:paraId="198A5384">
            <w:pPr>
              <w:pStyle w:val="48"/>
              <w:keepNext w:val="0"/>
              <w:keepLines w:val="0"/>
              <w:suppressLineNumbers w:val="0"/>
              <w:bidi w:val="0"/>
              <w:spacing w:before="0" w:beforeAutospacing="0" w:afterAutospacing="0"/>
              <w:ind w:right="0"/>
              <w:jc w:val="left"/>
              <w:rPr>
                <w:rFonts w:hint="default" w:ascii="Times New Roman" w:hAnsi="Times New Roman" w:cs="Times New Roman"/>
                <w:color w:val="FF0000"/>
                <w:lang w:val="en-US" w:eastAsia="zh-CN"/>
              </w:rPr>
            </w:pPr>
            <w:r>
              <w:rPr>
                <w:rFonts w:hint="default" w:ascii="Times New Roman" w:hAnsi="Times New Roman" w:cs="Times New Roman"/>
                <w:color w:val="FF0000"/>
                <w:lang w:val="en-US" w:eastAsia="zh-CN"/>
              </w:rPr>
              <w:t>-深化行业污染源头治理，深入开展火电行业减排，全力推进钢铁行业超低排放改造，有序推进石化行业“泄漏检测与修复”技术改造。强化煤化工、石化、有机化工表面涂装、包装印刷等重点行业挥发性有机物控制。深入开展燃煤锅炉污染综合整治，深化工业炉密综合治理。加强“散乱污企业综合整治。优化区域交通运输结构，加快货物运输绿色转型做好车油联合管控。以改善流域水环境质量为核心，强化源头控制，“一河（湖）一策”精准施治，减少水污染物排放，持续改善水环境质量。强化园区（工业集聚区）水污染防治，不断提高工业用水重复利用率。加快实施城镇污水处理设施提质增效，补齐生活污水收集和处理设施短板，提高再生水回用比例。持续推进农业农村污染防治。提升土壤环境监管能力，加强污染地块安全利用监管。</w:t>
            </w:r>
            <w:r>
              <w:rPr>
                <w:rFonts w:hint="default" w:ascii="Times New Roman" w:hAnsi="Times New Roman" w:cs="Times New Roman"/>
                <w:b/>
                <w:bCs/>
                <w:color w:val="FF0000"/>
                <w:lang w:val="en-US" w:eastAsia="zh-CN"/>
              </w:rPr>
              <w:t>强化工矿用地管理，</w:t>
            </w:r>
            <w:r>
              <w:rPr>
                <w:rFonts w:hint="default" w:ascii="Times New Roman" w:hAnsi="Times New Roman" w:cs="Times New Roman"/>
                <w:color w:val="FF0000"/>
                <w:lang w:val="en-US" w:eastAsia="zh-CN"/>
              </w:rPr>
              <w:t>严格建设用地土壤环境风险管控，加强农用地土壤污染源头控制，科学施用化肥农药，提高农膜回收率。</w:t>
            </w:r>
          </w:p>
        </w:tc>
        <w:tc>
          <w:tcPr>
            <w:tcW w:w="1052" w:type="pct"/>
            <w:tcBorders>
              <w:top w:val="single" w:color="auto" w:sz="4" w:space="0"/>
              <w:left w:val="single" w:color="auto" w:sz="4" w:space="0"/>
              <w:bottom w:val="single" w:color="auto" w:sz="4" w:space="0"/>
              <w:right w:val="single" w:color="auto" w:sz="4" w:space="0"/>
            </w:tcBorders>
            <w:noWrap w:val="0"/>
            <w:vAlign w:val="center"/>
          </w:tcPr>
          <w:p w14:paraId="4C3D30AD">
            <w:pPr>
              <w:pStyle w:val="48"/>
              <w:keepNext w:val="0"/>
              <w:keepLines w:val="0"/>
              <w:suppressLineNumbers w:val="0"/>
              <w:bidi w:val="0"/>
              <w:spacing w:before="0" w:beforeAutospacing="0" w:afterAutospacing="0"/>
              <w:ind w:right="0"/>
              <w:rPr>
                <w:rFonts w:hint="default" w:ascii="Times New Roman" w:hAnsi="Times New Roman" w:cs="Times New Roman"/>
                <w:color w:val="FF0000"/>
                <w:highlight w:val="none"/>
                <w:lang w:val="en-US" w:eastAsia="zh-CN"/>
              </w:rPr>
            </w:pPr>
            <w:r>
              <w:rPr>
                <w:rFonts w:hint="eastAsia" w:cs="Times New Roman"/>
                <w:color w:val="FF0000"/>
                <w:highlight w:val="none"/>
                <w:lang w:val="en-US" w:eastAsia="zh-CN"/>
              </w:rPr>
              <w:t>本项目取得采矿证，在规定的开采范围内进行作业，禁止越界开采，本项目厂区采取分区防渗，危废贮存点进行重点防渗，土壤环境风险可控。</w:t>
            </w:r>
          </w:p>
        </w:tc>
        <w:tc>
          <w:tcPr>
            <w:tcW w:w="417" w:type="pct"/>
            <w:tcBorders>
              <w:top w:val="single" w:color="auto" w:sz="4" w:space="0"/>
              <w:left w:val="single" w:color="auto" w:sz="4" w:space="0"/>
              <w:bottom w:val="single" w:color="auto" w:sz="4" w:space="0"/>
            </w:tcBorders>
            <w:noWrap w:val="0"/>
            <w:vAlign w:val="center"/>
          </w:tcPr>
          <w:p w14:paraId="425C34EA">
            <w:pPr>
              <w:pStyle w:val="48"/>
              <w:keepNext w:val="0"/>
              <w:keepLines w:val="0"/>
              <w:suppressLineNumbers w:val="0"/>
              <w:bidi w:val="0"/>
              <w:spacing w:before="0" w:beforeAutospacing="0" w:afterAutospacing="0"/>
              <w:ind w:right="0"/>
              <w:rPr>
                <w:rFonts w:hint="default" w:ascii="Times New Roman" w:hAnsi="Times New Roman" w:cs="Times New Roman"/>
                <w:color w:val="FF0000"/>
                <w:highlight w:val="none"/>
                <w:lang w:val="en-US" w:eastAsia="zh-CN"/>
              </w:rPr>
            </w:pPr>
            <w:r>
              <w:rPr>
                <w:rFonts w:hint="default" w:ascii="Times New Roman" w:hAnsi="Times New Roman" w:cs="Times New Roman"/>
                <w:color w:val="FF0000"/>
                <w:highlight w:val="none"/>
                <w:lang w:val="en-US" w:eastAsia="zh-CN"/>
              </w:rPr>
              <w:t>符合</w:t>
            </w:r>
          </w:p>
        </w:tc>
      </w:tr>
      <w:tr w14:paraId="2D6A3DF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454" w:hRule="atLeast"/>
          <w:tblHeader/>
          <w:jc w:val="center"/>
        </w:trPr>
        <w:tc>
          <w:tcPr>
            <w:tcW w:w="533" w:type="pct"/>
            <w:vMerge w:val="continue"/>
            <w:tcBorders>
              <w:right w:val="single" w:color="auto" w:sz="4" w:space="0"/>
            </w:tcBorders>
            <w:noWrap w:val="0"/>
            <w:vAlign w:val="top"/>
          </w:tcPr>
          <w:p w14:paraId="14B6604C">
            <w:pPr>
              <w:pStyle w:val="48"/>
              <w:keepNext w:val="0"/>
              <w:keepLines w:val="0"/>
              <w:suppressLineNumbers w:val="0"/>
              <w:bidi w:val="0"/>
              <w:spacing w:before="0" w:beforeAutospacing="0" w:afterAutospacing="0"/>
              <w:ind w:right="0"/>
              <w:rPr>
                <w:rFonts w:hint="default" w:ascii="Times New Roman" w:hAnsi="Times New Roman" w:cs="Times New Roman"/>
                <w:color w:val="FF0000"/>
                <w:lang w:eastAsia="zh-CN"/>
              </w:rPr>
            </w:pPr>
          </w:p>
        </w:tc>
        <w:tc>
          <w:tcPr>
            <w:tcW w:w="431" w:type="pct"/>
            <w:vMerge w:val="continue"/>
            <w:tcBorders>
              <w:top w:val="single" w:color="auto" w:sz="4" w:space="0"/>
              <w:left w:val="single" w:color="auto" w:sz="4" w:space="0"/>
              <w:bottom w:val="single" w:color="auto" w:sz="4" w:space="0"/>
              <w:right w:val="single" w:color="auto" w:sz="4" w:space="0"/>
            </w:tcBorders>
            <w:noWrap w:val="0"/>
            <w:vAlign w:val="top"/>
          </w:tcPr>
          <w:p w14:paraId="05E821CD">
            <w:pPr>
              <w:pStyle w:val="48"/>
              <w:keepNext w:val="0"/>
              <w:keepLines w:val="0"/>
              <w:suppressLineNumbers w:val="0"/>
              <w:bidi w:val="0"/>
              <w:spacing w:before="0" w:beforeAutospacing="0" w:afterAutospacing="0"/>
              <w:ind w:right="0"/>
              <w:rPr>
                <w:rFonts w:hint="default" w:ascii="Times New Roman" w:hAnsi="Times New Roman" w:cs="Times New Roman"/>
                <w:color w:val="FF0000"/>
                <w:lang w:val="en-US" w:eastAsia="zh-CN"/>
              </w:rPr>
            </w:pPr>
          </w:p>
        </w:tc>
        <w:tc>
          <w:tcPr>
            <w:tcW w:w="425" w:type="pct"/>
            <w:tcBorders>
              <w:top w:val="single" w:color="auto" w:sz="4" w:space="0"/>
              <w:left w:val="single" w:color="auto" w:sz="4" w:space="0"/>
              <w:bottom w:val="single" w:color="auto" w:sz="4" w:space="0"/>
              <w:right w:val="single" w:color="auto" w:sz="4" w:space="0"/>
            </w:tcBorders>
            <w:noWrap w:val="0"/>
            <w:vAlign w:val="center"/>
          </w:tcPr>
          <w:p w14:paraId="75791E50">
            <w:pPr>
              <w:pStyle w:val="48"/>
              <w:keepNext w:val="0"/>
              <w:keepLines w:val="0"/>
              <w:suppressLineNumbers w:val="0"/>
              <w:bidi w:val="0"/>
              <w:spacing w:before="0" w:beforeAutospacing="0" w:afterAutospacing="0"/>
              <w:ind w:right="0"/>
              <w:rPr>
                <w:rFonts w:hint="default" w:ascii="Times New Roman" w:hAnsi="Times New Roman" w:cs="Times New Roman"/>
                <w:color w:val="FF0000"/>
                <w:lang w:val="en-US" w:eastAsia="zh-CN"/>
              </w:rPr>
            </w:pPr>
            <w:r>
              <w:rPr>
                <w:rFonts w:hint="default" w:ascii="Times New Roman" w:hAnsi="Times New Roman" w:cs="Times New Roman"/>
                <w:color w:val="FF0000"/>
                <w:lang w:val="en-US" w:eastAsia="zh-CN"/>
              </w:rPr>
              <w:t>环境风险防控</w:t>
            </w:r>
          </w:p>
        </w:tc>
        <w:tc>
          <w:tcPr>
            <w:tcW w:w="2139" w:type="pct"/>
            <w:tcBorders>
              <w:top w:val="single" w:color="auto" w:sz="4" w:space="0"/>
              <w:left w:val="single" w:color="auto" w:sz="4" w:space="0"/>
              <w:bottom w:val="single" w:color="auto" w:sz="4" w:space="0"/>
              <w:right w:val="single" w:color="auto" w:sz="4" w:space="0"/>
            </w:tcBorders>
            <w:noWrap w:val="0"/>
            <w:vAlign w:val="center"/>
          </w:tcPr>
          <w:p w14:paraId="56482AE5">
            <w:pPr>
              <w:pStyle w:val="48"/>
              <w:keepNext w:val="0"/>
              <w:keepLines w:val="0"/>
              <w:suppressLineNumbers w:val="0"/>
              <w:bidi w:val="0"/>
              <w:spacing w:before="0" w:beforeAutospacing="0" w:afterAutospacing="0"/>
              <w:ind w:right="0"/>
              <w:jc w:val="left"/>
              <w:rPr>
                <w:rFonts w:hint="default" w:ascii="Times New Roman" w:hAnsi="Times New Roman" w:cs="Times New Roman"/>
                <w:color w:val="FF0000"/>
                <w:lang w:val="en-US" w:eastAsia="zh-CN"/>
              </w:rPr>
            </w:pPr>
            <w:r>
              <w:rPr>
                <w:rFonts w:hint="default" w:ascii="Times New Roman" w:hAnsi="Times New Roman" w:cs="Times New Roman"/>
                <w:color w:val="FF0000"/>
                <w:lang w:val="en-US" w:eastAsia="zh-CN"/>
              </w:rPr>
              <w:t>禁止在化工园区外新建、扩建危险化学品生产项目。严格落实危险废物处置相关要求。加强重点流域水环境风险管控，保障水环境安全</w:t>
            </w:r>
            <w:r>
              <w:rPr>
                <w:rFonts w:hint="eastAsia" w:cs="Times New Roman"/>
                <w:color w:val="FF0000"/>
                <w:lang w:val="en-US" w:eastAsia="zh-CN"/>
              </w:rPr>
              <w:t>。</w:t>
            </w:r>
          </w:p>
        </w:tc>
        <w:tc>
          <w:tcPr>
            <w:tcW w:w="1052" w:type="pct"/>
            <w:tcBorders>
              <w:top w:val="single" w:color="auto" w:sz="4" w:space="0"/>
              <w:left w:val="single" w:color="auto" w:sz="4" w:space="0"/>
              <w:bottom w:val="single" w:color="auto" w:sz="4" w:space="0"/>
              <w:right w:val="single" w:color="auto" w:sz="4" w:space="0"/>
            </w:tcBorders>
            <w:noWrap w:val="0"/>
            <w:vAlign w:val="center"/>
          </w:tcPr>
          <w:p w14:paraId="3DA9C6DD">
            <w:pPr>
              <w:pStyle w:val="48"/>
              <w:keepNext w:val="0"/>
              <w:keepLines w:val="0"/>
              <w:suppressLineNumbers w:val="0"/>
              <w:bidi w:val="0"/>
              <w:spacing w:before="0" w:beforeAutospacing="0" w:afterAutospacing="0"/>
              <w:ind w:right="0"/>
              <w:rPr>
                <w:rFonts w:hint="default" w:ascii="Times New Roman" w:hAnsi="Times New Roman" w:cs="Times New Roman"/>
                <w:color w:val="FF0000"/>
                <w:highlight w:val="none"/>
                <w:lang w:val="en-US" w:eastAsia="zh-CN"/>
              </w:rPr>
            </w:pPr>
            <w:r>
              <w:rPr>
                <w:rFonts w:hint="eastAsia" w:cs="Times New Roman"/>
                <w:color w:val="FF0000"/>
                <w:highlight w:val="none"/>
                <w:lang w:val="en-US" w:eastAsia="zh-CN"/>
              </w:rPr>
              <w:t>本项目产生的危险废物委托有资质的部门处理，不得随意处置。</w:t>
            </w:r>
          </w:p>
        </w:tc>
        <w:tc>
          <w:tcPr>
            <w:tcW w:w="417" w:type="pct"/>
            <w:tcBorders>
              <w:top w:val="single" w:color="auto" w:sz="4" w:space="0"/>
              <w:left w:val="single" w:color="auto" w:sz="4" w:space="0"/>
              <w:bottom w:val="single" w:color="auto" w:sz="4" w:space="0"/>
            </w:tcBorders>
            <w:noWrap w:val="0"/>
            <w:vAlign w:val="center"/>
          </w:tcPr>
          <w:p w14:paraId="198AF4D7">
            <w:pPr>
              <w:pStyle w:val="48"/>
              <w:keepNext w:val="0"/>
              <w:keepLines w:val="0"/>
              <w:suppressLineNumbers w:val="0"/>
              <w:bidi w:val="0"/>
              <w:spacing w:before="0" w:beforeAutospacing="0" w:afterAutospacing="0"/>
              <w:ind w:right="0"/>
              <w:rPr>
                <w:rFonts w:hint="default" w:ascii="Times New Roman" w:hAnsi="Times New Roman" w:cs="Times New Roman"/>
                <w:color w:val="FF0000"/>
                <w:highlight w:val="none"/>
              </w:rPr>
            </w:pPr>
            <w:r>
              <w:rPr>
                <w:rFonts w:hint="default" w:ascii="Times New Roman" w:hAnsi="Times New Roman" w:cs="Times New Roman"/>
                <w:color w:val="FF0000"/>
                <w:highlight w:val="none"/>
                <w:lang w:val="en-US" w:eastAsia="zh-CN"/>
              </w:rPr>
              <w:t>符合</w:t>
            </w:r>
          </w:p>
        </w:tc>
      </w:tr>
      <w:tr w14:paraId="55F310A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454" w:hRule="atLeast"/>
          <w:tblHeader/>
          <w:jc w:val="center"/>
        </w:trPr>
        <w:tc>
          <w:tcPr>
            <w:tcW w:w="533" w:type="pct"/>
            <w:vMerge w:val="continue"/>
            <w:tcBorders>
              <w:right w:val="single" w:color="auto" w:sz="4" w:space="0"/>
            </w:tcBorders>
            <w:noWrap w:val="0"/>
            <w:vAlign w:val="top"/>
          </w:tcPr>
          <w:p w14:paraId="063A73BF">
            <w:pPr>
              <w:pStyle w:val="48"/>
              <w:keepNext w:val="0"/>
              <w:keepLines w:val="0"/>
              <w:suppressLineNumbers w:val="0"/>
              <w:bidi w:val="0"/>
              <w:spacing w:before="0" w:beforeAutospacing="0" w:afterAutospacing="0"/>
              <w:ind w:right="0"/>
              <w:rPr>
                <w:rFonts w:hint="default" w:ascii="Times New Roman" w:hAnsi="Times New Roman" w:cs="Times New Roman"/>
                <w:color w:val="FF0000"/>
                <w:lang w:eastAsia="zh-CN"/>
              </w:rPr>
            </w:pPr>
          </w:p>
        </w:tc>
        <w:tc>
          <w:tcPr>
            <w:tcW w:w="431" w:type="pct"/>
            <w:vMerge w:val="continue"/>
            <w:tcBorders>
              <w:top w:val="single" w:color="auto" w:sz="4" w:space="0"/>
              <w:left w:val="single" w:color="auto" w:sz="4" w:space="0"/>
              <w:bottom w:val="single" w:color="auto" w:sz="4" w:space="0"/>
              <w:right w:val="single" w:color="auto" w:sz="4" w:space="0"/>
            </w:tcBorders>
            <w:noWrap w:val="0"/>
            <w:vAlign w:val="top"/>
          </w:tcPr>
          <w:p w14:paraId="0B2CF805">
            <w:pPr>
              <w:pStyle w:val="48"/>
              <w:keepNext w:val="0"/>
              <w:keepLines w:val="0"/>
              <w:suppressLineNumbers w:val="0"/>
              <w:bidi w:val="0"/>
              <w:spacing w:before="0" w:beforeAutospacing="0" w:afterAutospacing="0"/>
              <w:ind w:right="0"/>
              <w:rPr>
                <w:rFonts w:hint="default" w:ascii="Times New Roman" w:hAnsi="Times New Roman" w:cs="Times New Roman"/>
                <w:color w:val="FF0000"/>
                <w:lang w:val="en-US" w:eastAsia="zh-CN"/>
              </w:rPr>
            </w:pPr>
          </w:p>
        </w:tc>
        <w:tc>
          <w:tcPr>
            <w:tcW w:w="425" w:type="pct"/>
            <w:tcBorders>
              <w:top w:val="single" w:color="auto" w:sz="4" w:space="0"/>
              <w:left w:val="single" w:color="auto" w:sz="4" w:space="0"/>
              <w:bottom w:val="single" w:color="auto" w:sz="4" w:space="0"/>
              <w:right w:val="single" w:color="auto" w:sz="4" w:space="0"/>
            </w:tcBorders>
            <w:noWrap w:val="0"/>
            <w:vAlign w:val="center"/>
          </w:tcPr>
          <w:p w14:paraId="195B9EDC">
            <w:pPr>
              <w:pStyle w:val="48"/>
              <w:keepNext w:val="0"/>
              <w:keepLines w:val="0"/>
              <w:suppressLineNumbers w:val="0"/>
              <w:bidi w:val="0"/>
              <w:spacing w:before="0" w:beforeAutospacing="0" w:afterAutospacing="0"/>
              <w:ind w:right="0"/>
              <w:rPr>
                <w:rFonts w:hint="default" w:ascii="Times New Roman" w:hAnsi="Times New Roman" w:cs="Times New Roman"/>
                <w:color w:val="FF0000"/>
                <w:lang w:val="en-US" w:eastAsia="zh-CN"/>
              </w:rPr>
            </w:pPr>
            <w:r>
              <w:rPr>
                <w:rFonts w:hint="default" w:ascii="Times New Roman" w:hAnsi="Times New Roman" w:cs="Times New Roman"/>
                <w:color w:val="FF0000"/>
                <w:lang w:val="en-US" w:eastAsia="zh-CN"/>
              </w:rPr>
              <w:t>资源利用效率要求</w:t>
            </w:r>
          </w:p>
        </w:tc>
        <w:tc>
          <w:tcPr>
            <w:tcW w:w="2139" w:type="pct"/>
            <w:tcBorders>
              <w:top w:val="single" w:color="auto" w:sz="4" w:space="0"/>
              <w:left w:val="single" w:color="auto" w:sz="4" w:space="0"/>
              <w:bottom w:val="single" w:color="auto" w:sz="4" w:space="0"/>
              <w:right w:val="single" w:color="auto" w:sz="4" w:space="0"/>
            </w:tcBorders>
            <w:noWrap w:val="0"/>
            <w:vAlign w:val="center"/>
          </w:tcPr>
          <w:p w14:paraId="0C974E0D">
            <w:pPr>
              <w:pStyle w:val="48"/>
              <w:keepNext w:val="0"/>
              <w:keepLines w:val="0"/>
              <w:suppressLineNumbers w:val="0"/>
              <w:bidi w:val="0"/>
              <w:spacing w:before="0" w:beforeAutospacing="0" w:afterAutospacing="0"/>
              <w:ind w:right="0"/>
              <w:jc w:val="left"/>
              <w:rPr>
                <w:rFonts w:hint="default" w:ascii="Times New Roman" w:hAnsi="Times New Roman" w:cs="Times New Roman"/>
                <w:color w:val="FF0000"/>
                <w:lang w:val="en-US" w:eastAsia="zh-CN"/>
              </w:rPr>
            </w:pPr>
            <w:r>
              <w:rPr>
                <w:rFonts w:hint="default" w:ascii="Times New Roman" w:hAnsi="Times New Roman" w:cs="Times New Roman"/>
                <w:color w:val="FF0000"/>
                <w:lang w:val="en-US" w:eastAsia="zh-CN"/>
              </w:rPr>
              <w:t>优化能源结构，控制煤炭等化石能源使用量，鼓励使用清洁能源，协同推进减污降碳。全面实施节水工程，合理开发利用水资源，提升水资源利用效率，保障生态用水，严防地下水超采。</w:t>
            </w:r>
          </w:p>
        </w:tc>
        <w:tc>
          <w:tcPr>
            <w:tcW w:w="1052" w:type="pct"/>
            <w:tcBorders>
              <w:top w:val="single" w:color="auto" w:sz="4" w:space="0"/>
              <w:left w:val="single" w:color="auto" w:sz="4" w:space="0"/>
              <w:bottom w:val="single" w:color="auto" w:sz="4" w:space="0"/>
              <w:right w:val="single" w:color="auto" w:sz="4" w:space="0"/>
            </w:tcBorders>
            <w:noWrap w:val="0"/>
            <w:vAlign w:val="center"/>
          </w:tcPr>
          <w:p w14:paraId="120A4250">
            <w:pPr>
              <w:pStyle w:val="48"/>
              <w:keepNext w:val="0"/>
              <w:keepLines w:val="0"/>
              <w:suppressLineNumbers w:val="0"/>
              <w:bidi w:val="0"/>
              <w:spacing w:before="0" w:beforeAutospacing="0" w:afterAutospacing="0"/>
              <w:ind w:right="0"/>
              <w:rPr>
                <w:rFonts w:hint="default" w:ascii="Times New Roman" w:hAnsi="Times New Roman" w:cs="Times New Roman"/>
                <w:color w:val="FF0000"/>
                <w:highlight w:val="green"/>
                <w:lang w:val="en-US" w:eastAsia="zh-CN"/>
              </w:rPr>
            </w:pPr>
            <w:r>
              <w:rPr>
                <w:rFonts w:hint="eastAsia" w:cs="Times New Roman"/>
                <w:color w:val="FF0000"/>
                <w:highlight w:val="none"/>
                <w:lang w:val="en-US" w:eastAsia="zh-CN"/>
              </w:rPr>
              <w:t>本项目生产过程中用水采用附近村庄拉运，不取用地下水，生产废水全部回用，不外排，生活污水经处理后用作降尘。</w:t>
            </w:r>
          </w:p>
        </w:tc>
        <w:tc>
          <w:tcPr>
            <w:tcW w:w="417" w:type="pct"/>
            <w:tcBorders>
              <w:top w:val="single" w:color="auto" w:sz="4" w:space="0"/>
              <w:left w:val="single" w:color="auto" w:sz="4" w:space="0"/>
              <w:bottom w:val="single" w:color="auto" w:sz="4" w:space="0"/>
            </w:tcBorders>
            <w:noWrap w:val="0"/>
            <w:vAlign w:val="center"/>
          </w:tcPr>
          <w:p w14:paraId="4ADE166D">
            <w:pPr>
              <w:pStyle w:val="48"/>
              <w:keepNext w:val="0"/>
              <w:keepLines w:val="0"/>
              <w:suppressLineNumbers w:val="0"/>
              <w:bidi w:val="0"/>
              <w:spacing w:before="0" w:beforeAutospacing="0" w:afterAutospacing="0"/>
              <w:ind w:right="0"/>
              <w:rPr>
                <w:rFonts w:hint="default" w:ascii="Times New Roman" w:hAnsi="Times New Roman" w:cs="Times New Roman"/>
                <w:color w:val="FF0000"/>
              </w:rPr>
            </w:pPr>
            <w:r>
              <w:rPr>
                <w:rFonts w:hint="default" w:ascii="Times New Roman" w:hAnsi="Times New Roman" w:cs="Times New Roman"/>
                <w:color w:val="FF0000"/>
                <w:lang w:val="en-US" w:eastAsia="zh-CN"/>
              </w:rPr>
              <w:t>符合</w:t>
            </w:r>
          </w:p>
        </w:tc>
      </w:tr>
      <w:tr w14:paraId="430B354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454" w:hRule="atLeast"/>
          <w:tblHeader/>
          <w:jc w:val="center"/>
        </w:trPr>
        <w:tc>
          <w:tcPr>
            <w:tcW w:w="533" w:type="pct"/>
            <w:vMerge w:val="continue"/>
            <w:tcBorders>
              <w:right w:val="single" w:color="auto" w:sz="4" w:space="0"/>
            </w:tcBorders>
            <w:noWrap w:val="0"/>
            <w:vAlign w:val="top"/>
          </w:tcPr>
          <w:p w14:paraId="3CE04561">
            <w:pPr>
              <w:pStyle w:val="48"/>
              <w:keepNext w:val="0"/>
              <w:keepLines w:val="0"/>
              <w:suppressLineNumbers w:val="0"/>
              <w:bidi w:val="0"/>
              <w:spacing w:before="0" w:beforeAutospacing="0" w:afterAutospacing="0"/>
              <w:ind w:right="0"/>
              <w:rPr>
                <w:rFonts w:hint="default" w:ascii="Times New Roman" w:hAnsi="Times New Roman" w:cs="Times New Roman"/>
                <w:color w:val="FF0000"/>
                <w:lang w:eastAsia="zh-CN"/>
              </w:rPr>
            </w:pPr>
          </w:p>
        </w:tc>
        <w:tc>
          <w:tcPr>
            <w:tcW w:w="431" w:type="pct"/>
            <w:tcBorders>
              <w:top w:val="single" w:color="auto" w:sz="4" w:space="0"/>
              <w:left w:val="single" w:color="auto" w:sz="4" w:space="0"/>
              <w:right w:val="single" w:color="auto" w:sz="4" w:space="0"/>
            </w:tcBorders>
            <w:noWrap w:val="0"/>
            <w:vAlign w:val="top"/>
          </w:tcPr>
          <w:p w14:paraId="446061D5">
            <w:pPr>
              <w:pStyle w:val="48"/>
              <w:keepNext w:val="0"/>
              <w:keepLines w:val="0"/>
              <w:suppressLineNumbers w:val="0"/>
              <w:bidi w:val="0"/>
              <w:spacing w:before="0" w:beforeAutospacing="0" w:afterAutospacing="0"/>
              <w:ind w:right="0"/>
              <w:rPr>
                <w:rFonts w:hint="default" w:ascii="Times New Roman" w:hAnsi="Times New Roman" w:cs="Times New Roman"/>
                <w:color w:val="FF0000"/>
                <w:lang w:val="en-US" w:eastAsia="zh-CN"/>
              </w:rPr>
            </w:pPr>
            <w:r>
              <w:rPr>
                <w:rFonts w:hint="default" w:ascii="Times New Roman" w:hAnsi="Times New Roman" w:cs="Times New Roman"/>
                <w:color w:val="FF0000"/>
                <w:lang w:val="en-US" w:eastAsia="zh-CN"/>
              </w:rPr>
              <w:t>七大片区</w:t>
            </w:r>
            <w:r>
              <w:rPr>
                <w:rFonts w:hint="default" w:ascii="Times New Roman" w:hAnsi="Times New Roman" w:eastAsia="宋体" w:cs="Times New Roman"/>
                <w:color w:val="FF0000"/>
                <w:lang w:val="en-US" w:eastAsia="zh-CN"/>
              </w:rPr>
              <w:t>乌昌石片区</w:t>
            </w:r>
            <w:r>
              <w:rPr>
                <w:rFonts w:hint="default" w:ascii="Times New Roman" w:hAnsi="Times New Roman" w:cs="Times New Roman"/>
                <w:color w:val="FF0000"/>
                <w:lang w:val="en-US" w:eastAsia="zh-CN"/>
              </w:rPr>
              <w:t>管控要求</w:t>
            </w:r>
          </w:p>
        </w:tc>
        <w:tc>
          <w:tcPr>
            <w:tcW w:w="425" w:type="pct"/>
            <w:tcBorders>
              <w:top w:val="single" w:color="auto" w:sz="4" w:space="0"/>
              <w:left w:val="single" w:color="auto" w:sz="4" w:space="0"/>
              <w:right w:val="single" w:color="auto" w:sz="4" w:space="0"/>
            </w:tcBorders>
            <w:noWrap w:val="0"/>
            <w:vAlign w:val="center"/>
          </w:tcPr>
          <w:p w14:paraId="6B9BF453">
            <w:pPr>
              <w:pStyle w:val="48"/>
              <w:keepNext w:val="0"/>
              <w:keepLines w:val="0"/>
              <w:suppressLineNumbers w:val="0"/>
              <w:bidi w:val="0"/>
              <w:spacing w:before="0" w:beforeAutospacing="0" w:afterAutospacing="0"/>
              <w:ind w:right="0"/>
              <w:rPr>
                <w:rFonts w:hint="default" w:ascii="Times New Roman" w:hAnsi="Times New Roman" w:cs="Times New Roman"/>
                <w:color w:val="FF0000"/>
                <w:lang w:val="en-US" w:eastAsia="zh-CN"/>
              </w:rPr>
            </w:pPr>
          </w:p>
        </w:tc>
        <w:tc>
          <w:tcPr>
            <w:tcW w:w="2139" w:type="pct"/>
            <w:tcBorders>
              <w:top w:val="single" w:color="auto" w:sz="4" w:space="0"/>
              <w:left w:val="single" w:color="auto" w:sz="4" w:space="0"/>
              <w:right w:val="single" w:color="auto" w:sz="4" w:space="0"/>
            </w:tcBorders>
            <w:noWrap w:val="0"/>
            <w:vAlign w:val="center"/>
          </w:tcPr>
          <w:p w14:paraId="7BF6A0BF">
            <w:pPr>
              <w:pStyle w:val="48"/>
              <w:keepNext w:val="0"/>
              <w:keepLines w:val="0"/>
              <w:suppressLineNumbers w:val="0"/>
              <w:bidi w:val="0"/>
              <w:spacing w:before="0" w:beforeAutospacing="0" w:afterAutospacing="0"/>
              <w:ind w:right="0"/>
              <w:rPr>
                <w:rFonts w:hint="default" w:ascii="Times New Roman" w:hAnsi="Times New Roman" w:eastAsia="宋体" w:cs="Times New Roman"/>
                <w:color w:val="FF0000"/>
                <w:lang w:val="en-US" w:eastAsia="zh-CN"/>
              </w:rPr>
            </w:pPr>
            <w:r>
              <w:rPr>
                <w:rFonts w:hint="default" w:ascii="Times New Roman" w:hAnsi="Times New Roman" w:eastAsia="宋体" w:cs="Times New Roman"/>
                <w:color w:val="FF0000"/>
                <w:lang w:val="en-US" w:eastAsia="zh-CN"/>
              </w:rPr>
              <w:t>乌昌石片区包括乌鲁木齐市、昌吉回族自治州和沙湾市。</w:t>
            </w:r>
          </w:p>
          <w:p w14:paraId="192FC6EB">
            <w:pPr>
              <w:pStyle w:val="48"/>
              <w:keepNext w:val="0"/>
              <w:keepLines w:val="0"/>
              <w:suppressLineNumbers w:val="0"/>
              <w:bidi w:val="0"/>
              <w:spacing w:before="0" w:beforeAutospacing="0" w:afterAutospacing="0"/>
              <w:ind w:right="0"/>
              <w:rPr>
                <w:rFonts w:hint="default" w:ascii="Times New Roman" w:hAnsi="Times New Roman" w:eastAsia="宋体" w:cs="Times New Roman"/>
                <w:color w:val="FF0000"/>
                <w:lang w:val="en-US" w:eastAsia="zh-CN"/>
              </w:rPr>
            </w:pPr>
            <w:r>
              <w:rPr>
                <w:rFonts w:hint="default" w:ascii="Times New Roman" w:hAnsi="Times New Roman" w:eastAsia="宋体" w:cs="Times New Roman"/>
                <w:color w:val="FF0000"/>
                <w:lang w:val="en-US" w:eastAsia="zh-CN"/>
              </w:rPr>
              <w:t>除国家规划项目外，乌鲁木齐市七区一县、昌吉市、阜康市、玛纳斯县、呼图壁县、沙湾市建成区及周边敏感区域内不再布局建设煤化工、电解铝、燃煤纯发电机组、金属硅、碳化硅、聚氯乙烯（电石法）、焦炭（含半焦）等新增产能项目，具备风光电清洁供暖建设条件的区域原则上不新批热电联产项目。坚持属地负责与区域大气污染联防联控相结合，以明显降低细颗粒物浓度为重点，协同推进“乌-昌-石”区域大气环境治理，强化与生产建设兵团第六师、第八师、第十一师、第十二师的同防同治，确保区域环境空气质量持续改善。所有新建、改建、扩建工业项目执行最严格的大气污染物排放标准。强化氮氧化物深度治理。强化挥发性有机物污染防治措施。推广使用低挥发性有机物原辅料，推动有条件的园区（工业集聚区）建设集中喷涂工程中心，配备高效治污设施，替代企业独立喷涂工序。</w:t>
            </w:r>
          </w:p>
          <w:p w14:paraId="797F65C5">
            <w:pPr>
              <w:pStyle w:val="48"/>
              <w:keepNext w:val="0"/>
              <w:keepLines w:val="0"/>
              <w:suppressLineNumbers w:val="0"/>
              <w:bidi w:val="0"/>
              <w:spacing w:before="0" w:beforeAutospacing="0" w:afterAutospacing="0"/>
              <w:ind w:right="0"/>
              <w:rPr>
                <w:rFonts w:hint="default" w:ascii="Times New Roman" w:hAnsi="Times New Roman" w:eastAsia="宋体" w:cs="Times New Roman"/>
                <w:color w:val="FF0000"/>
                <w:lang w:val="en-US" w:eastAsia="zh-CN"/>
              </w:rPr>
            </w:pPr>
            <w:r>
              <w:rPr>
                <w:rFonts w:hint="default" w:ascii="Times New Roman" w:hAnsi="Times New Roman" w:eastAsia="宋体" w:cs="Times New Roman"/>
                <w:color w:val="FF0000"/>
                <w:lang w:val="en-US" w:eastAsia="zh-CN"/>
              </w:rPr>
              <w:t>强化企业清洁生产改造，推进节水型企业、节水型工业园区建设，提高资源集约节约利用水平。积极推进地下水超采治理，逐步压减地下水超采量，实现地下水采补平衡。</w:t>
            </w:r>
          </w:p>
          <w:p w14:paraId="11F91366">
            <w:pPr>
              <w:pStyle w:val="48"/>
              <w:keepNext w:val="0"/>
              <w:keepLines w:val="0"/>
              <w:suppressLineNumbers w:val="0"/>
              <w:bidi w:val="0"/>
              <w:spacing w:before="0" w:beforeAutospacing="0" w:afterAutospacing="0"/>
              <w:ind w:right="0"/>
              <w:rPr>
                <w:rFonts w:hint="default" w:ascii="Times New Roman" w:hAnsi="Times New Roman" w:eastAsia="宋体" w:cs="Times New Roman"/>
                <w:color w:val="FF0000"/>
                <w:lang w:val="en-US" w:eastAsia="zh-CN"/>
              </w:rPr>
            </w:pPr>
            <w:r>
              <w:rPr>
                <w:rFonts w:hint="default" w:ascii="Times New Roman" w:hAnsi="Times New Roman" w:eastAsia="宋体" w:cs="Times New Roman"/>
                <w:color w:val="FF0000"/>
                <w:lang w:val="en-US" w:eastAsia="zh-CN"/>
              </w:rPr>
              <w:t>强化油（气）资源开发区土壤环境污染综合整治。加强涉重金属行业污染防控与工业废物处理处置。</w:t>
            </w:r>
          </w:p>
          <w:p w14:paraId="0C67CC4E">
            <w:pPr>
              <w:pStyle w:val="48"/>
              <w:keepNext w:val="0"/>
              <w:keepLines w:val="0"/>
              <w:suppressLineNumbers w:val="0"/>
              <w:bidi w:val="0"/>
              <w:spacing w:before="0" w:beforeAutospacing="0" w:afterAutospacing="0"/>
              <w:ind w:right="0"/>
              <w:rPr>
                <w:rFonts w:hint="default" w:ascii="Times New Roman" w:hAnsi="Times New Roman" w:eastAsia="宋体" w:cs="Times New Roman"/>
                <w:color w:val="FF0000"/>
                <w:lang w:val="en-US" w:eastAsia="zh-CN"/>
              </w:rPr>
            </w:pPr>
            <w:r>
              <w:rPr>
                <w:rFonts w:hint="default" w:ascii="Times New Roman" w:hAnsi="Times New Roman" w:eastAsia="宋体" w:cs="Times New Roman"/>
                <w:color w:val="FF0000"/>
                <w:lang w:val="en-US" w:eastAsia="zh-CN"/>
              </w:rPr>
              <w:t>煤炭、石油、天然气开发单位应当制定生态保护和恢复治理方案，并予以实施。生态保护和恢复治理方案内容应当向社会公布，接受社会监督。</w:t>
            </w:r>
          </w:p>
        </w:tc>
        <w:tc>
          <w:tcPr>
            <w:tcW w:w="1052" w:type="pct"/>
            <w:tcBorders>
              <w:top w:val="single" w:color="auto" w:sz="4" w:space="0"/>
              <w:left w:val="single" w:color="auto" w:sz="4" w:space="0"/>
              <w:right w:val="single" w:color="auto" w:sz="4" w:space="0"/>
            </w:tcBorders>
            <w:noWrap w:val="0"/>
            <w:vAlign w:val="center"/>
          </w:tcPr>
          <w:p w14:paraId="191892B9">
            <w:pPr>
              <w:pStyle w:val="48"/>
              <w:keepNext w:val="0"/>
              <w:keepLines w:val="0"/>
              <w:suppressLineNumbers w:val="0"/>
              <w:bidi w:val="0"/>
              <w:spacing w:before="0" w:beforeAutospacing="0" w:afterAutospacing="0"/>
              <w:ind w:right="0"/>
              <w:rPr>
                <w:rFonts w:hint="default" w:ascii="Times New Roman" w:hAnsi="Times New Roman" w:eastAsia="宋体" w:cs="Times New Roman"/>
                <w:color w:val="FF0000"/>
                <w:lang w:val="en-US" w:eastAsia="zh-CN"/>
              </w:rPr>
            </w:pPr>
            <w:r>
              <w:rPr>
                <w:rFonts w:hint="default" w:ascii="Times New Roman" w:hAnsi="Times New Roman" w:eastAsia="宋体" w:cs="Times New Roman"/>
                <w:color w:val="FF0000"/>
                <w:lang w:val="en-US" w:eastAsia="zh-CN"/>
              </w:rPr>
              <w:t>本项目为非金属矿开采项目，运行过程中不取用地下水，不涉及重金属污染，项目为露天开采，采取铲车装运方式，装运过程配套采用移动式雾炮机降尘、分区分片开采等措施处理；筛分粉尘采用“集气罩+布袋除尘器”除尘，处理后经15m排气筒排放；</w:t>
            </w:r>
            <w:r>
              <w:rPr>
                <w:rFonts w:hint="default" w:ascii="Times New Roman" w:hAnsi="Times New Roman" w:eastAsia="宋体" w:cs="Times New Roman"/>
                <w:color w:val="00B050"/>
                <w:lang w:val="en-US" w:eastAsia="zh-CN"/>
              </w:rPr>
              <w:t>烘干</w:t>
            </w:r>
            <w:r>
              <w:rPr>
                <w:rFonts w:hint="eastAsia" w:ascii="Times New Roman" w:hAnsi="Times New Roman" w:cs="Times New Roman"/>
                <w:color w:val="00B050"/>
                <w:lang w:val="en-US" w:eastAsia="zh-CN"/>
              </w:rPr>
              <w:t>工序产生的粉尘</w:t>
            </w:r>
            <w:r>
              <w:rPr>
                <w:rFonts w:hint="default" w:ascii="Times New Roman" w:hAnsi="Times New Roman" w:eastAsia="宋体" w:cs="Times New Roman"/>
                <w:color w:val="00B050"/>
                <w:lang w:val="en-US" w:eastAsia="zh-CN"/>
              </w:rPr>
              <w:t>采取布袋除尘器除尘后，经15m高排气筒排放；</w:t>
            </w:r>
            <w:r>
              <w:rPr>
                <w:rFonts w:hint="default" w:ascii="Times New Roman" w:hAnsi="Times New Roman" w:eastAsia="宋体" w:cs="Times New Roman"/>
                <w:color w:val="FF0000"/>
                <w:lang w:val="en-US" w:eastAsia="zh-CN"/>
              </w:rPr>
              <w:t>堆场扬尘采取定期洒水，上部采用篷布遮盖，可有效控制扬尘的产生，并且制定了生态保护修复方案，符合管控要求。</w:t>
            </w:r>
          </w:p>
        </w:tc>
        <w:tc>
          <w:tcPr>
            <w:tcW w:w="417" w:type="pct"/>
            <w:tcBorders>
              <w:top w:val="single" w:color="auto" w:sz="4" w:space="0"/>
              <w:left w:val="single" w:color="auto" w:sz="4" w:space="0"/>
            </w:tcBorders>
            <w:noWrap w:val="0"/>
            <w:vAlign w:val="center"/>
          </w:tcPr>
          <w:p w14:paraId="0784F4A4">
            <w:pPr>
              <w:pStyle w:val="48"/>
              <w:keepNext w:val="0"/>
              <w:keepLines w:val="0"/>
              <w:suppressLineNumbers w:val="0"/>
              <w:bidi w:val="0"/>
              <w:spacing w:before="0" w:beforeAutospacing="0" w:afterAutospacing="0"/>
              <w:ind w:right="0"/>
              <w:rPr>
                <w:rFonts w:hint="default" w:ascii="Times New Roman" w:hAnsi="Times New Roman" w:eastAsia="宋体" w:cs="Times New Roman"/>
                <w:color w:val="FF0000"/>
                <w:lang w:val="en-US" w:eastAsia="zh-CN"/>
              </w:rPr>
            </w:pPr>
            <w:r>
              <w:rPr>
                <w:rFonts w:hint="default" w:ascii="Times New Roman" w:hAnsi="Times New Roman" w:eastAsia="宋体" w:cs="Times New Roman"/>
                <w:color w:val="FF0000"/>
                <w:lang w:val="en-US" w:eastAsia="zh-CN"/>
              </w:rPr>
              <w:t>符合</w:t>
            </w:r>
          </w:p>
        </w:tc>
      </w:tr>
    </w:tbl>
    <w:p w14:paraId="2FD3AD0E">
      <w:pPr>
        <w:spacing w:beforeLines="0" w:afterLines="0"/>
        <w:rPr>
          <w:rFonts w:hint="default" w:ascii="Times New Roman" w:hAnsi="Times New Roman" w:cs="Times New Roman"/>
          <w:color w:val="auto"/>
          <w:sz w:val="24"/>
          <w:szCs w:val="24"/>
          <w:highlight w:val="none"/>
        </w:rPr>
      </w:pPr>
    </w:p>
    <w:p w14:paraId="57BA43BF">
      <w:pPr>
        <w:pStyle w:val="6"/>
        <w:bidi w:val="0"/>
        <w:rPr>
          <w:rFonts w:hint="default" w:ascii="宋体" w:hAnsi="宋体" w:eastAsia="宋体" w:cs="Times New Roman"/>
          <w:lang w:val="en-US" w:eastAsia="zh-CN"/>
        </w:rPr>
      </w:pPr>
      <w:bookmarkStart w:id="23" w:name="（2）与《昌吉回族自治州“三线一单”生态环境分区管控方案》符合性分析"/>
      <w:bookmarkEnd w:id="23"/>
      <w:r>
        <w:rPr>
          <w:rFonts w:hint="default" w:ascii="宋体" w:hAnsi="宋体" w:eastAsia="宋体" w:cs="Times New Roman"/>
          <w:lang w:val="en-US" w:eastAsia="zh-CN"/>
        </w:rPr>
        <w:t>与《昌吉回族自治州“三线一单”生态环境分区管控方案》符合性分析</w:t>
      </w:r>
    </w:p>
    <w:p w14:paraId="06183A13">
      <w:pPr>
        <w:numPr>
          <w:ilvl w:val="0"/>
          <w:numId w:val="0"/>
        </w:numPr>
        <w:spacing w:beforeLines="0" w:afterLines="0"/>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2025年1月10日，昌吉回族自治州人民政府发布了《关于发布昌吉回族自治州生态环境分区管控动态更新成果的公告》，</w:t>
      </w:r>
      <w:r>
        <w:rPr>
          <w:rFonts w:hint="default" w:ascii="Times New Roman" w:hAnsi="Times New Roman" w:cs="Times New Roman"/>
          <w:color w:val="auto"/>
          <w:sz w:val="24"/>
          <w:szCs w:val="24"/>
          <w:highlight w:val="none"/>
          <w:lang w:val="en-US" w:eastAsia="zh-CN"/>
        </w:rPr>
        <w:t>根据该更新成果，</w:t>
      </w:r>
      <w:r>
        <w:rPr>
          <w:rFonts w:hint="default" w:ascii="Times New Roman" w:hAnsi="Times New Roman" w:cs="Times New Roman"/>
          <w:color w:val="auto"/>
          <w:sz w:val="24"/>
          <w:szCs w:val="24"/>
          <w:highlight w:val="none"/>
        </w:rPr>
        <w:t>昌吉回族自治州共划定</w:t>
      </w:r>
      <w:r>
        <w:rPr>
          <w:rFonts w:hint="default" w:ascii="Times New Roman" w:hAnsi="Times New Roman" w:cs="Times New Roman"/>
          <w:color w:val="auto"/>
          <w:sz w:val="24"/>
          <w:szCs w:val="24"/>
          <w:highlight w:val="none"/>
          <w:lang w:val="en-US" w:eastAsia="zh-CN"/>
        </w:rPr>
        <w:t>193</w:t>
      </w:r>
      <w:r>
        <w:rPr>
          <w:rFonts w:hint="default" w:ascii="Times New Roman" w:hAnsi="Times New Roman" w:cs="Times New Roman"/>
          <w:color w:val="auto"/>
          <w:sz w:val="24"/>
          <w:szCs w:val="24"/>
          <w:highlight w:val="none"/>
        </w:rPr>
        <w:t>个环境管控单元，分为优先保护单元</w:t>
      </w:r>
      <w:r>
        <w:rPr>
          <w:rFonts w:hint="default" w:ascii="Times New Roman" w:hAnsi="Times New Roman" w:cs="Times New Roman"/>
          <w:color w:val="auto"/>
          <w:sz w:val="24"/>
          <w:szCs w:val="24"/>
          <w:highlight w:val="none"/>
          <w:lang w:val="en-US" w:eastAsia="zh-CN"/>
        </w:rPr>
        <w:t>94个</w:t>
      </w:r>
      <w:r>
        <w:rPr>
          <w:rFonts w:hint="default" w:ascii="Times New Roman" w:hAnsi="Times New Roman" w:cs="Times New Roman"/>
          <w:color w:val="auto"/>
          <w:sz w:val="24"/>
          <w:szCs w:val="24"/>
          <w:highlight w:val="none"/>
        </w:rPr>
        <w:t>、重点管控单元</w:t>
      </w:r>
      <w:r>
        <w:rPr>
          <w:rFonts w:hint="default" w:ascii="Times New Roman" w:hAnsi="Times New Roman" w:cs="Times New Roman"/>
          <w:color w:val="auto"/>
          <w:sz w:val="24"/>
          <w:szCs w:val="24"/>
          <w:highlight w:val="none"/>
          <w:lang w:val="en-US" w:eastAsia="zh-CN"/>
        </w:rPr>
        <w:t>92个</w:t>
      </w:r>
      <w:r>
        <w:rPr>
          <w:rFonts w:hint="default" w:ascii="Times New Roman" w:hAnsi="Times New Roman" w:cs="Times New Roman"/>
          <w:color w:val="auto"/>
          <w:sz w:val="24"/>
          <w:szCs w:val="24"/>
          <w:highlight w:val="none"/>
        </w:rPr>
        <w:t>和一般管控单元</w:t>
      </w:r>
      <w:r>
        <w:rPr>
          <w:rFonts w:hint="default" w:ascii="Times New Roman" w:hAnsi="Times New Roman" w:cs="Times New Roman"/>
          <w:color w:val="auto"/>
          <w:sz w:val="24"/>
          <w:szCs w:val="24"/>
          <w:highlight w:val="none"/>
          <w:lang w:val="en-US" w:eastAsia="zh-CN"/>
        </w:rPr>
        <w:t>7个</w:t>
      </w:r>
      <w:r>
        <w:rPr>
          <w:rFonts w:hint="default" w:ascii="Times New Roman" w:hAnsi="Times New Roman" w:cs="Times New Roman"/>
          <w:color w:val="auto"/>
          <w:sz w:val="24"/>
          <w:szCs w:val="24"/>
          <w:highlight w:val="none"/>
        </w:rPr>
        <w:t>，实施分类管控。</w:t>
      </w:r>
    </w:p>
    <w:p w14:paraId="206A6546">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优先保护单元主要包括生态保护红线区和生态保护红线区以外的饮用水水源保护区、水源涵养区、防风固沙区、水土保持区、生物多样性维护区、土地沙化防控区、水土流失防控区等一般生态空间管控区。重点管控单元主要包括城镇建成区、工业园区和工业聚集区等。一般管控单元主要包括优先保护单元和重点管控单元之外的其它区域。</w:t>
      </w:r>
    </w:p>
    <w:p w14:paraId="392DFC5A">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本项目位于阜康市一般管控单元（环境管控单元编码 ZH65230230001），项目符合阜康市环境管控单元生态环境准入清单（一般管控单元）相关准入要求，符合昌吉州总体准入要求。本项目与该环境管控单元分类准入清单及符合性分析见表1.4-</w:t>
      </w:r>
      <w:r>
        <w:rPr>
          <w:rFonts w:hint="default"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，昌吉回族自治州环境管控单元分类图见图1.4-1。</w:t>
      </w:r>
    </w:p>
    <w:p w14:paraId="75155E98">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表 1.4-</w:t>
      </w:r>
      <w:r>
        <w:rPr>
          <w:rFonts w:hint="eastAsia" w:ascii="Times New Roman" w:hAnsi="Times New Roman" w:cs="Times New Roman"/>
          <w:color w:val="auto"/>
          <w:highlight w:val="none"/>
          <w:lang w:val="en-US" w:eastAsia="zh-CN"/>
        </w:rPr>
        <w:t>3</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t>阜康市环境管控单元生态环境准入清单（一般管控单元）符合性一览表</w:t>
      </w:r>
    </w:p>
    <w:tbl>
      <w:tblPr>
        <w:tblStyle w:val="31"/>
        <w:tblW w:w="4996"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29"/>
        <w:gridCol w:w="4155"/>
        <w:gridCol w:w="3624"/>
        <w:gridCol w:w="871"/>
      </w:tblGrid>
      <w:tr w14:paraId="6DCA99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2577" w:type="pct"/>
            <w:gridSpan w:val="2"/>
            <w:tcBorders>
              <w:tl2br w:val="nil"/>
              <w:tr2bl w:val="nil"/>
            </w:tcBorders>
            <w:noWrap w:val="0"/>
            <w:vAlign w:val="center"/>
          </w:tcPr>
          <w:p w14:paraId="061B3577">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管控要求</w:t>
            </w:r>
          </w:p>
        </w:tc>
        <w:tc>
          <w:tcPr>
            <w:tcW w:w="1952" w:type="pct"/>
            <w:tcBorders>
              <w:tl2br w:val="nil"/>
              <w:tr2bl w:val="nil"/>
            </w:tcBorders>
            <w:noWrap w:val="0"/>
            <w:vAlign w:val="center"/>
          </w:tcPr>
          <w:p w14:paraId="370A51F3">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w:t>
            </w:r>
          </w:p>
        </w:tc>
        <w:tc>
          <w:tcPr>
            <w:tcW w:w="469" w:type="pct"/>
            <w:tcBorders>
              <w:tl2br w:val="nil"/>
              <w:tr2bl w:val="nil"/>
            </w:tcBorders>
            <w:noWrap w:val="0"/>
            <w:vAlign w:val="center"/>
          </w:tcPr>
          <w:p w14:paraId="2144A87C">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符合性</w:t>
            </w:r>
          </w:p>
        </w:tc>
      </w:tr>
      <w:tr w14:paraId="01DBB9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00" w:hRule="atLeast"/>
        </w:trPr>
        <w:tc>
          <w:tcPr>
            <w:tcW w:w="339" w:type="pct"/>
            <w:tcBorders>
              <w:tl2br w:val="nil"/>
              <w:tr2bl w:val="nil"/>
            </w:tcBorders>
            <w:noWrap w:val="0"/>
            <w:vAlign w:val="top"/>
          </w:tcPr>
          <w:p w14:paraId="701C0AD4">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空间布局约束</w:t>
            </w:r>
          </w:p>
        </w:tc>
        <w:tc>
          <w:tcPr>
            <w:tcW w:w="2238" w:type="pct"/>
            <w:tcBorders>
              <w:tl2br w:val="nil"/>
              <w:tr2bl w:val="nil"/>
            </w:tcBorders>
            <w:noWrap w:val="0"/>
            <w:vAlign w:val="top"/>
          </w:tcPr>
          <w:p w14:paraId="49A3C806">
            <w:pPr>
              <w:pStyle w:val="48"/>
              <w:bidi w:val="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1、建立集镇居住商业区、耕地保护区与工业功能区等集聚区块之间的防护带。严格执行畜禽养殖禁养区规定，根据区域用地和消纳水平，合理确定养殖规模。加强基本农田保护，严格限制非农项目占用耕地。</w:t>
            </w:r>
          </w:p>
        </w:tc>
        <w:tc>
          <w:tcPr>
            <w:tcW w:w="1952" w:type="pct"/>
            <w:tcBorders>
              <w:tl2br w:val="nil"/>
              <w:tr2bl w:val="nil"/>
            </w:tcBorders>
            <w:noWrap w:val="0"/>
            <w:vAlign w:val="center"/>
          </w:tcPr>
          <w:p w14:paraId="3C9ADE28">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本项目不占用基本农田及耕地，符合空间布局约束。</w:t>
            </w:r>
          </w:p>
        </w:tc>
        <w:tc>
          <w:tcPr>
            <w:tcW w:w="469" w:type="pct"/>
            <w:tcBorders>
              <w:tl2br w:val="nil"/>
              <w:tr2bl w:val="nil"/>
            </w:tcBorders>
            <w:noWrap w:val="0"/>
            <w:vAlign w:val="center"/>
          </w:tcPr>
          <w:p w14:paraId="0A2F22CF">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r w14:paraId="48A754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95" w:hRule="atLeast"/>
        </w:trPr>
        <w:tc>
          <w:tcPr>
            <w:tcW w:w="339" w:type="pct"/>
            <w:tcBorders>
              <w:tl2br w:val="nil"/>
              <w:tr2bl w:val="nil"/>
            </w:tcBorders>
            <w:noWrap w:val="0"/>
            <w:vAlign w:val="top"/>
          </w:tcPr>
          <w:p w14:paraId="3EFFE315">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污染</w:t>
            </w:r>
          </w:p>
          <w:p w14:paraId="2E975494">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物排</w:t>
            </w:r>
          </w:p>
          <w:p w14:paraId="45F52C72">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放管</w:t>
            </w:r>
          </w:p>
          <w:p w14:paraId="2BC654E8">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控</w:t>
            </w:r>
          </w:p>
        </w:tc>
        <w:tc>
          <w:tcPr>
            <w:tcW w:w="2238" w:type="pct"/>
            <w:tcBorders>
              <w:tl2br w:val="nil"/>
              <w:tr2bl w:val="nil"/>
            </w:tcBorders>
            <w:noWrap w:val="0"/>
            <w:vAlign w:val="top"/>
          </w:tcPr>
          <w:p w14:paraId="09985BCC">
            <w:pPr>
              <w:pStyle w:val="48"/>
              <w:bidi w:val="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1、加强农业面源污染治理，科学合理使用化肥农药，逐步削减农业面源污染物排放量。</w:t>
            </w:r>
          </w:p>
          <w:p w14:paraId="7E7E7C90">
            <w:pPr>
              <w:pStyle w:val="48"/>
              <w:bidi w:val="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2、到2025年，主要污染物排放总量持续下降，单位地区生产总值二氧化碳排放完成国家下达指标。</w:t>
            </w:r>
          </w:p>
          <w:p w14:paraId="7854DF05">
            <w:pPr>
              <w:pStyle w:val="48"/>
              <w:bidi w:val="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3、城镇生活污水处理率达到97%以上、城镇生活垃圾无害化处理率保持在98%以上，农村生活污水治理率达到30%左右，土壤污染风险得到有效管控，固体废物和新污染物治理能力明显增强。</w:t>
            </w:r>
          </w:p>
          <w:p w14:paraId="36BAF8A9">
            <w:pPr>
              <w:pStyle w:val="48"/>
              <w:bidi w:val="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4、除国家规定新增原料用能不纳入能源消费总量控制的项目和列入国家规划的项目外，“乌—昌—石”等重点区域不再新建、扩建使用煤炭项目。</w:t>
            </w:r>
          </w:p>
          <w:p w14:paraId="720063E3">
            <w:pPr>
              <w:pStyle w:val="48"/>
              <w:bidi w:val="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5、“乌-昌-石”区域内，已实施超低排放的涉气排污单位，其实施超低排放改造的污染因子执行超低排放限值，其他污染因子执行特别排放限值和特别控制要求。</w:t>
            </w:r>
          </w:p>
          <w:p w14:paraId="55173A14">
            <w:pPr>
              <w:pStyle w:val="48"/>
              <w:bidi w:val="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6、施工工地全面落实“六个百分之百”（施工工地周边围挡、物料堆放覆盖、出入车辆冲洗、施工现场地面硬化、拆迁工地湿法作业、渣土车辆密闭运输）。</w:t>
            </w:r>
          </w:p>
        </w:tc>
        <w:tc>
          <w:tcPr>
            <w:tcW w:w="1952" w:type="pct"/>
            <w:tcBorders>
              <w:tl2br w:val="nil"/>
              <w:tr2bl w:val="nil"/>
            </w:tcBorders>
            <w:noWrap w:val="0"/>
            <w:vAlign w:val="center"/>
          </w:tcPr>
          <w:p w14:paraId="0E85244B">
            <w:pPr>
              <w:pStyle w:val="48"/>
              <w:bidi w:val="0"/>
              <w:jc w:val="left"/>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矿山为露天开采，采取铲车装运方式，装运过程</w:t>
            </w:r>
            <w:r>
              <w:rPr>
                <w:rFonts w:hint="default" w:ascii="Times New Roman" w:hAnsi="Times New Roman" w:cs="Times New Roman"/>
                <w:color w:val="auto"/>
                <w:highlight w:val="none"/>
              </w:rPr>
              <w:t>配套采用移动式雾炮机降尘、分区分片开采等措施处理；筛分粉尘采用“集气罩+布袋除尘器”除尘，处理后经15m排气筒排放；</w:t>
            </w:r>
            <w:r>
              <w:rPr>
                <w:rFonts w:hint="default" w:ascii="Times New Roman" w:hAnsi="Times New Roman" w:eastAsia="宋体" w:cs="Times New Roman"/>
                <w:color w:val="00B050"/>
                <w:lang w:val="en-US" w:eastAsia="zh-CN"/>
              </w:rPr>
              <w:t>烘干</w:t>
            </w:r>
            <w:r>
              <w:rPr>
                <w:rFonts w:hint="eastAsia" w:ascii="Times New Roman" w:hAnsi="Times New Roman" w:cs="Times New Roman"/>
                <w:color w:val="00B050"/>
                <w:lang w:val="en-US" w:eastAsia="zh-CN"/>
              </w:rPr>
              <w:t>工序产生的粉尘</w:t>
            </w:r>
            <w:r>
              <w:rPr>
                <w:rFonts w:hint="default" w:ascii="Times New Roman" w:hAnsi="Times New Roman" w:eastAsia="宋体" w:cs="Times New Roman"/>
                <w:color w:val="00B050"/>
                <w:lang w:val="en-US" w:eastAsia="zh-CN"/>
              </w:rPr>
              <w:t>采取布袋除尘器除尘后，经15m高排气筒排放；</w:t>
            </w:r>
            <w:r>
              <w:rPr>
                <w:rFonts w:hint="default" w:ascii="Times New Roman" w:hAnsi="Times New Roman" w:cs="Times New Roman"/>
                <w:color w:val="auto"/>
                <w:highlight w:val="none"/>
              </w:rPr>
              <w:t>堆场扬尘采取定期洒水，上部采用</w:t>
            </w:r>
            <w:r>
              <w:rPr>
                <w:rFonts w:hint="default" w:ascii="Times New Roman" w:hAnsi="Times New Roman" w:cs="Times New Roman"/>
                <w:color w:val="auto"/>
                <w:highlight w:val="none"/>
                <w:lang w:val="en-US" w:eastAsia="zh-CN"/>
              </w:rPr>
              <w:t>篷布</w:t>
            </w:r>
            <w:r>
              <w:rPr>
                <w:rFonts w:hint="default" w:ascii="Times New Roman" w:hAnsi="Times New Roman" w:cs="Times New Roman"/>
                <w:color w:val="auto"/>
                <w:highlight w:val="none"/>
              </w:rPr>
              <w:t>遮盖，废气影响可控。</w:t>
            </w:r>
          </w:p>
          <w:p w14:paraId="01C071D9">
            <w:pPr>
              <w:pStyle w:val="48"/>
              <w:bidi w:val="0"/>
              <w:jc w:val="left"/>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项目生产废水循环利用，生活污水经一体化污水处理设施处理后用于矿区洒水降尘</w:t>
            </w:r>
            <w:r>
              <w:rPr>
                <w:rFonts w:hint="default" w:ascii="Times New Roman" w:hAnsi="Times New Roman" w:cs="Times New Roman"/>
                <w:color w:val="auto"/>
                <w:highlight w:val="none"/>
                <w:lang w:eastAsia="zh-CN"/>
              </w:rPr>
              <w:t>；</w:t>
            </w:r>
          </w:p>
          <w:p w14:paraId="70447864">
            <w:pPr>
              <w:pStyle w:val="48"/>
              <w:bidi w:val="0"/>
              <w:jc w:val="left"/>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固废主要为生活垃圾和生产废料及废土，以及设备维修过程中产生的废矿物油等，均得到妥善处置。</w:t>
            </w:r>
          </w:p>
          <w:p w14:paraId="0ADC9FD7">
            <w:pPr>
              <w:pStyle w:val="48"/>
              <w:bidi w:val="0"/>
              <w:jc w:val="left"/>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工业广场在施工过程中</w:t>
            </w:r>
            <w:r>
              <w:rPr>
                <w:rFonts w:hint="default" w:ascii="Times New Roman" w:hAnsi="Times New Roman" w:cs="Times New Roman"/>
                <w:color w:val="auto"/>
                <w:highlight w:val="none"/>
              </w:rPr>
              <w:t>全面落实“六个百分之百”</w:t>
            </w:r>
            <w:r>
              <w:rPr>
                <w:rFonts w:hint="default" w:ascii="Times New Roman" w:hAnsi="Times New Roman" w:cs="Times New Roman"/>
                <w:color w:val="auto"/>
                <w:highlight w:val="none"/>
                <w:lang w:eastAsia="zh-CN"/>
              </w:rPr>
              <w:t>。</w:t>
            </w:r>
          </w:p>
          <w:p w14:paraId="48EF4668">
            <w:pPr>
              <w:pStyle w:val="48"/>
              <w:bidi w:val="0"/>
              <w:rPr>
                <w:rFonts w:hint="default" w:ascii="Times New Roman" w:hAnsi="Times New Roman" w:cs="Times New Roman"/>
                <w:color w:val="auto"/>
                <w:highlight w:val="none"/>
              </w:rPr>
            </w:pPr>
          </w:p>
        </w:tc>
        <w:tc>
          <w:tcPr>
            <w:tcW w:w="469" w:type="pct"/>
            <w:tcBorders>
              <w:tl2br w:val="nil"/>
              <w:tr2bl w:val="nil"/>
            </w:tcBorders>
            <w:noWrap w:val="0"/>
            <w:vAlign w:val="center"/>
          </w:tcPr>
          <w:p w14:paraId="3713A4FE">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r w14:paraId="492004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04" w:hRule="atLeast"/>
        </w:trPr>
        <w:tc>
          <w:tcPr>
            <w:tcW w:w="339" w:type="pct"/>
            <w:tcBorders>
              <w:tl2br w:val="nil"/>
              <w:tr2bl w:val="nil"/>
            </w:tcBorders>
            <w:noWrap w:val="0"/>
            <w:vAlign w:val="top"/>
          </w:tcPr>
          <w:p w14:paraId="1DA0BA3C">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环境风险防控</w:t>
            </w:r>
          </w:p>
        </w:tc>
        <w:tc>
          <w:tcPr>
            <w:tcW w:w="2238" w:type="pct"/>
            <w:tcBorders>
              <w:tl2br w:val="nil"/>
              <w:tr2bl w:val="nil"/>
            </w:tcBorders>
            <w:noWrap w:val="0"/>
            <w:vAlign w:val="top"/>
          </w:tcPr>
          <w:p w14:paraId="0AABBFA5">
            <w:pPr>
              <w:pStyle w:val="48"/>
              <w:bidi w:val="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1、加强生态公益林保护与建设，防止水土流失。禁止向农用地排放重金属或者其他有毒有害物质含量超标的污水、污泥，以及可能造成土壤污染的尾矿、矿渣等。加强农田土壤、灌溉水的监测及评价，对周边或区域环境风险源进行评估。</w:t>
            </w:r>
          </w:p>
          <w:p w14:paraId="2113209F">
            <w:pPr>
              <w:pStyle w:val="48"/>
              <w:bidi w:val="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2、统筹农村河湖管控与生态治理保护，深入开展河湖监督检查，强化河长湖长履职尽责，严厉打击河道乱占、乱采、乱堆、乱建等违法违规行为。建立健全促进水质改善的长效运行维护机制。</w:t>
            </w:r>
          </w:p>
        </w:tc>
        <w:tc>
          <w:tcPr>
            <w:tcW w:w="1952" w:type="pct"/>
            <w:tcBorders>
              <w:tl2br w:val="nil"/>
              <w:tr2bl w:val="nil"/>
            </w:tcBorders>
            <w:noWrap w:val="0"/>
            <w:vAlign w:val="center"/>
          </w:tcPr>
          <w:p w14:paraId="2D447884">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项目占地范围内无生态</w:t>
            </w:r>
            <w:r>
              <w:rPr>
                <w:rFonts w:hint="default" w:ascii="Times New Roman" w:hAnsi="Times New Roman" w:cs="Times New Roman"/>
                <w:color w:val="auto"/>
                <w:highlight w:val="none"/>
                <w:lang w:val="en-US" w:eastAsia="zh-CN"/>
              </w:rPr>
              <w:t>公益</w:t>
            </w:r>
            <w:r>
              <w:rPr>
                <w:rFonts w:hint="default" w:ascii="Times New Roman" w:hAnsi="Times New Roman" w:cs="Times New Roman"/>
                <w:color w:val="auto"/>
                <w:highlight w:val="none"/>
              </w:rPr>
              <w:t>林与农用地，</w:t>
            </w:r>
            <w:r>
              <w:rPr>
                <w:rFonts w:hint="default" w:ascii="Times New Roman" w:hAnsi="Times New Roman" w:cs="Times New Roman"/>
                <w:color w:val="auto"/>
                <w:highlight w:val="none"/>
                <w:lang w:val="en-US" w:eastAsia="zh-CN"/>
              </w:rPr>
              <w:t>周边无地表水体，</w:t>
            </w:r>
            <w:r>
              <w:rPr>
                <w:rFonts w:hint="default" w:ascii="Times New Roman" w:hAnsi="Times New Roman" w:cs="Times New Roman"/>
                <w:color w:val="auto"/>
                <w:highlight w:val="none"/>
              </w:rPr>
              <w:t>项目生产废水循环利用，生活污水经一体化污水处理设施处理后用于矿区洒水降尘</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项目环境风险源</w:t>
            </w:r>
            <w:r>
              <w:rPr>
                <w:rFonts w:hint="default" w:ascii="Times New Roman" w:hAnsi="Times New Roman" w:cs="Times New Roman"/>
                <w:color w:val="auto"/>
                <w:highlight w:val="none"/>
                <w:lang w:val="en-US" w:eastAsia="zh-CN"/>
              </w:rPr>
              <w:t>危废贮存点采取防渗措施，</w:t>
            </w:r>
            <w:r>
              <w:rPr>
                <w:rFonts w:hint="default" w:ascii="Times New Roman" w:hAnsi="Times New Roman" w:cs="Times New Roman"/>
                <w:color w:val="auto"/>
                <w:highlight w:val="none"/>
              </w:rPr>
              <w:t>不会对周边区域产生环境风险。</w:t>
            </w:r>
          </w:p>
        </w:tc>
        <w:tc>
          <w:tcPr>
            <w:tcW w:w="469" w:type="pct"/>
            <w:tcBorders>
              <w:tl2br w:val="nil"/>
              <w:tr2bl w:val="nil"/>
            </w:tcBorders>
            <w:noWrap w:val="0"/>
            <w:vAlign w:val="center"/>
          </w:tcPr>
          <w:p w14:paraId="4C2273CB">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r w14:paraId="1A1C93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339" w:type="pct"/>
            <w:tcBorders>
              <w:tl2br w:val="nil"/>
              <w:tr2bl w:val="nil"/>
            </w:tcBorders>
            <w:noWrap w:val="0"/>
            <w:vAlign w:val="center"/>
          </w:tcPr>
          <w:p w14:paraId="715461C0">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资源开发效率要求</w:t>
            </w:r>
          </w:p>
        </w:tc>
        <w:tc>
          <w:tcPr>
            <w:tcW w:w="2238" w:type="pct"/>
            <w:tcBorders>
              <w:tl2br w:val="nil"/>
              <w:tr2bl w:val="nil"/>
            </w:tcBorders>
            <w:noWrap w:val="0"/>
            <w:vAlign w:val="top"/>
          </w:tcPr>
          <w:p w14:paraId="5959F778">
            <w:pPr>
              <w:pStyle w:val="48"/>
              <w:bidi w:val="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1、实行水资源消耗总量和强度双控，推进农业节水，提高农业用水效率。优化能源结构，加强能源清洁利用。</w:t>
            </w:r>
          </w:p>
          <w:p w14:paraId="13BBC3A4">
            <w:pPr>
              <w:pStyle w:val="48"/>
              <w:bidi w:val="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2、实施节水行动，强化农业节水增效、工业节水减排、城镇节水降损。推进污水资源化利用，到2025年全区城镇生活污水再生利用率力争达到60%。</w:t>
            </w:r>
          </w:p>
          <w:p w14:paraId="59ADA0D3">
            <w:pPr>
              <w:pStyle w:val="48"/>
              <w:bidi w:val="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3、壮大清洁能源产业，加快非化石能源发展，实施绿电替代，优化用能结构，到2025年非化石能源消费比重提高到18%左右。推进大型清洁能源基地建设，积极开发分布式太阳能发电和分散式风电。积极推动储能产业进步，推进抽水蓄能电站建设，加快新型储能技术和模式示范推广应用。持续完善750千伏骨干电网及农村电网建设，积极发展可再生能源微电网、局域网，提高可再生能源的推广和消纳能力。</w:t>
            </w:r>
          </w:p>
          <w:p w14:paraId="60EF6905">
            <w:pPr>
              <w:pStyle w:val="48"/>
              <w:bidi w:val="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4、严格保护优先保护类农用地，确保其面积不减少、土壤环境质量不下降。加强耕地污染源源头控制，推进耕地周边涉镉等重金属行业企业排查整治。鼓励采取种植结构调整等措施，确保受污染耕地全部实现安全利用。动态调整耕地土壤环境质量类别。</w:t>
            </w:r>
          </w:p>
        </w:tc>
        <w:tc>
          <w:tcPr>
            <w:tcW w:w="1952" w:type="pct"/>
            <w:tcBorders>
              <w:tl2br w:val="nil"/>
              <w:tr2bl w:val="nil"/>
            </w:tcBorders>
            <w:noWrap w:val="0"/>
            <w:vAlign w:val="center"/>
          </w:tcPr>
          <w:p w14:paraId="4542B9BC">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本项目为天然石英砂开采项目，项目生产废水经处理后均循环利用，不外排；项目冬季采暖</w:t>
            </w:r>
            <w:r>
              <w:rPr>
                <w:rFonts w:hint="default" w:ascii="Times New Roman" w:hAnsi="Times New Roman" w:cs="Times New Roman"/>
                <w:color w:val="auto"/>
                <w:highlight w:val="none"/>
                <w:lang w:val="en-US" w:eastAsia="zh-CN"/>
              </w:rPr>
              <w:t>和热水供应均采用电锅炉</w:t>
            </w:r>
            <w:r>
              <w:rPr>
                <w:rFonts w:hint="default" w:ascii="Times New Roman" w:hAnsi="Times New Roman" w:cs="Times New Roman"/>
                <w:color w:val="auto"/>
                <w:highlight w:val="none"/>
              </w:rPr>
              <w:t>，符合要求。</w:t>
            </w:r>
          </w:p>
        </w:tc>
        <w:tc>
          <w:tcPr>
            <w:tcW w:w="469" w:type="pct"/>
            <w:tcBorders>
              <w:tl2br w:val="nil"/>
              <w:tr2bl w:val="nil"/>
            </w:tcBorders>
            <w:noWrap w:val="0"/>
            <w:vAlign w:val="center"/>
          </w:tcPr>
          <w:p w14:paraId="32C9497F">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bl>
    <w:p w14:paraId="05C9016E">
      <w:pPr>
        <w:spacing w:beforeLines="0" w:afterLines="0"/>
        <w:rPr>
          <w:rFonts w:hint="default" w:ascii="Times New Roman" w:hAnsi="Times New Roman" w:eastAsia="Calibri" w:cs="Times New Roman"/>
          <w:color w:val="auto"/>
          <w:sz w:val="11"/>
          <w:szCs w:val="24"/>
          <w:highlight w:val="none"/>
        </w:rPr>
      </w:pPr>
      <w:r>
        <w:rPr>
          <w:rFonts w:hint="default" w:ascii="Times New Roman" w:hAnsi="Times New Roman" w:cs="Times New Roman"/>
          <w:color w:val="auto"/>
          <w:sz w:val="24"/>
          <w:szCs w:val="24"/>
          <w:highlight w:val="none"/>
        </w:rPr>
        <w:t>阜康市未被列入《新疆维吾尔自治区28个国家重点生态功能区县（市）产业准入负面清单》（试行）和《新疆维吾尔自治区17个新增纳入国家重点生态功能区县（市）产业准入负面清单》中，项目建设满足相关产业政策、环境准入政策要求</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符合三线一单管控要求</w:t>
      </w:r>
      <w:r>
        <w:rPr>
          <w:rFonts w:hint="default" w:ascii="Times New Roman" w:hAnsi="Times New Roman" w:cs="Times New Roman"/>
          <w:color w:val="auto"/>
          <w:sz w:val="24"/>
          <w:szCs w:val="24"/>
          <w:highlight w:val="none"/>
        </w:rPr>
        <w:t>。</w:t>
      </w:r>
      <w:bookmarkStart w:id="24" w:name="（3）三线一单符合性分析"/>
      <w:bookmarkEnd w:id="24"/>
    </w:p>
    <w:p w14:paraId="06F4D29C">
      <w:pPr>
        <w:pStyle w:val="4"/>
        <w:bidi w:val="0"/>
        <w:rPr>
          <w:rFonts w:hint="default"/>
        </w:rPr>
      </w:pPr>
      <w:r>
        <w:rPr>
          <w:rFonts w:hint="default"/>
        </w:rPr>
        <w:t>产业政策符合性</w:t>
      </w:r>
    </w:p>
    <w:p w14:paraId="78AF1485">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本项目为天然石英砂矿开采项目，根据《产业结构调整指导目录》（</w:t>
      </w:r>
      <w:r>
        <w:rPr>
          <w:rFonts w:hint="default" w:ascii="Times New Roman" w:hAnsi="Times New Roman" w:cs="Times New Roman"/>
          <w:color w:val="auto"/>
          <w:sz w:val="24"/>
          <w:szCs w:val="24"/>
          <w:highlight w:val="none"/>
          <w:lang w:val="en-US" w:eastAsia="zh-CN"/>
        </w:rPr>
        <w:t>2024年本</w:t>
      </w:r>
      <w:r>
        <w:rPr>
          <w:rFonts w:hint="default" w:ascii="Times New Roman" w:hAnsi="Times New Roman" w:cs="Times New Roman"/>
          <w:color w:val="auto"/>
          <w:sz w:val="24"/>
          <w:szCs w:val="24"/>
          <w:highlight w:val="none"/>
        </w:rPr>
        <w:t>），本项目不属于限制类和淘汰类项目，</w:t>
      </w:r>
      <w:r>
        <w:rPr>
          <w:rFonts w:hint="default" w:ascii="Times New Roman" w:hAnsi="Times New Roman" w:cs="Times New Roman"/>
          <w:color w:val="auto"/>
          <w:sz w:val="24"/>
          <w:szCs w:val="24"/>
          <w:highlight w:val="none"/>
          <w:lang w:val="en-US" w:eastAsia="zh-CN"/>
        </w:rPr>
        <w:t>视为</w:t>
      </w:r>
      <w:r>
        <w:rPr>
          <w:rFonts w:hint="default" w:ascii="Times New Roman" w:hAnsi="Times New Roman" w:cs="Times New Roman"/>
          <w:color w:val="auto"/>
          <w:sz w:val="24"/>
          <w:szCs w:val="24"/>
          <w:highlight w:val="none"/>
        </w:rPr>
        <w:t>允许类项目，项目的开发建设符合目前的产业政策要求。</w:t>
      </w:r>
    </w:p>
    <w:p w14:paraId="4E559E34">
      <w:pPr>
        <w:pStyle w:val="4"/>
        <w:bidi w:val="0"/>
        <w:rPr>
          <w:rFonts w:hint="default"/>
        </w:rPr>
      </w:pPr>
      <w:bookmarkStart w:id="25" w:name="1.4.3其他相关政策及规划符合性分析"/>
      <w:bookmarkEnd w:id="25"/>
      <w:bookmarkStart w:id="26" w:name="1.4.2准入条件与“三线一单”符合性分析"/>
      <w:bookmarkEnd w:id="26"/>
      <w:r>
        <w:rPr>
          <w:rFonts w:hint="default"/>
        </w:rPr>
        <w:t>其他相关政策及规划符合性分析</w:t>
      </w:r>
    </w:p>
    <w:p w14:paraId="6C0FBFEC">
      <w:pPr>
        <w:pStyle w:val="5"/>
        <w:bidi w:val="0"/>
        <w:rPr>
          <w:rFonts w:hint="default"/>
          <w:color w:val="FF0000"/>
          <w:highlight w:val="none"/>
        </w:rPr>
      </w:pPr>
      <w:bookmarkStart w:id="27" w:name="1.4.3.1与《全国生态功能区划（修编版）》的符合性分析"/>
      <w:bookmarkEnd w:id="27"/>
      <w:r>
        <w:rPr>
          <w:rFonts w:hint="eastAsia" w:ascii="Times New Roman" w:hAnsi="Times New Roman" w:cs="Times New Roman"/>
          <w:color w:val="auto"/>
          <w:sz w:val="24"/>
          <w:szCs w:val="24"/>
          <w:highlight w:val="none"/>
          <w:lang w:val="en-US" w:eastAsia="zh-CN"/>
        </w:rPr>
        <w:t>与</w:t>
      </w:r>
      <w:r>
        <w:rPr>
          <w:rFonts w:hint="default" w:ascii="Times New Roman" w:hAnsi="Times New Roman" w:cs="Times New Roman"/>
          <w:color w:val="FF0000"/>
          <w:sz w:val="24"/>
          <w:szCs w:val="24"/>
          <w:highlight w:val="none"/>
        </w:rPr>
        <w:t>《中华人民共和国草原法》（2021年4月29日修订）</w:t>
      </w:r>
      <w:r>
        <w:rPr>
          <w:rFonts w:hint="eastAsia" w:ascii="Times New Roman" w:hAnsi="Times New Roman" w:cs="Times New Roman"/>
          <w:color w:val="FF0000"/>
          <w:sz w:val="24"/>
          <w:szCs w:val="24"/>
          <w:highlight w:val="none"/>
          <w:lang w:val="en-US" w:eastAsia="zh-CN"/>
        </w:rPr>
        <w:t>符合性分析</w:t>
      </w:r>
    </w:p>
    <w:p w14:paraId="713E8551">
      <w:pPr>
        <w:pStyle w:val="45"/>
        <w:bidi w:val="0"/>
        <w:rPr>
          <w:rFonts w:hint="default"/>
          <w:color w:val="FF0000"/>
          <w:highlight w:val="none"/>
        </w:rPr>
      </w:pPr>
      <w:r>
        <w:rPr>
          <w:rFonts w:hint="eastAsia"/>
          <w:color w:val="FF0000"/>
          <w:highlight w:val="none"/>
          <w:lang w:val="en-US" w:eastAsia="zh-CN"/>
        </w:rPr>
        <w:t>表1.4-4   与</w:t>
      </w:r>
      <w:r>
        <w:rPr>
          <w:rFonts w:hint="default"/>
          <w:color w:val="FF0000"/>
          <w:highlight w:val="none"/>
        </w:rPr>
        <w:t>《中华人民共和国草原法》（2021年4月29日修订）</w:t>
      </w:r>
      <w:r>
        <w:rPr>
          <w:rFonts w:hint="eastAsia"/>
          <w:color w:val="FF0000"/>
          <w:highlight w:val="none"/>
          <w:lang w:val="en-US" w:eastAsia="zh-CN"/>
        </w:rPr>
        <w:t>符合性分析</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61"/>
        <w:gridCol w:w="2203"/>
        <w:gridCol w:w="1018"/>
      </w:tblGrid>
      <w:tr w14:paraId="6E99A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BA6BD86">
            <w:pPr>
              <w:pStyle w:val="48"/>
              <w:spacing w:beforeLines="0" w:afterLines="0" w:line="240" w:lineRule="auto"/>
              <w:jc w:val="center"/>
              <w:rPr>
                <w:rFonts w:hint="default" w:ascii="Times New Roman" w:hAnsi="Times New Roman" w:cs="Times New Roman"/>
                <w:color w:val="FF0000"/>
                <w:sz w:val="24"/>
                <w:szCs w:val="24"/>
                <w:highlight w:val="none"/>
                <w:lang w:val="en-US" w:eastAsia="zh-CN"/>
              </w:rPr>
            </w:pPr>
            <w:r>
              <w:rPr>
                <w:rFonts w:hint="default" w:ascii="Times New Roman" w:hAnsi="Times New Roman" w:cs="Times New Roman"/>
                <w:color w:val="FF0000"/>
                <w:sz w:val="24"/>
                <w:szCs w:val="24"/>
                <w:highlight w:val="none"/>
                <w:lang w:val="en-US" w:eastAsia="zh-CN"/>
              </w:rPr>
              <w:t>相关条款</w:t>
            </w:r>
          </w:p>
        </w:tc>
        <w:tc>
          <w:tcPr>
            <w:tcW w:w="118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37F1B35">
            <w:pPr>
              <w:pStyle w:val="48"/>
              <w:spacing w:beforeLines="0" w:afterLines="0" w:line="240" w:lineRule="auto"/>
              <w:jc w:val="center"/>
              <w:rPr>
                <w:rFonts w:hint="default" w:ascii="Times New Roman" w:hAnsi="Times New Roman" w:cs="Times New Roman"/>
                <w:color w:val="FF0000"/>
                <w:sz w:val="24"/>
                <w:szCs w:val="24"/>
                <w:highlight w:val="none"/>
                <w:lang w:val="en-US" w:eastAsia="zh-CN"/>
              </w:rPr>
            </w:pPr>
            <w:r>
              <w:rPr>
                <w:rFonts w:hint="default" w:ascii="Times New Roman" w:hAnsi="Times New Roman" w:cs="Times New Roman"/>
                <w:color w:val="FF0000"/>
                <w:sz w:val="24"/>
                <w:szCs w:val="24"/>
                <w:highlight w:val="none"/>
                <w:lang w:val="en-US" w:eastAsia="zh-CN"/>
              </w:rPr>
              <w:t>本项目</w:t>
            </w:r>
          </w:p>
        </w:tc>
        <w:tc>
          <w:tcPr>
            <w:tcW w:w="54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8F7F2AE">
            <w:pPr>
              <w:pStyle w:val="48"/>
              <w:spacing w:beforeLines="0" w:afterLines="0" w:line="240" w:lineRule="auto"/>
              <w:jc w:val="center"/>
              <w:rPr>
                <w:rFonts w:hint="default" w:ascii="Times New Roman" w:hAnsi="Times New Roman" w:cs="Times New Roman"/>
                <w:color w:val="FF0000"/>
                <w:sz w:val="24"/>
                <w:szCs w:val="24"/>
                <w:highlight w:val="none"/>
                <w:lang w:val="en-US" w:eastAsia="zh-CN"/>
              </w:rPr>
            </w:pPr>
            <w:r>
              <w:rPr>
                <w:rFonts w:hint="default" w:ascii="Times New Roman" w:hAnsi="Times New Roman" w:cs="Times New Roman"/>
                <w:color w:val="FF0000"/>
                <w:sz w:val="24"/>
                <w:szCs w:val="24"/>
                <w:highlight w:val="none"/>
                <w:lang w:val="en-US" w:eastAsia="zh-CN"/>
              </w:rPr>
              <w:t>符合性</w:t>
            </w:r>
          </w:p>
        </w:tc>
      </w:tr>
      <w:tr w14:paraId="06146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E82F0DD">
            <w:pPr>
              <w:pStyle w:val="48"/>
              <w:spacing w:beforeLines="0" w:afterLines="0" w:line="240" w:lineRule="auto"/>
              <w:jc w:val="both"/>
              <w:rPr>
                <w:rFonts w:hint="default" w:ascii="Times New Roman" w:hAnsi="Times New Roman" w:cs="Times New Roman"/>
                <w:color w:val="FF0000"/>
                <w:sz w:val="24"/>
                <w:szCs w:val="24"/>
                <w:highlight w:val="none"/>
              </w:rPr>
            </w:pPr>
            <w:r>
              <w:rPr>
                <w:rFonts w:hint="eastAsia" w:ascii="Times New Roman" w:hAnsi="Times New Roman" w:eastAsia="宋体" w:cs="Times New Roman"/>
                <w:color w:val="FF0000"/>
                <w:sz w:val="24"/>
                <w:szCs w:val="24"/>
                <w:highlight w:val="none"/>
                <w:lang w:val="en-US" w:eastAsia="zh-CN"/>
              </w:rPr>
              <w:t>第三十八条 进行矿藏开采和工程建设，应当不占或者少占草原；确需征收、征用或者使用草原的，必须经省级以上人民政府草原行政主管部门审核同意后，依照有关土地管理的法律、行政法规办理建设用地审批手续。</w:t>
            </w:r>
          </w:p>
        </w:tc>
        <w:tc>
          <w:tcPr>
            <w:tcW w:w="1186" w:type="pct"/>
            <w:vMerge w:val="restart"/>
            <w:tcBorders>
              <w:top w:val="single" w:color="auto" w:sz="4" w:space="0"/>
              <w:left w:val="single" w:color="auto" w:sz="4" w:space="0"/>
              <w:right w:val="single" w:color="auto" w:sz="4" w:space="0"/>
              <w:tl2br w:val="nil"/>
              <w:tr2bl w:val="nil"/>
            </w:tcBorders>
            <w:noWrap w:val="0"/>
            <w:vAlign w:val="center"/>
          </w:tcPr>
          <w:p w14:paraId="7839A3F9">
            <w:pPr>
              <w:pStyle w:val="48"/>
              <w:spacing w:beforeLines="0" w:afterLines="0" w:line="240" w:lineRule="auto"/>
              <w:jc w:val="both"/>
              <w:rPr>
                <w:rFonts w:hint="default" w:ascii="Times New Roman" w:hAnsi="Times New Roman" w:eastAsia="宋体" w:cs="Times New Roman"/>
                <w:color w:val="FF0000"/>
                <w:sz w:val="24"/>
                <w:szCs w:val="24"/>
                <w:highlight w:val="none"/>
                <w:lang w:val="en-US" w:eastAsia="zh-CN"/>
              </w:rPr>
            </w:pPr>
            <w:r>
              <w:rPr>
                <w:rFonts w:hint="eastAsia" w:ascii="Times New Roman" w:hAnsi="Times New Roman" w:eastAsia="宋体" w:cs="Times New Roman"/>
                <w:color w:val="FF0000"/>
                <w:sz w:val="24"/>
                <w:szCs w:val="24"/>
                <w:highlight w:val="none"/>
                <w:lang w:val="en-US" w:eastAsia="zh-CN"/>
              </w:rPr>
              <w:t>本项目矿区占用</w:t>
            </w:r>
            <w:r>
              <w:rPr>
                <w:rFonts w:hint="eastAsia" w:ascii="Times New Roman" w:hAnsi="Times New Roman" w:cs="Times New Roman"/>
                <w:color w:val="FF0000"/>
                <w:sz w:val="24"/>
                <w:szCs w:val="24"/>
                <w:highlight w:val="none"/>
                <w:lang w:val="en-US" w:eastAsia="zh-CN"/>
              </w:rPr>
              <w:t>天然牧草地</w:t>
            </w:r>
            <w:r>
              <w:rPr>
                <w:rFonts w:hint="eastAsia" w:ascii="Times New Roman" w:hAnsi="Times New Roman" w:eastAsia="宋体" w:cs="Times New Roman"/>
                <w:color w:val="FF0000"/>
                <w:sz w:val="24"/>
                <w:szCs w:val="24"/>
                <w:highlight w:val="none"/>
                <w:lang w:val="en-US" w:eastAsia="zh-CN"/>
              </w:rPr>
              <w:t>，已取得采矿证，正在办理草原征占手续，并按照《中华人民共和国土地管理法》的规定给予补偿。</w:t>
            </w:r>
          </w:p>
        </w:tc>
        <w:tc>
          <w:tcPr>
            <w:tcW w:w="548" w:type="pct"/>
            <w:vMerge w:val="restart"/>
            <w:tcBorders>
              <w:top w:val="single" w:color="auto" w:sz="4" w:space="0"/>
              <w:left w:val="single" w:color="auto" w:sz="4" w:space="0"/>
              <w:right w:val="single" w:color="auto" w:sz="4" w:space="0"/>
              <w:tl2br w:val="nil"/>
              <w:tr2bl w:val="nil"/>
            </w:tcBorders>
            <w:noWrap w:val="0"/>
            <w:vAlign w:val="center"/>
          </w:tcPr>
          <w:p w14:paraId="2B8D3BB8">
            <w:pPr>
              <w:pStyle w:val="48"/>
              <w:spacing w:beforeLines="0" w:afterLines="0" w:line="240" w:lineRule="auto"/>
              <w:jc w:val="center"/>
              <w:rPr>
                <w:rFonts w:hint="eastAsia" w:ascii="Times New Roman" w:hAnsi="Times New Roman" w:eastAsia="宋体" w:cs="Times New Roman"/>
                <w:color w:val="FF0000"/>
                <w:sz w:val="24"/>
                <w:szCs w:val="24"/>
                <w:highlight w:val="none"/>
                <w:lang w:val="en-US" w:eastAsia="zh-CN"/>
              </w:rPr>
            </w:pPr>
            <w:r>
              <w:rPr>
                <w:rFonts w:hint="eastAsia" w:ascii="Times New Roman" w:hAnsi="Times New Roman" w:cs="Times New Roman"/>
                <w:color w:val="FF0000"/>
                <w:sz w:val="24"/>
                <w:szCs w:val="24"/>
                <w:highlight w:val="none"/>
                <w:lang w:val="en-US" w:eastAsia="zh-CN"/>
              </w:rPr>
              <w:t>符合</w:t>
            </w:r>
          </w:p>
        </w:tc>
      </w:tr>
      <w:tr w14:paraId="2FEFB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9258A7C">
            <w:pPr>
              <w:pStyle w:val="48"/>
              <w:spacing w:beforeLines="0" w:afterLines="0" w:line="240" w:lineRule="auto"/>
              <w:jc w:val="both"/>
              <w:rPr>
                <w:rFonts w:hint="eastAsia" w:ascii="Times New Roman" w:hAnsi="Times New Roman" w:eastAsia="宋体" w:cs="Times New Roman"/>
                <w:color w:val="FF0000"/>
                <w:sz w:val="24"/>
                <w:szCs w:val="24"/>
                <w:highlight w:val="none"/>
                <w:lang w:val="en-US" w:eastAsia="zh-CN"/>
              </w:rPr>
            </w:pPr>
            <w:r>
              <w:rPr>
                <w:rFonts w:hint="eastAsia" w:ascii="Times New Roman" w:hAnsi="Times New Roman" w:eastAsia="宋体" w:cs="Times New Roman"/>
                <w:color w:val="FF0000"/>
                <w:sz w:val="24"/>
                <w:szCs w:val="24"/>
                <w:highlight w:val="none"/>
                <w:lang w:val="en-US" w:eastAsia="zh-CN"/>
              </w:rPr>
              <w:t>第三十九条 因建设征收、征用集体所有的草原的，应当依照《中华人民共和国土地管理法》的规定给予补偿；因建设使用国家所有的草原的，应当依照国务院有关规定对草原承包经营者给予补偿。</w:t>
            </w:r>
          </w:p>
          <w:p w14:paraId="0F2B88CF">
            <w:pPr>
              <w:pStyle w:val="48"/>
              <w:spacing w:beforeLines="0" w:afterLines="0" w:line="240" w:lineRule="auto"/>
              <w:jc w:val="both"/>
              <w:rPr>
                <w:rFonts w:hint="default" w:ascii="Times New Roman" w:hAnsi="Times New Roman" w:eastAsia="宋体" w:cs="Times New Roman"/>
                <w:color w:val="FF0000"/>
                <w:sz w:val="24"/>
                <w:szCs w:val="24"/>
                <w:highlight w:val="none"/>
                <w:lang w:val="en-US" w:eastAsia="zh-CN"/>
              </w:rPr>
            </w:pPr>
            <w:r>
              <w:rPr>
                <w:rFonts w:hint="eastAsia" w:ascii="Times New Roman" w:hAnsi="Times New Roman" w:eastAsia="宋体" w:cs="Times New Roman"/>
                <w:color w:val="FF0000"/>
                <w:sz w:val="24"/>
                <w:szCs w:val="24"/>
                <w:highlight w:val="none"/>
                <w:lang w:val="en-US" w:eastAsia="zh-CN"/>
              </w:rPr>
              <w:t>因建设征收、征用或者使用草原的，应当交纳草原植被恢复费。</w:t>
            </w:r>
          </w:p>
        </w:tc>
        <w:tc>
          <w:tcPr>
            <w:tcW w:w="1186" w:type="pct"/>
            <w:vMerge w:val="continue"/>
            <w:tcBorders>
              <w:left w:val="single" w:color="auto" w:sz="4" w:space="0"/>
              <w:right w:val="single" w:color="auto" w:sz="4" w:space="0"/>
              <w:tl2br w:val="nil"/>
              <w:tr2bl w:val="nil"/>
            </w:tcBorders>
            <w:noWrap w:val="0"/>
            <w:vAlign w:val="center"/>
          </w:tcPr>
          <w:p w14:paraId="1BDCC6F0">
            <w:pPr>
              <w:pStyle w:val="48"/>
              <w:spacing w:beforeLines="0" w:afterLines="0" w:line="240" w:lineRule="auto"/>
              <w:jc w:val="both"/>
              <w:rPr>
                <w:rFonts w:hint="default" w:ascii="Times New Roman" w:hAnsi="Times New Roman" w:eastAsia="宋体" w:cs="Times New Roman"/>
                <w:color w:val="FF0000"/>
                <w:sz w:val="24"/>
                <w:szCs w:val="24"/>
                <w:highlight w:val="green"/>
                <w:lang w:val="en-US" w:eastAsia="zh-CN"/>
              </w:rPr>
            </w:pPr>
          </w:p>
        </w:tc>
        <w:tc>
          <w:tcPr>
            <w:tcW w:w="548" w:type="pct"/>
            <w:vMerge w:val="continue"/>
            <w:tcBorders>
              <w:left w:val="single" w:color="auto" w:sz="4" w:space="0"/>
              <w:right w:val="single" w:color="auto" w:sz="4" w:space="0"/>
              <w:tl2br w:val="nil"/>
              <w:tr2bl w:val="nil"/>
            </w:tcBorders>
            <w:noWrap w:val="0"/>
            <w:vAlign w:val="center"/>
          </w:tcPr>
          <w:p w14:paraId="62C16054">
            <w:pPr>
              <w:pStyle w:val="48"/>
              <w:spacing w:beforeLines="0" w:afterLines="0" w:line="240" w:lineRule="auto"/>
              <w:jc w:val="both"/>
              <w:rPr>
                <w:rFonts w:hint="default" w:ascii="Times New Roman" w:hAnsi="Times New Roman" w:cs="Times New Roman"/>
                <w:color w:val="FF0000"/>
                <w:sz w:val="24"/>
                <w:szCs w:val="24"/>
                <w:highlight w:val="none"/>
              </w:rPr>
            </w:pPr>
          </w:p>
        </w:tc>
      </w:tr>
      <w:tr w14:paraId="1B125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919ACDB">
            <w:pPr>
              <w:pStyle w:val="48"/>
              <w:spacing w:beforeLines="0" w:afterLines="0" w:line="240" w:lineRule="auto"/>
              <w:jc w:val="both"/>
              <w:rPr>
                <w:rFonts w:hint="eastAsia" w:ascii="Times New Roman" w:hAnsi="Times New Roman" w:eastAsia="宋体" w:cs="Times New Roman"/>
                <w:color w:val="FF0000"/>
                <w:sz w:val="24"/>
                <w:szCs w:val="24"/>
                <w:highlight w:val="none"/>
                <w:lang w:val="en-US" w:eastAsia="zh-CN"/>
              </w:rPr>
            </w:pPr>
            <w:r>
              <w:rPr>
                <w:rFonts w:hint="eastAsia" w:ascii="Times New Roman" w:hAnsi="Times New Roman" w:eastAsia="宋体" w:cs="Times New Roman"/>
                <w:color w:val="FF0000"/>
                <w:sz w:val="24"/>
                <w:szCs w:val="24"/>
                <w:highlight w:val="none"/>
                <w:lang w:val="en-US" w:eastAsia="zh-CN"/>
              </w:rPr>
              <w:t>第五十条 在草原上从事采土、采砂、采石等作业活动，应当报县级人民政府草原行政主管部门批准；开采矿产资源的，并应当依法办理有关手续。</w:t>
            </w:r>
          </w:p>
        </w:tc>
        <w:tc>
          <w:tcPr>
            <w:tcW w:w="1186" w:type="pct"/>
            <w:vMerge w:val="continue"/>
            <w:tcBorders>
              <w:left w:val="single" w:color="auto" w:sz="4" w:space="0"/>
              <w:bottom w:val="single" w:color="auto" w:sz="4" w:space="0"/>
              <w:right w:val="single" w:color="auto" w:sz="4" w:space="0"/>
              <w:tl2br w:val="nil"/>
              <w:tr2bl w:val="nil"/>
            </w:tcBorders>
            <w:noWrap w:val="0"/>
            <w:vAlign w:val="center"/>
          </w:tcPr>
          <w:p w14:paraId="57247D84">
            <w:pPr>
              <w:pStyle w:val="48"/>
              <w:spacing w:beforeLines="0" w:afterLines="0" w:line="240" w:lineRule="auto"/>
              <w:jc w:val="both"/>
              <w:rPr>
                <w:rFonts w:hint="default" w:ascii="Times New Roman" w:hAnsi="Times New Roman" w:eastAsia="宋体" w:cs="Times New Roman"/>
                <w:color w:val="FF0000"/>
                <w:sz w:val="24"/>
                <w:szCs w:val="24"/>
                <w:highlight w:val="green"/>
                <w:lang w:val="en-US" w:eastAsia="zh-CN"/>
              </w:rPr>
            </w:pPr>
          </w:p>
        </w:tc>
        <w:tc>
          <w:tcPr>
            <w:tcW w:w="548" w:type="pct"/>
            <w:vMerge w:val="continue"/>
            <w:tcBorders>
              <w:left w:val="single" w:color="auto" w:sz="4" w:space="0"/>
              <w:bottom w:val="single" w:color="auto" w:sz="4" w:space="0"/>
              <w:right w:val="single" w:color="auto" w:sz="4" w:space="0"/>
              <w:tl2br w:val="nil"/>
              <w:tr2bl w:val="nil"/>
            </w:tcBorders>
            <w:noWrap w:val="0"/>
            <w:vAlign w:val="center"/>
          </w:tcPr>
          <w:p w14:paraId="7BD56214">
            <w:pPr>
              <w:pStyle w:val="48"/>
              <w:spacing w:beforeLines="0" w:afterLines="0" w:line="240" w:lineRule="auto"/>
              <w:jc w:val="both"/>
              <w:rPr>
                <w:rFonts w:hint="default" w:ascii="Times New Roman" w:hAnsi="Times New Roman" w:cs="Times New Roman"/>
                <w:color w:val="FF0000"/>
                <w:sz w:val="24"/>
                <w:szCs w:val="24"/>
                <w:highlight w:val="none"/>
              </w:rPr>
            </w:pPr>
          </w:p>
        </w:tc>
      </w:tr>
    </w:tbl>
    <w:p w14:paraId="2F9525FA">
      <w:pPr>
        <w:pStyle w:val="5"/>
        <w:bidi w:val="0"/>
        <w:rPr>
          <w:rFonts w:hint="default"/>
        </w:rPr>
      </w:pPr>
      <w:r>
        <w:rPr>
          <w:rFonts w:hint="default"/>
        </w:rPr>
        <w:t>与《全国生态功能区划（修编版）》的符合性分析</w:t>
      </w:r>
    </w:p>
    <w:p w14:paraId="0CE3C039">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根据《全国生态功能区划（修编版）</w:t>
      </w:r>
      <w:r>
        <w:rPr>
          <w:rFonts w:hint="default" w:ascii="Times New Roman" w:hAnsi="Times New Roman" w:cs="Times New Roman"/>
          <w:color w:val="auto"/>
          <w:sz w:val="24"/>
          <w:szCs w:val="24"/>
          <w:highlight w:val="none"/>
          <w:lang w:val="en-US" w:eastAsia="zh-CN"/>
        </w:rPr>
        <w:t>》（公告2015年第61号）</w:t>
      </w:r>
      <w:r>
        <w:rPr>
          <w:rFonts w:hint="default" w:ascii="Times New Roman" w:hAnsi="Times New Roman" w:cs="Times New Roman"/>
          <w:color w:val="auto"/>
          <w:sz w:val="24"/>
          <w:szCs w:val="24"/>
          <w:highlight w:val="none"/>
        </w:rPr>
        <w:t>，项目所在区域属准噶尔盆地东部生物多样性保护与防风固沙重要区，为全国重要生态功能区。</w:t>
      </w:r>
    </w:p>
    <w:p w14:paraId="214F2E9E">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准噶尔盆地东部生物多样性保护与防风固沙重要区位于新疆北部，阿尔泰山与天山之间，包含1个功能区：准噶尔盆地东部生物多样性保护与防风固沙功能区。东部属砾石戈壁，中部属卡拉麦里山，西部属沙漠，行政区涉及新疆的昌吉和阿勒泰，面积为30.876平方公里。该生态功能区是我国西北最重要的荒漠生态系统和荒漠有蹄类野生动物保护区，国家一级保护动物主要有蒙古野驴、金雕、玉带海雕、大鸨、小鸨等。植被以梭梭、白梭梭荒漠植被为主，该区同时具有防风固沙重要生态功能。</w:t>
      </w:r>
    </w:p>
    <w:p w14:paraId="1B951C96">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主要生态问题：该区以荒漠植被为主，生态环境非常脆弱，一旦遭到人为破坏就很难恢复。生态保护主要措施：加强自然保护区的建设，加大保护力度；改善灌溉基础设施，发展节水农业，控制种植高耗水作物，提高水资源利用效益；加强煤炭、油、气资源开发利用管理，实现资源开发与荒漠生态保护的双赢。</w:t>
      </w:r>
    </w:p>
    <w:p w14:paraId="72C56A33">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本项目为非金属矿开采项目，项目施工期及运营期占用土地将改变原有的土地利用类型，但在闭</w:t>
      </w:r>
      <w:r>
        <w:rPr>
          <w:rFonts w:hint="default" w:ascii="Times New Roman" w:hAnsi="Times New Roman" w:cs="Times New Roman"/>
          <w:color w:val="auto"/>
          <w:sz w:val="24"/>
          <w:szCs w:val="24"/>
          <w:highlight w:val="none"/>
          <w:lang w:val="en-US" w:eastAsia="zh-CN"/>
        </w:rPr>
        <w:t>矿</w:t>
      </w:r>
      <w:r>
        <w:rPr>
          <w:rFonts w:hint="default" w:ascii="Times New Roman" w:hAnsi="Times New Roman" w:cs="Times New Roman"/>
          <w:color w:val="auto"/>
          <w:sz w:val="24"/>
          <w:szCs w:val="24"/>
          <w:highlight w:val="none"/>
        </w:rPr>
        <w:t>期随着矿区的生态恢复和重建，占地将基本恢复，这种影响将随之消失；本项目在生产活动中，采矿、装卸及运输过程中，会</w:t>
      </w:r>
      <w:r>
        <w:rPr>
          <w:rFonts w:hint="default" w:ascii="Times New Roman" w:hAnsi="Times New Roman" w:cs="Times New Roman"/>
          <w:color w:val="auto"/>
          <w:sz w:val="24"/>
          <w:szCs w:val="24"/>
          <w:highlight w:val="none"/>
          <w:lang w:val="en-US" w:eastAsia="zh-CN"/>
        </w:rPr>
        <w:t>造成</w:t>
      </w:r>
      <w:r>
        <w:rPr>
          <w:rFonts w:hint="default" w:ascii="Times New Roman" w:hAnsi="Times New Roman" w:cs="Times New Roman"/>
          <w:color w:val="auto"/>
          <w:sz w:val="24"/>
          <w:szCs w:val="24"/>
          <w:highlight w:val="none"/>
        </w:rPr>
        <w:t>粉尘污染、破坏地表植被、加剧水土流失等，必然会对区域环境造成影响，本次评价要求针对露天开采扬尘配套采用移动式雾炮机降尘、分区分片开采等措施处理；运输扬尘通过采取苫布遮盖密闭运输</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控制运输车辆行驶速度及装载量，减少物料转运环节，缩短物料运输距离，严禁在大风及暴雨天气进行物料采装、运输等措施；筛分粉尘采用“集气罩+布袋除尘器”除尘，处理后经15m排气筒排放；堆场扬尘采取定期洒水，同时堆场底部采用土袋围挡，上部采用</w:t>
      </w:r>
      <w:r>
        <w:rPr>
          <w:rFonts w:hint="default" w:ascii="Times New Roman" w:hAnsi="Times New Roman" w:cs="Times New Roman"/>
          <w:color w:val="auto"/>
          <w:sz w:val="24"/>
          <w:szCs w:val="24"/>
          <w:highlight w:val="none"/>
          <w:lang w:val="en-US" w:eastAsia="zh-CN"/>
        </w:rPr>
        <w:t>篷布</w:t>
      </w:r>
      <w:r>
        <w:rPr>
          <w:rFonts w:hint="default" w:ascii="Times New Roman" w:hAnsi="Times New Roman" w:cs="Times New Roman"/>
          <w:color w:val="auto"/>
          <w:sz w:val="24"/>
          <w:szCs w:val="24"/>
          <w:highlight w:val="none"/>
        </w:rPr>
        <w:t>遮盖；生产废水经沉淀后循环利用，生活污水经</w:t>
      </w:r>
      <w:r>
        <w:rPr>
          <w:rFonts w:hint="default" w:ascii="Times New Roman" w:hAnsi="Times New Roman" w:cs="Times New Roman"/>
          <w:color w:val="auto"/>
          <w:sz w:val="24"/>
          <w:szCs w:val="24"/>
          <w:highlight w:val="none"/>
          <w:lang w:val="en-US" w:eastAsia="zh-CN"/>
        </w:rPr>
        <w:t>地埋式</w:t>
      </w:r>
      <w:r>
        <w:rPr>
          <w:rFonts w:hint="default" w:ascii="Times New Roman" w:hAnsi="Times New Roman" w:cs="Times New Roman"/>
          <w:color w:val="auto"/>
          <w:sz w:val="24"/>
          <w:szCs w:val="24"/>
          <w:highlight w:val="none"/>
        </w:rPr>
        <w:t>一体化污水处理设施处理后回用于厂区抑尘，废水均不外排，以提高水资源利用效益</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生产固废在排土场临时堆放，采取边开采边回填措施，生活垃圾集中堆放，统一清运至当地生活垃圾填埋场处理</w:t>
      </w:r>
      <w:r>
        <w:rPr>
          <w:rFonts w:hint="default" w:ascii="Times New Roman" w:hAnsi="Times New Roman" w:cs="Times New Roman"/>
          <w:color w:val="auto"/>
          <w:sz w:val="24"/>
          <w:szCs w:val="24"/>
          <w:highlight w:val="none"/>
        </w:rPr>
        <w:t>。在采取各项生态保护措施的前提下，项目建设不会超出生态承载力，对区域生态影响可接受，符合《全国生态功能区划（修编版）》的相关要求。</w:t>
      </w:r>
    </w:p>
    <w:p w14:paraId="0839707E">
      <w:pPr>
        <w:pStyle w:val="5"/>
        <w:bidi w:val="0"/>
        <w:rPr>
          <w:rFonts w:hint="default"/>
        </w:rPr>
      </w:pPr>
      <w:bookmarkStart w:id="28" w:name="1.4.3.2与《新疆维吾尔自治区主体功能区规划》的符合性分析"/>
      <w:bookmarkEnd w:id="28"/>
      <w:r>
        <w:rPr>
          <w:rFonts w:hint="default"/>
        </w:rPr>
        <w:t>与《新疆维吾尔自治区主体功能区规划》的符合性分析</w:t>
      </w:r>
    </w:p>
    <w:p w14:paraId="2B5063F8">
      <w:pPr>
        <w:pStyle w:val="14"/>
        <w:kinsoku w:val="0"/>
        <w:overflowPunct w:val="0"/>
        <w:spacing w:beforeLines="0" w:afterLines="0"/>
        <w:ind w:left="0"/>
        <w:rPr>
          <w:rFonts w:hint="default" w:ascii="Times New Roman" w:hAnsi="Times New Roman" w:eastAsia="Calibri" w:cs="Times New Roman"/>
          <w:color w:val="auto"/>
          <w:sz w:val="20"/>
          <w:szCs w:val="24"/>
          <w:highlight w:val="none"/>
        </w:rPr>
      </w:pPr>
      <w:r>
        <w:rPr>
          <w:rFonts w:hint="default" w:ascii="Times New Roman" w:hAnsi="Times New Roman" w:cs="Times New Roman"/>
          <w:color w:val="auto"/>
          <w:sz w:val="24"/>
          <w:szCs w:val="24"/>
          <w:highlight w:val="none"/>
          <w:lang w:val="en-US" w:eastAsia="zh-CN"/>
        </w:rPr>
        <w:t>根据</w:t>
      </w:r>
      <w:r>
        <w:rPr>
          <w:rFonts w:hint="default" w:ascii="Times New Roman" w:hAnsi="Times New Roman" w:cs="Times New Roman"/>
          <w:color w:val="auto"/>
          <w:sz w:val="24"/>
          <w:szCs w:val="24"/>
          <w:highlight w:val="none"/>
        </w:rPr>
        <w:t>《新疆维吾尔自治区主体功能区规划》：</w:t>
      </w:r>
    </w:p>
    <w:p w14:paraId="2B80D0CE">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新疆重点开发区域包括：国家层面重点开发区域主要指天山北坡城市或城区以及县市城关镇和重要工业园区，涉及23个县市；自治区层面重点开发区域主要指内点状分布的承载绿洲经济发展的县市城关镇和重要工业园区，涉及36个县市。</w:t>
      </w:r>
    </w:p>
    <w:p w14:paraId="6F081AB3">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本项目为石英砂矿采选工程，项目区行政区划隶属阜康市管辖，属于国家层面重点开发区域——阜康市。天山北坡地区是《全国主体功能区规划》确定的国家层面重点开发区域。</w:t>
      </w:r>
    </w:p>
    <w:p w14:paraId="7123D423">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该区域位于全国“两横三纵”城市化战略格局中陆桥通道的西端，涉及23个县市，包括本项目所在区域阜康市。</w:t>
      </w:r>
    </w:p>
    <w:p w14:paraId="7C1C5479">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综合评价：重点开发区域要结合环境容量，实行严格的污染物排放总量控制指标，加强清洁生产审核，推进危险废物规范化管理，较大幅度减少污染物排放量；要按照国内先进水平，根据环境容量逐步提高产业准入环境标准；要注重从源头上控制污染，建设项目要加强环境影响评价和环境风险防范，要将主要污染物排放总量控制指标作为环评审批的前置条件，开发区和重化工集中地区要按照发展循环经济的要求进行规划、建设和改造；要合理开发和科学配置水资源，厉行节水，限制排入河湖的污染物总量，保护好水资源和水环境。</w:t>
      </w:r>
    </w:p>
    <w:p w14:paraId="579C25BE">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本项目须严格执行污染物排放总量控制指标，较大幅度减少污染物排放量；项目运营过程中将采取废气、废水、噪声</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固废</w:t>
      </w:r>
      <w:r>
        <w:rPr>
          <w:rFonts w:hint="default" w:ascii="Times New Roman" w:hAnsi="Times New Roman" w:cs="Times New Roman"/>
          <w:color w:val="auto"/>
          <w:sz w:val="24"/>
          <w:szCs w:val="24"/>
          <w:highlight w:val="none"/>
        </w:rPr>
        <w:t>等污染控制措施；项目目前正按要求开展环境影响评价工作，向地方生态环境主管部门申请总量控制指标。综上，本项目符合《新疆维吾尔自治区主体功能区规划》中的相关要求。</w:t>
      </w:r>
    </w:p>
    <w:p w14:paraId="3EF9EA4A">
      <w:pPr>
        <w:pStyle w:val="5"/>
        <w:bidi w:val="0"/>
        <w:rPr>
          <w:rFonts w:hint="default"/>
        </w:rPr>
      </w:pPr>
      <w:bookmarkStart w:id="29" w:name="1.4.3.3与《新疆维吾尔自治区国民经济和社会发展第十四个五年规划和2035年远景目标纲要》的符合"/>
      <w:bookmarkEnd w:id="29"/>
      <w:bookmarkStart w:id="30" w:name="1.4.3.4与《新疆生态环境保护“十四五”规划》的符合性"/>
      <w:bookmarkEnd w:id="30"/>
      <w:r>
        <w:rPr>
          <w:rFonts w:hint="default"/>
        </w:rPr>
        <w:t>与《新疆生态环境保护“十四五”规划》的符合性</w:t>
      </w:r>
    </w:p>
    <w:p w14:paraId="317B27D1">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新疆生态环境保护“十四五”规划》第三章第一节“完善绿色发展机制”中规定：“实施最严格的生态保护制度。坚决遏制‘两高’项目盲目发展，严格执行能源、矿产资源开发自治区人民政府‘一支笔’审批制度、环境保护‘一票否决’制度，落实‘三线一单’生态环境分区管控要求，守住生态保护红线、环境质量底线和资源利用上线，实施生态环境准入清单管控”、“全面推进绿色矿山建设，规范绿色矿山第三方评估，推广矿产资源节约与综合利用先进技术”。</w:t>
      </w:r>
    </w:p>
    <w:p w14:paraId="30ED15E1">
      <w:pPr>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rPr>
        <w:t>本项目不在生态保护红线区内，符合“三线一单”生态环境分区管控要求。本项目属于非金属矿开采项目，不属于高耗能、高排放的“两高”项目，本项目符合“三线一单”生态环境分区管控要求，</w:t>
      </w:r>
      <w:r>
        <w:rPr>
          <w:rFonts w:hint="default" w:ascii="Times New Roman" w:hAnsi="Times New Roman" w:cs="Times New Roman"/>
          <w:color w:val="auto"/>
          <w:sz w:val="24"/>
          <w:szCs w:val="24"/>
          <w:highlight w:val="none"/>
          <w:lang w:val="en-US" w:eastAsia="zh-CN"/>
        </w:rPr>
        <w:t>矿山建设按照</w:t>
      </w:r>
      <w:r>
        <w:rPr>
          <w:rFonts w:hint="default" w:ascii="Times New Roman" w:hAnsi="Times New Roman" w:cs="Times New Roman"/>
          <w:color w:val="auto"/>
          <w:sz w:val="24"/>
          <w:szCs w:val="24"/>
          <w:highlight w:val="none"/>
        </w:rPr>
        <w:t>《非金属矿行业绿色矿山建设规范》（DZ/T 0312-2018）</w:t>
      </w:r>
      <w:r>
        <w:rPr>
          <w:rFonts w:hint="default" w:ascii="Times New Roman" w:hAnsi="Times New Roman" w:cs="Times New Roman"/>
          <w:color w:val="auto"/>
          <w:sz w:val="24"/>
          <w:szCs w:val="24"/>
          <w:highlight w:val="none"/>
          <w:lang w:val="en-US" w:eastAsia="zh-CN"/>
        </w:rPr>
        <w:t>要求进行建设，符合《新疆生态环境保护“十四五”规划》。</w:t>
      </w:r>
    </w:p>
    <w:p w14:paraId="64DF7FFF">
      <w:pPr>
        <w:pStyle w:val="5"/>
        <w:bidi w:val="0"/>
        <w:rPr>
          <w:rFonts w:hint="default"/>
        </w:rPr>
      </w:pPr>
      <w:bookmarkStart w:id="31" w:name="1.4.3.5与《新疆维吾尔自治区矿产资源总体规划（2021-2025年）》的符合性分析"/>
      <w:bookmarkEnd w:id="31"/>
      <w:bookmarkStart w:id="32" w:name="1.4.3.6与《新疆维吾尔自治区矿产资源总体规划（2021-2025年）环境影响报告书》的符合性分"/>
      <w:bookmarkEnd w:id="32"/>
      <w:r>
        <w:rPr>
          <w:rFonts w:hint="default"/>
        </w:rPr>
        <w:t>与《</w:t>
      </w:r>
      <w:r>
        <w:t>昌吉回族自治州生态环境保护与建设“十四五”规划</w:t>
      </w:r>
      <w:r>
        <w:rPr>
          <w:rFonts w:hint="default"/>
        </w:rPr>
        <w:t>》的符合性</w:t>
      </w:r>
    </w:p>
    <w:p w14:paraId="2D5E5C97">
      <w:pPr>
        <w:pStyle w:val="5"/>
        <w:numPr>
          <w:ilvl w:val="3"/>
          <w:numId w:val="0"/>
        </w:numPr>
        <w:bidi w:val="0"/>
        <w:spacing w:line="240" w:lineRule="auto"/>
        <w:ind w:left="-1" w:leftChars="0"/>
        <w:jc w:val="center"/>
        <w:rPr>
          <w:rFonts w:hint="default" w:eastAsia="宋体"/>
          <w:lang w:val="en-US" w:eastAsia="zh-CN"/>
        </w:rPr>
      </w:pPr>
      <w:r>
        <w:rPr>
          <w:rFonts w:hint="eastAsia"/>
          <w:lang w:val="en-US" w:eastAsia="zh-CN"/>
        </w:rPr>
        <w:t xml:space="preserve">表1.4-5   </w:t>
      </w:r>
      <w:r>
        <w:rPr>
          <w:rFonts w:hint="default"/>
        </w:rPr>
        <w:t>与《</w:t>
      </w:r>
      <w:r>
        <w:t>昌吉回族自治州生态环境保护与建设“十四五”规划</w:t>
      </w:r>
      <w:r>
        <w:rPr>
          <w:rFonts w:hint="default"/>
        </w:rPr>
        <w:t>》的符合性</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88"/>
        <w:gridCol w:w="3476"/>
        <w:gridCol w:w="1018"/>
      </w:tblGrid>
      <w:tr w14:paraId="449E5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1310FBC">
            <w:pPr>
              <w:pStyle w:val="48"/>
              <w:spacing w:beforeLines="0" w:afterLines="0" w:line="240" w:lineRule="auto"/>
              <w:jc w:val="center"/>
              <w:rPr>
                <w:rFonts w:hint="default" w:ascii="Times New Roman" w:hAnsi="Times New Roman" w:cs="Times New Roman"/>
                <w:color w:val="FF0000"/>
                <w:sz w:val="24"/>
                <w:szCs w:val="24"/>
                <w:highlight w:val="none"/>
                <w:lang w:val="en-US" w:eastAsia="zh-CN"/>
              </w:rPr>
            </w:pPr>
            <w:r>
              <w:rPr>
                <w:rFonts w:hint="default" w:ascii="Times New Roman" w:hAnsi="Times New Roman" w:cs="Times New Roman"/>
                <w:color w:val="FF0000"/>
                <w:sz w:val="24"/>
                <w:szCs w:val="24"/>
                <w:highlight w:val="none"/>
                <w:lang w:val="en-US" w:eastAsia="zh-CN"/>
              </w:rPr>
              <w:t>相关条款</w:t>
            </w:r>
          </w:p>
        </w:tc>
        <w:tc>
          <w:tcPr>
            <w:tcW w:w="187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257FF5F">
            <w:pPr>
              <w:pStyle w:val="48"/>
              <w:spacing w:beforeLines="0" w:afterLines="0" w:line="240" w:lineRule="auto"/>
              <w:jc w:val="center"/>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w:t>
            </w:r>
          </w:p>
        </w:tc>
        <w:tc>
          <w:tcPr>
            <w:tcW w:w="54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20D1EB1">
            <w:pPr>
              <w:pStyle w:val="48"/>
              <w:spacing w:beforeLines="0" w:afterLines="0" w:line="240" w:lineRule="auto"/>
              <w:jc w:val="center"/>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符合性</w:t>
            </w:r>
          </w:p>
        </w:tc>
      </w:tr>
      <w:tr w14:paraId="0CBD1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AA71B74">
            <w:pPr>
              <w:numPr>
                <w:ilvl w:val="0"/>
                <w:numId w:val="3"/>
              </w:numPr>
              <w:spacing w:line="240" w:lineRule="auto"/>
              <w:rPr>
                <w:rFonts w:ascii="宋体" w:hAnsi="宋体" w:eastAsia="宋体" w:cs="宋体"/>
                <w:color w:val="FF0000"/>
                <w:sz w:val="24"/>
                <w:szCs w:val="24"/>
              </w:rPr>
            </w:pPr>
            <w:r>
              <w:rPr>
                <w:rFonts w:ascii="宋体" w:hAnsi="宋体" w:eastAsia="宋体" w:cs="宋体"/>
                <w:color w:val="FF0000"/>
                <w:sz w:val="24"/>
                <w:szCs w:val="24"/>
              </w:rPr>
              <w:t>加强结构优化调整，推进经济社会绿色转型发展</w:t>
            </w:r>
          </w:p>
          <w:p w14:paraId="7A99BCB7">
            <w:pPr>
              <w:numPr>
                <w:ilvl w:val="0"/>
                <w:numId w:val="4"/>
              </w:numPr>
              <w:spacing w:line="240" w:lineRule="auto"/>
              <w:ind w:firstLine="480" w:firstLineChars="200"/>
              <w:rPr>
                <w:rFonts w:hint="default" w:ascii="Times New Roman" w:hAnsi="Times New Roman" w:cs="Times New Roman"/>
                <w:color w:val="FF0000"/>
                <w:sz w:val="24"/>
                <w:szCs w:val="24"/>
                <w:highlight w:val="none"/>
              </w:rPr>
            </w:pPr>
            <w:r>
              <w:rPr>
                <w:rFonts w:ascii="宋体" w:hAnsi="宋体" w:eastAsia="宋体" w:cs="宋体"/>
                <w:color w:val="FF0000"/>
                <w:sz w:val="24"/>
                <w:szCs w:val="24"/>
              </w:rPr>
              <w:t>优化调整产业结构。严格执行国家产业政策，依法依规淘汰落后产能，推动水泥、电解铝、石化、焦化、铸造等重点行业绿色转型。加快发展现代煤化工、新材料、有色金属、煤炭、煤电、</w:t>
            </w:r>
            <w:r>
              <w:rPr>
                <w:rFonts w:ascii="宋体" w:hAnsi="宋体" w:eastAsia="宋体" w:cs="宋体"/>
                <w:b/>
                <w:bCs/>
                <w:color w:val="FF0000"/>
                <w:sz w:val="24"/>
                <w:szCs w:val="24"/>
              </w:rPr>
              <w:t>矿产开采及加工等优势产业，</w:t>
            </w:r>
            <w:r>
              <w:rPr>
                <w:rFonts w:ascii="宋体" w:hAnsi="宋体" w:eastAsia="宋体" w:cs="宋体"/>
                <w:color w:val="FF0000"/>
                <w:sz w:val="24"/>
                <w:szCs w:val="24"/>
              </w:rPr>
              <w:t>培育壮大先进装备制造、页岩油气加工、节能环保、新型建材、新能源等新兴产业和生产性服务业。发展循环型工业，着力推进准东开发区、高新区、阜康市、玛纳斯县特色产业园区循环化改造，推进能源梯级利用、废物交换利用、土地节约集约利用，构建循环工业体系。到2025年，力争100%国家级工业园区、30%自治区级工业园区实施循环化改造。</w:t>
            </w:r>
          </w:p>
        </w:tc>
        <w:tc>
          <w:tcPr>
            <w:tcW w:w="187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B6DE024">
            <w:pPr>
              <w:pStyle w:val="48"/>
              <w:spacing w:beforeLines="0" w:afterLines="0" w:line="240" w:lineRule="auto"/>
              <w:jc w:val="both"/>
              <w:rPr>
                <w:rFonts w:hint="default" w:ascii="Times New Roman" w:hAnsi="Times New Roman" w:eastAsia="宋体" w:cs="Times New Roman"/>
                <w:color w:val="FF0000"/>
                <w:sz w:val="24"/>
                <w:szCs w:val="24"/>
                <w:highlight w:val="none"/>
                <w:lang w:val="en-US" w:eastAsia="zh-CN"/>
              </w:rPr>
            </w:pPr>
            <w:r>
              <w:rPr>
                <w:rFonts w:hint="eastAsia" w:ascii="Times New Roman" w:hAnsi="Times New Roman" w:cs="Times New Roman"/>
                <w:color w:val="FF0000"/>
                <w:sz w:val="24"/>
                <w:szCs w:val="24"/>
                <w:highlight w:val="none"/>
                <w:lang w:val="en-US" w:eastAsia="zh-CN"/>
              </w:rPr>
              <w:t>本项目为石英砂矿采矿以及加工项目，符合产业结构调整要求。</w:t>
            </w:r>
          </w:p>
        </w:tc>
        <w:tc>
          <w:tcPr>
            <w:tcW w:w="54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38FBE25">
            <w:pPr>
              <w:pStyle w:val="48"/>
              <w:spacing w:beforeLines="0" w:afterLines="0" w:line="240" w:lineRule="auto"/>
              <w:jc w:val="both"/>
              <w:rPr>
                <w:rFonts w:hint="eastAsia" w:ascii="Times New Roman" w:hAnsi="Times New Roman" w:eastAsia="宋体" w:cs="Times New Roman"/>
                <w:color w:val="FF0000"/>
                <w:sz w:val="24"/>
                <w:szCs w:val="24"/>
                <w:highlight w:val="none"/>
                <w:lang w:val="en-US" w:eastAsia="zh-CN"/>
              </w:rPr>
            </w:pPr>
            <w:r>
              <w:rPr>
                <w:rFonts w:hint="eastAsia" w:ascii="Times New Roman" w:hAnsi="Times New Roman" w:cs="Times New Roman"/>
                <w:color w:val="FF0000"/>
                <w:sz w:val="24"/>
                <w:szCs w:val="24"/>
                <w:highlight w:val="none"/>
                <w:lang w:val="en-US" w:eastAsia="zh-CN"/>
              </w:rPr>
              <w:t>符合</w:t>
            </w:r>
          </w:p>
        </w:tc>
      </w:tr>
      <w:tr w14:paraId="0B44A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1B75F41">
            <w:pPr>
              <w:pStyle w:val="35"/>
              <w:widowControl w:val="0"/>
              <w:numPr>
                <w:ilvl w:val="0"/>
                <w:numId w:val="5"/>
              </w:numPr>
              <w:autoSpaceDE w:val="0"/>
              <w:autoSpaceDN w:val="0"/>
              <w:adjustRightInd w:val="0"/>
              <w:spacing w:line="240" w:lineRule="auto"/>
              <w:jc w:val="both"/>
              <w:rPr>
                <w:rFonts w:ascii="宋体" w:hAnsi="宋体" w:eastAsia="宋体" w:cs="宋体"/>
                <w:color w:val="FF0000"/>
                <w:sz w:val="24"/>
                <w:szCs w:val="24"/>
              </w:rPr>
            </w:pPr>
            <w:r>
              <w:rPr>
                <w:rFonts w:ascii="宋体" w:hAnsi="宋体" w:eastAsia="宋体" w:cs="宋体"/>
                <w:color w:val="FF0000"/>
                <w:sz w:val="24"/>
                <w:szCs w:val="24"/>
              </w:rPr>
              <w:t>落实分类管理要求，继续实施土壤污染防治行动</w:t>
            </w:r>
          </w:p>
          <w:p w14:paraId="0AE6C42C">
            <w:pPr>
              <w:pStyle w:val="48"/>
              <w:spacing w:beforeLines="0" w:afterLines="0" w:line="240" w:lineRule="auto"/>
              <w:jc w:val="both"/>
              <w:rPr>
                <w:rFonts w:hint="default" w:ascii="Times New Roman" w:hAnsi="Times New Roman" w:cs="Times New Roman"/>
                <w:color w:val="FF0000"/>
                <w:sz w:val="24"/>
                <w:szCs w:val="24"/>
                <w:highlight w:val="none"/>
                <w:lang w:eastAsia="zh-CN"/>
              </w:rPr>
            </w:pPr>
            <w:r>
              <w:rPr>
                <w:rFonts w:ascii="宋体" w:hAnsi="宋体" w:eastAsia="宋体" w:cs="宋体"/>
                <w:color w:val="FF0000"/>
                <w:sz w:val="24"/>
                <w:szCs w:val="24"/>
              </w:rPr>
              <w:t>1. 整体推进土壤污染源头治理。聚焦冶炼、化工、焦化、危险废物处置等重点行业企业，严格涉重金属行业污染物排放，开展视频监控监测监管。持续推进耕地周边重金属行业企业排查整治，动态更新污染源排查整治清单。综合应用卫星遥感、无人机和现场踏勘等方式，全面排查矿区无序堆积的历史遗留废物。根据排查结果及污染风险，制定整治方案，分阶段治理，逐步消除存量，降低矿区废物污染灌溉用水风险。切实加强尾矿库安全管理，开展问题尾矿库整治，制定综合整治方案，逐步消除隐患。</w:t>
            </w:r>
            <w:r>
              <w:rPr>
                <w:rFonts w:ascii="宋体" w:hAnsi="宋体" w:eastAsia="宋体" w:cs="宋体"/>
                <w:b/>
                <w:bCs/>
                <w:color w:val="FF0000"/>
                <w:sz w:val="24"/>
                <w:szCs w:val="24"/>
              </w:rPr>
              <w:t>督促矿山企业依法编制矿山地质环境保护与</w:t>
            </w:r>
            <w:r>
              <w:rPr>
                <w:rFonts w:hint="eastAsia" w:ascii="宋体" w:hAnsi="宋体" w:eastAsia="宋体" w:cs="宋体"/>
                <w:b/>
                <w:bCs/>
                <w:color w:val="FF0000"/>
                <w:sz w:val="24"/>
                <w:szCs w:val="24"/>
                <w:lang w:val="en-US" w:eastAsia="zh-CN"/>
              </w:rPr>
              <w:t>土</w:t>
            </w:r>
            <w:r>
              <w:rPr>
                <w:rFonts w:ascii="宋体" w:hAnsi="宋体" w:eastAsia="宋体" w:cs="宋体"/>
                <w:b/>
                <w:bCs/>
                <w:color w:val="FF0000"/>
                <w:sz w:val="24"/>
                <w:szCs w:val="24"/>
              </w:rPr>
              <w:t>地复垦方案，完善和落实水土环境污染修复工程措施，切实防治土壤污染。全面推进绿色矿山建设。</w:t>
            </w:r>
            <w:r>
              <w:rPr>
                <w:rFonts w:ascii="宋体" w:hAnsi="宋体" w:eastAsia="宋体" w:cs="宋体"/>
                <w:color w:val="FF0000"/>
                <w:sz w:val="24"/>
                <w:szCs w:val="24"/>
              </w:rPr>
              <w:t>废弃矿山综合整治和生态修复，要因地制宜管控矿区污染土壤环境风险，重点保障农业生产和生活用水安全，鼓励采取自然恢复措施。建立土壤生态环境长期观测研究基地，开展土壤污染、大气重金属沉降、灌33溉用水、肥料等农业投入品重金属等监测。</w:t>
            </w:r>
          </w:p>
        </w:tc>
        <w:tc>
          <w:tcPr>
            <w:tcW w:w="187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3A40DA4">
            <w:pPr>
              <w:pStyle w:val="48"/>
              <w:spacing w:beforeLines="0" w:afterLines="0" w:line="240" w:lineRule="auto"/>
              <w:jc w:val="both"/>
              <w:rPr>
                <w:rFonts w:hint="eastAsia" w:ascii="Times New Roman" w:hAnsi="Times New Roman" w:eastAsia="宋体" w:cs="Times New Roman"/>
                <w:color w:val="FF0000"/>
                <w:sz w:val="24"/>
                <w:szCs w:val="24"/>
                <w:highlight w:val="none"/>
                <w:lang w:eastAsia="zh-CN"/>
              </w:rPr>
            </w:pPr>
            <w:r>
              <w:rPr>
                <w:rFonts w:hint="eastAsia" w:ascii="Times New Roman" w:hAnsi="Times New Roman" w:eastAsia="宋体" w:cs="Times New Roman"/>
                <w:color w:val="FF0000"/>
                <w:sz w:val="24"/>
                <w:szCs w:val="24"/>
                <w:highlight w:val="none"/>
                <w:lang w:eastAsia="zh-CN"/>
              </w:rPr>
              <w:t>2025年1月17日，由新疆博轩矿业有限公司编制、新疆采虹矿业投资有限公司提交的《新疆采虹矿业投资有限公司新疆阜康市北部沙漠天然石英砂矿(压裂用)外围矿产资源开发利用与生态保护修复方案》送交新疆地矿局第十一地质大队组织评审，</w:t>
            </w:r>
            <w:r>
              <w:rPr>
                <w:rFonts w:hint="eastAsia" w:ascii="Times New Roman" w:hAnsi="Times New Roman" w:eastAsia="宋体" w:cs="Times New Roman"/>
                <w:color w:val="FF0000"/>
                <w:sz w:val="24"/>
                <w:szCs w:val="24"/>
                <w:highlight w:val="none"/>
                <w:lang w:val="en-US" w:eastAsia="zh-CN"/>
              </w:rPr>
              <w:t>并取得评审意见书（昌州审(2025)45号）</w:t>
            </w:r>
            <w:r>
              <w:rPr>
                <w:rFonts w:hint="eastAsia" w:ascii="Times New Roman" w:hAnsi="Times New Roman" w:eastAsia="宋体" w:cs="Times New Roman"/>
                <w:color w:val="FF0000"/>
                <w:sz w:val="24"/>
                <w:szCs w:val="24"/>
                <w:highlight w:val="none"/>
                <w:lang w:eastAsia="zh-CN"/>
              </w:rPr>
              <w:t>。</w:t>
            </w:r>
          </w:p>
          <w:p w14:paraId="69544152">
            <w:pPr>
              <w:pStyle w:val="48"/>
              <w:spacing w:beforeLines="0" w:afterLines="0" w:line="240" w:lineRule="auto"/>
              <w:jc w:val="both"/>
              <w:rPr>
                <w:rFonts w:hint="default" w:ascii="Times New Roman" w:hAnsi="Times New Roman" w:eastAsia="宋体" w:cs="Times New Roman"/>
                <w:color w:val="FF0000"/>
                <w:sz w:val="24"/>
                <w:szCs w:val="24"/>
                <w:highlight w:val="none"/>
                <w:lang w:val="en-US" w:eastAsia="zh-CN"/>
              </w:rPr>
            </w:pPr>
            <w:r>
              <w:rPr>
                <w:rFonts w:hint="eastAsia" w:ascii="Times New Roman" w:hAnsi="Times New Roman" w:cs="Times New Roman"/>
                <w:color w:val="FF0000"/>
                <w:sz w:val="24"/>
                <w:szCs w:val="24"/>
                <w:highlight w:val="none"/>
                <w:lang w:val="en-US" w:eastAsia="zh-CN"/>
              </w:rPr>
              <w:t>本</w:t>
            </w:r>
            <w:r>
              <w:rPr>
                <w:rFonts w:hint="default" w:ascii="Times New Roman" w:hAnsi="Times New Roman" w:eastAsia="宋体" w:cs="Times New Roman"/>
                <w:color w:val="FF0000"/>
                <w:sz w:val="24"/>
                <w:szCs w:val="24"/>
                <w:highlight w:val="none"/>
                <w:lang w:val="en-US" w:eastAsia="zh-CN"/>
              </w:rPr>
              <w:t>矿山建设按照</w:t>
            </w:r>
            <w:r>
              <w:rPr>
                <w:rFonts w:hint="default" w:ascii="Times New Roman" w:hAnsi="Times New Roman" w:cs="Times New Roman"/>
                <w:color w:val="FF0000"/>
                <w:sz w:val="24"/>
                <w:szCs w:val="24"/>
                <w:highlight w:val="none"/>
              </w:rPr>
              <w:t>《非金属矿行业绿色矿山建设规范》（DZ/T 0312-2018）</w:t>
            </w:r>
            <w:r>
              <w:rPr>
                <w:rFonts w:hint="default" w:ascii="Times New Roman" w:hAnsi="Times New Roman" w:cs="Times New Roman"/>
                <w:color w:val="FF0000"/>
                <w:sz w:val="24"/>
                <w:szCs w:val="24"/>
                <w:highlight w:val="none"/>
                <w:lang w:val="en-US" w:eastAsia="zh-CN"/>
              </w:rPr>
              <w:t>要求进行建设。</w:t>
            </w:r>
          </w:p>
        </w:tc>
        <w:tc>
          <w:tcPr>
            <w:tcW w:w="54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4AEBAB5">
            <w:pPr>
              <w:pStyle w:val="48"/>
              <w:spacing w:beforeLines="0" w:afterLines="0" w:line="240" w:lineRule="auto"/>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符合</w:t>
            </w:r>
          </w:p>
        </w:tc>
      </w:tr>
      <w:tr w14:paraId="4D404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DFAFCF0">
            <w:pPr>
              <w:numPr>
                <w:ilvl w:val="0"/>
                <w:numId w:val="6"/>
              </w:numPr>
              <w:spacing w:line="240" w:lineRule="auto"/>
              <w:rPr>
                <w:rFonts w:ascii="宋体" w:hAnsi="宋体" w:eastAsia="宋体" w:cs="宋体"/>
                <w:color w:val="FF0000"/>
                <w:sz w:val="24"/>
                <w:szCs w:val="24"/>
              </w:rPr>
            </w:pPr>
            <w:r>
              <w:rPr>
                <w:rFonts w:ascii="宋体" w:hAnsi="宋体" w:eastAsia="宋体" w:cs="宋体"/>
                <w:color w:val="FF0000"/>
                <w:sz w:val="24"/>
                <w:szCs w:val="24"/>
              </w:rPr>
              <w:t>加强生态保护修复，促进自然生态系统整体改善</w:t>
            </w:r>
          </w:p>
          <w:p w14:paraId="086F6E79">
            <w:pPr>
              <w:pStyle w:val="35"/>
              <w:spacing w:line="240" w:lineRule="auto"/>
              <w:rPr>
                <w:rFonts w:hint="default" w:ascii="Times New Roman" w:hAnsi="Times New Roman" w:cs="Times New Roman"/>
                <w:color w:val="FF0000"/>
                <w:sz w:val="24"/>
                <w:szCs w:val="24"/>
                <w:highlight w:val="none"/>
              </w:rPr>
            </w:pPr>
            <w:r>
              <w:rPr>
                <w:rFonts w:ascii="宋体" w:hAnsi="宋体" w:eastAsia="宋体" w:cs="宋体"/>
                <w:color w:val="FF0000"/>
                <w:sz w:val="24"/>
                <w:szCs w:val="24"/>
              </w:rPr>
              <w:t>6.强化矿山整治修复。遵循“谁破坏、谁修复、边开采边治理”的原则，加强矿山生态环境修复治理。针对矿区矿产资源开发利用造成的地质环境破坏和土地损毁等问题，按照国土空间用途管制要求，围绕地貌重塑、土壤重构、植被重建、景观再现、生物多样性重组，采取有效工程措施，统筹推进历史遗留矿山和生产矿山的生态保护修复，恢复和提升矿区生态功能，实现资源可持续利用。</w:t>
            </w:r>
            <w:r>
              <w:rPr>
                <w:rFonts w:ascii="宋体" w:hAnsi="宋体" w:eastAsia="宋体" w:cs="宋体"/>
                <w:b/>
                <w:bCs/>
                <w:color w:val="FF0000"/>
                <w:sz w:val="24"/>
                <w:szCs w:val="24"/>
              </w:rPr>
              <w:t>对于生产矿山，坚持源头严控、过程严管、末端修复，要将矿产资源开发、地质环境恢复治理与土地复垦利用统一规划、统一设计、同步实施。</w:t>
            </w:r>
            <w:r>
              <w:rPr>
                <w:rFonts w:ascii="宋体" w:hAnsi="宋体" w:eastAsia="宋体" w:cs="宋体"/>
                <w:color w:val="FF0000"/>
                <w:sz w:val="24"/>
                <w:szCs w:val="24"/>
              </w:rPr>
              <w:t>加快建设绿色矿山，做好煤矿关闭退出后矿山环境治理和生态修复工作。对责任主体灭失的露天矿山，要加强生态修复、绿化、减尘抑尘；加强 矸石山治理，重点推进硫磺沟矿区、阜康南部矿区、呼图壁南部矿区、奇台花岗岩矿区等生态修复项目建设。</w:t>
            </w:r>
          </w:p>
        </w:tc>
        <w:tc>
          <w:tcPr>
            <w:tcW w:w="187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57017FD">
            <w:pPr>
              <w:pStyle w:val="48"/>
              <w:spacing w:beforeLines="0" w:afterLines="0"/>
              <w:jc w:val="both"/>
              <w:rPr>
                <w:rFonts w:hint="eastAsia" w:ascii="Times New Roman" w:hAnsi="Times New Roman" w:cs="Times New Roman"/>
                <w:color w:val="FF0000"/>
                <w:sz w:val="24"/>
                <w:szCs w:val="24"/>
                <w:highlight w:val="none"/>
                <w:lang w:val="en-US" w:eastAsia="zh-CN"/>
              </w:rPr>
            </w:pPr>
            <w:r>
              <w:rPr>
                <w:rFonts w:hint="eastAsia" w:ascii="Times New Roman" w:hAnsi="Times New Roman" w:cs="Times New Roman"/>
                <w:color w:val="FF0000"/>
                <w:sz w:val="24"/>
                <w:szCs w:val="24"/>
                <w:highlight w:val="none"/>
                <w:lang w:val="en-US" w:eastAsia="zh-CN"/>
              </w:rPr>
              <w:t>本</w:t>
            </w:r>
            <w:r>
              <w:rPr>
                <w:rFonts w:hint="default" w:ascii="Times New Roman" w:hAnsi="Times New Roman" w:eastAsia="宋体" w:cs="Times New Roman"/>
                <w:color w:val="FF0000"/>
                <w:sz w:val="24"/>
                <w:szCs w:val="24"/>
                <w:highlight w:val="none"/>
                <w:lang w:val="en-US" w:eastAsia="zh-CN"/>
              </w:rPr>
              <w:t>矿山建设按照</w:t>
            </w:r>
            <w:r>
              <w:rPr>
                <w:rFonts w:hint="default" w:ascii="Times New Roman" w:hAnsi="Times New Roman" w:cs="Times New Roman"/>
                <w:color w:val="FF0000"/>
                <w:sz w:val="24"/>
                <w:szCs w:val="24"/>
                <w:highlight w:val="none"/>
              </w:rPr>
              <w:t>《非金属矿行业绿色矿山建设规范》（DZ/T 0312-2018）</w:t>
            </w:r>
            <w:r>
              <w:rPr>
                <w:rFonts w:hint="default" w:ascii="Times New Roman" w:hAnsi="Times New Roman" w:cs="Times New Roman"/>
                <w:color w:val="FF0000"/>
                <w:sz w:val="24"/>
                <w:szCs w:val="24"/>
                <w:highlight w:val="none"/>
                <w:lang w:val="en-US" w:eastAsia="zh-CN"/>
              </w:rPr>
              <w:t>要求进行建设。</w:t>
            </w:r>
            <w:r>
              <w:rPr>
                <w:rFonts w:hint="eastAsia" w:ascii="Times New Roman" w:hAnsi="Times New Roman" w:cs="Times New Roman"/>
                <w:color w:val="FF0000"/>
                <w:sz w:val="24"/>
                <w:szCs w:val="24"/>
                <w:highlight w:val="none"/>
                <w:lang w:val="en-US" w:eastAsia="zh-CN"/>
              </w:rPr>
              <w:t>采矿环节采取了边开采，边降尘措施，开采方式采用</w:t>
            </w:r>
            <w:r>
              <w:rPr>
                <w:rFonts w:hint="default" w:ascii="Times New Roman" w:hAnsi="Times New Roman" w:cs="Times New Roman"/>
                <w:color w:val="FF0000"/>
                <w:sz w:val="24"/>
                <w:szCs w:val="24"/>
                <w:highlight w:val="none"/>
              </w:rPr>
              <w:t>自上而下水平分层、台阶式采矿方法</w:t>
            </w:r>
            <w:r>
              <w:rPr>
                <w:rFonts w:hint="eastAsia" w:ascii="Times New Roman" w:hAnsi="Times New Roman" w:cs="Times New Roman"/>
                <w:color w:val="FF0000"/>
                <w:sz w:val="24"/>
                <w:szCs w:val="24"/>
                <w:highlight w:val="none"/>
                <w:lang w:eastAsia="zh-CN"/>
              </w:rPr>
              <w:t>。</w:t>
            </w:r>
            <w:r>
              <w:rPr>
                <w:rFonts w:hint="eastAsia" w:ascii="Times New Roman" w:hAnsi="Times New Roman" w:cs="Times New Roman"/>
                <w:color w:val="FF0000"/>
                <w:sz w:val="24"/>
                <w:szCs w:val="24"/>
                <w:highlight w:val="none"/>
                <w:lang w:val="en-US" w:eastAsia="zh-CN"/>
              </w:rPr>
              <w:t>采矿回采率97%。</w:t>
            </w:r>
          </w:p>
          <w:p w14:paraId="77C7FF19">
            <w:pPr>
              <w:pStyle w:val="48"/>
              <w:spacing w:beforeLines="0" w:afterLines="0" w:line="240" w:lineRule="auto"/>
              <w:jc w:val="both"/>
              <w:rPr>
                <w:rFonts w:hint="default" w:ascii="Times New Roman" w:hAnsi="Times New Roman" w:cs="Times New Roman"/>
                <w:color w:val="FF0000"/>
                <w:sz w:val="24"/>
                <w:szCs w:val="24"/>
                <w:highlight w:val="none"/>
                <w:lang w:val="en-US" w:eastAsia="zh-CN"/>
              </w:rPr>
            </w:pPr>
            <w:r>
              <w:rPr>
                <w:rFonts w:hint="eastAsia" w:ascii="Times New Roman" w:hAnsi="Times New Roman" w:cs="Times New Roman"/>
                <w:color w:val="FF0000"/>
                <w:sz w:val="24"/>
                <w:szCs w:val="24"/>
                <w:highlight w:val="none"/>
                <w:lang w:val="en-US" w:eastAsia="zh-CN"/>
              </w:rPr>
              <w:t>矿石在加工筛分环节的</w:t>
            </w:r>
            <w:r>
              <w:rPr>
                <w:rFonts w:hint="default" w:ascii="Times New Roman" w:hAnsi="Times New Roman" w:cs="Times New Roman"/>
                <w:color w:val="FF0000"/>
                <w:sz w:val="24"/>
                <w:szCs w:val="24"/>
                <w:highlight w:val="none"/>
              </w:rPr>
              <w:t>粉尘采用“集气罩+布袋除尘器”除尘，处理后经15m排气筒</w:t>
            </w:r>
            <w:r>
              <w:rPr>
                <w:rFonts w:hint="default" w:ascii="Times New Roman" w:hAnsi="Times New Roman" w:cs="Times New Roman"/>
                <w:color w:val="FF0000"/>
                <w:sz w:val="24"/>
                <w:szCs w:val="24"/>
                <w:highlight w:val="none"/>
                <w:lang w:val="en-US" w:eastAsia="zh-CN"/>
              </w:rPr>
              <w:t>（DA001）</w:t>
            </w:r>
            <w:r>
              <w:rPr>
                <w:rFonts w:hint="default" w:ascii="Times New Roman" w:hAnsi="Times New Roman" w:cs="Times New Roman"/>
                <w:color w:val="FF0000"/>
                <w:sz w:val="24"/>
                <w:szCs w:val="24"/>
                <w:highlight w:val="none"/>
              </w:rPr>
              <w:t>排放</w:t>
            </w:r>
            <w:r>
              <w:rPr>
                <w:rFonts w:hint="eastAsia" w:ascii="Times New Roman" w:hAnsi="Times New Roman" w:cs="Times New Roman"/>
                <w:color w:val="FF0000"/>
                <w:sz w:val="24"/>
                <w:szCs w:val="24"/>
                <w:highlight w:val="none"/>
                <w:lang w:eastAsia="zh-CN"/>
              </w:rPr>
              <w:t>。</w:t>
            </w:r>
            <w:r>
              <w:rPr>
                <w:rFonts w:hint="default" w:ascii="Times New Roman" w:hAnsi="Times New Roman" w:eastAsia="宋体" w:cs="Times New Roman"/>
                <w:color w:val="00B050"/>
                <w:lang w:val="en-US" w:eastAsia="zh-CN"/>
              </w:rPr>
              <w:t>烘干</w:t>
            </w:r>
            <w:r>
              <w:rPr>
                <w:rFonts w:hint="eastAsia" w:ascii="Times New Roman" w:hAnsi="Times New Roman" w:cs="Times New Roman"/>
                <w:color w:val="00B050"/>
                <w:lang w:val="en-US" w:eastAsia="zh-CN"/>
              </w:rPr>
              <w:t>工序产生的粉尘</w:t>
            </w:r>
            <w:r>
              <w:rPr>
                <w:rFonts w:hint="default" w:ascii="Times New Roman" w:hAnsi="Times New Roman" w:eastAsia="宋体" w:cs="Times New Roman"/>
                <w:color w:val="00B050"/>
                <w:lang w:val="en-US" w:eastAsia="zh-CN"/>
              </w:rPr>
              <w:t>采取布袋除尘器除尘后，</w:t>
            </w:r>
            <w:r>
              <w:rPr>
                <w:rFonts w:hint="default" w:ascii="Times New Roman" w:hAnsi="Times New Roman" w:cs="Times New Roman"/>
                <w:color w:val="FF0000"/>
                <w:sz w:val="24"/>
                <w:szCs w:val="24"/>
                <w:highlight w:val="none"/>
                <w:lang w:val="en-US" w:eastAsia="zh-CN"/>
              </w:rPr>
              <w:t>通过15m高排气筒（DA002）排放。</w:t>
            </w:r>
            <w:r>
              <w:rPr>
                <w:rFonts w:hint="eastAsia" w:ascii="Times New Roman" w:hAnsi="Times New Roman" w:cs="Times New Roman"/>
                <w:color w:val="FF0000"/>
                <w:sz w:val="24"/>
                <w:szCs w:val="24"/>
                <w:highlight w:val="none"/>
                <w:lang w:val="en-US" w:eastAsia="zh-CN"/>
              </w:rPr>
              <w:t>废水全部循环使用不外排。</w:t>
            </w:r>
          </w:p>
          <w:p w14:paraId="6CC2C5F6">
            <w:pPr>
              <w:pStyle w:val="48"/>
              <w:spacing w:beforeLines="0" w:afterLines="0" w:line="240" w:lineRule="auto"/>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FF0000"/>
                <w:sz w:val="24"/>
                <w:szCs w:val="24"/>
                <w:highlight w:val="none"/>
                <w:lang w:eastAsia="zh-CN"/>
              </w:rPr>
              <w:t>《新疆采虹矿业投资有限公司新疆阜康市北部沙漠天然石英砂矿(压裂用)外围矿产资源开发利用与生态保护修复方案》送交新疆地矿局第十一地质大队组织评审，</w:t>
            </w:r>
            <w:r>
              <w:rPr>
                <w:rFonts w:hint="eastAsia" w:ascii="Times New Roman" w:hAnsi="Times New Roman" w:eastAsia="宋体" w:cs="Times New Roman"/>
                <w:color w:val="FF0000"/>
                <w:sz w:val="24"/>
                <w:szCs w:val="24"/>
                <w:highlight w:val="none"/>
                <w:lang w:val="en-US" w:eastAsia="zh-CN"/>
              </w:rPr>
              <w:t>并取得评审意见书（昌州审(2025)45号）</w:t>
            </w:r>
            <w:r>
              <w:rPr>
                <w:rFonts w:hint="eastAsia" w:ascii="Times New Roman" w:hAnsi="Times New Roman" w:eastAsia="宋体" w:cs="Times New Roman"/>
                <w:color w:val="FF0000"/>
                <w:sz w:val="24"/>
                <w:szCs w:val="24"/>
                <w:highlight w:val="none"/>
                <w:lang w:eastAsia="zh-CN"/>
              </w:rPr>
              <w:t>。矿产资源开发、地质环境恢复治理与土地复垦利用统一规划、统一设计、同步实施。</w:t>
            </w:r>
          </w:p>
        </w:tc>
        <w:tc>
          <w:tcPr>
            <w:tcW w:w="54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72AB417">
            <w:pPr>
              <w:pStyle w:val="48"/>
              <w:spacing w:beforeLines="0" w:afterLines="0" w:line="240" w:lineRule="auto"/>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符合</w:t>
            </w:r>
          </w:p>
        </w:tc>
      </w:tr>
    </w:tbl>
    <w:p w14:paraId="2322E825">
      <w:pPr>
        <w:pStyle w:val="35"/>
        <w:numPr>
          <w:ilvl w:val="0"/>
          <w:numId w:val="0"/>
        </w:numPr>
        <w:rPr>
          <w:rFonts w:hint="default"/>
        </w:rPr>
      </w:pPr>
    </w:p>
    <w:p w14:paraId="34DAC9A0">
      <w:pPr>
        <w:pStyle w:val="5"/>
        <w:bidi w:val="0"/>
        <w:rPr>
          <w:rFonts w:hint="default"/>
        </w:rPr>
      </w:pPr>
      <w:r>
        <w:rPr>
          <w:rFonts w:hint="default"/>
        </w:rPr>
        <w:t>与《新疆维吾尔自治区矿产资源总体规划（2021-2025年）》的符合性分析</w:t>
      </w:r>
    </w:p>
    <w:p w14:paraId="28AE0AA6">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新疆维吾尔自治区矿产资源总体规划》（2021-2025年）中规定，依据矿产资源分布特点及勘查开发利用现状，按照“深化北疆东疆，加快南疆勘查开发”的总体思路，划分环准噶尔、环塔里木、阿尔泰、东准噶尔、西准噶尔、东天山、西天山、西南天山、西昆仑、东昆仑—阿尔金等“两环八带”十个勘查开发区。</w:t>
      </w:r>
    </w:p>
    <w:p w14:paraId="2DB166E0">
      <w:pPr>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rPr>
        <w:t>本项目位于阜康市</w:t>
      </w:r>
      <w:r>
        <w:rPr>
          <w:rFonts w:hint="default" w:ascii="Times New Roman" w:hAnsi="Times New Roman" w:cs="Times New Roman"/>
          <w:color w:val="auto"/>
          <w:sz w:val="24"/>
          <w:szCs w:val="24"/>
          <w:highlight w:val="none"/>
          <w:lang w:val="en-US" w:eastAsia="zh-CN"/>
        </w:rPr>
        <w:t>20</w:t>
      </w:r>
      <w:r>
        <w:rPr>
          <w:rFonts w:hint="default" w:ascii="Times New Roman" w:hAnsi="Times New Roman" w:cs="Times New Roman"/>
          <w:color w:val="auto"/>
          <w:sz w:val="24"/>
          <w:szCs w:val="24"/>
          <w:highlight w:val="none"/>
        </w:rPr>
        <w:t>方位，直线距离</w:t>
      </w:r>
      <w:r>
        <w:rPr>
          <w:rFonts w:hint="default" w:ascii="Times New Roman" w:hAnsi="Times New Roman" w:cs="Times New Roman"/>
          <w:color w:val="auto"/>
          <w:sz w:val="24"/>
          <w:szCs w:val="24"/>
          <w:highlight w:val="none"/>
          <w:lang w:val="en-US" w:eastAsia="zh-CN"/>
        </w:rPr>
        <w:t>60</w:t>
      </w:r>
      <w:r>
        <w:rPr>
          <w:rFonts w:hint="default" w:ascii="Times New Roman" w:hAnsi="Times New Roman" w:cs="Times New Roman"/>
          <w:color w:val="auto"/>
          <w:sz w:val="24"/>
          <w:szCs w:val="24"/>
          <w:highlight w:val="none"/>
        </w:rPr>
        <w:t>km处，属于</w:t>
      </w:r>
      <w:r>
        <w:rPr>
          <w:rFonts w:hint="default" w:ascii="Times New Roman" w:hAnsi="Times New Roman" w:cs="Times New Roman"/>
          <w:color w:val="auto"/>
          <w:sz w:val="24"/>
          <w:szCs w:val="24"/>
          <w:highlight w:val="none"/>
          <w:lang w:val="en-US" w:eastAsia="zh-CN"/>
        </w:rPr>
        <w:t>八带中的“东准噶尔能源矿产、贵金属勘查开发区”，根据规划：</w:t>
      </w:r>
    </w:p>
    <w:p w14:paraId="2B3C7D87">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（二）重要矿种勘查开发方向</w:t>
      </w:r>
    </w:p>
    <w:p w14:paraId="66109DB3">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落实国家能源资源安全战略，结合新疆实际，合理确定重点、限制、禁止勘查开采矿种。</w:t>
      </w:r>
    </w:p>
    <w:p w14:paraId="4823772F">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——重点勘查开采矿种：石油、天然气、页岩气、煤层气、煤、地热等能源矿产，铁、铬、锰、铜、镍、钴、铅锌、金、锂、铍、钒、钛等金属矿产，以及钾盐、萤石、硅质原料等非金属矿产。</w:t>
      </w:r>
    </w:p>
    <w:p w14:paraId="3BF7CB13">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限制开采矿种：砖瓦用粘土等矿产，严格控制钨、稀土等特定保护性开采矿产。“限粘”县市禁止新设砖瓦用粘土采矿权。限制开采矿种，除严格矿业权人准入条件外，应论证资源供需形势，对开采总量进行调控，同时严格资源环境承载力论证，保护环境。合理控制国家规定实行保护性开采的特定矿种开采强度。</w:t>
      </w:r>
    </w:p>
    <w:p w14:paraId="440B6FFB">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——禁止开采矿种：禁止开采砷和放射性等有毒有害物质超过规定标准的煤炭项目，砂铁、汞、可耕地砖瓦用粘土等矿产。除和田地区外其他地区禁止新设砂金开采项目，严格砂金开发项目环境影响评价。</w:t>
      </w:r>
    </w:p>
    <w:p w14:paraId="2FCADC48">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行政区划隶属于昌吉州阜康市管辖，天然石英砂属于非金属矿产，不属于限制和禁止开发矿种，项目建设不在禁止开发区域和限制开发区域，符合《新疆维吾尔自治区矿产资源总体规划》（2021-2025年）中相关要求。</w:t>
      </w:r>
    </w:p>
    <w:p w14:paraId="32756097">
      <w:pPr>
        <w:pStyle w:val="5"/>
        <w:bidi w:val="0"/>
        <w:rPr>
          <w:rFonts w:hint="default"/>
        </w:rPr>
      </w:pPr>
      <w:r>
        <w:rPr>
          <w:rFonts w:hint="default"/>
        </w:rPr>
        <w:t>与《新疆维吾尔自治区矿产资源总体规划（2021-2025年）环境影响报告书》</w:t>
      </w:r>
      <w:r>
        <w:rPr>
          <w:rFonts w:hint="default"/>
          <w:lang w:val="en-US" w:eastAsia="zh-CN"/>
        </w:rPr>
        <w:t>及审查意见</w:t>
      </w:r>
      <w:r>
        <w:rPr>
          <w:rFonts w:hint="default"/>
        </w:rPr>
        <w:t>的符合性分析</w:t>
      </w:r>
    </w:p>
    <w:p w14:paraId="2AEF4183">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本项目与《新疆维吾尔自治区矿产资源总体规划（2021-2025年）环境影响报告书》的符合性分析详见下表。</w:t>
      </w:r>
    </w:p>
    <w:p w14:paraId="6627239B">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表1.4-</w:t>
      </w:r>
      <w:r>
        <w:rPr>
          <w:rFonts w:hint="eastAsia" w:ascii="Times New Roman" w:hAnsi="Times New Roman" w:cs="Times New Roman"/>
          <w:color w:val="auto"/>
          <w:highlight w:val="none"/>
          <w:lang w:val="en-US" w:eastAsia="zh-CN"/>
        </w:rPr>
        <w:t>6</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t>与《新疆维吾尔自治区矿产资源总体规划（2021-2025年）环境影响报告书》</w:t>
      </w:r>
      <w:r>
        <w:rPr>
          <w:rFonts w:hint="default" w:ascii="Times New Roman" w:hAnsi="Times New Roman" w:cs="Times New Roman"/>
          <w:color w:val="auto"/>
          <w:highlight w:val="none"/>
          <w:lang w:val="en-US" w:eastAsia="zh-CN"/>
        </w:rPr>
        <w:t>及审查意见的</w:t>
      </w:r>
      <w:r>
        <w:rPr>
          <w:rFonts w:hint="default" w:ascii="Times New Roman" w:hAnsi="Times New Roman" w:cs="Times New Roman"/>
          <w:color w:val="auto"/>
          <w:highlight w:val="none"/>
        </w:rPr>
        <w:t>符合性一览表</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4"/>
        <w:gridCol w:w="4787"/>
        <w:gridCol w:w="2719"/>
        <w:gridCol w:w="456"/>
      </w:tblGrid>
      <w:tr w14:paraId="06EAB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023B202">
            <w:pPr>
              <w:pStyle w:val="48"/>
              <w:spacing w:beforeLines="0" w:afterLines="0"/>
              <w:jc w:val="center"/>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相关文件</w:t>
            </w:r>
          </w:p>
        </w:tc>
        <w:tc>
          <w:tcPr>
            <w:tcW w:w="791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775D031">
            <w:pPr>
              <w:pStyle w:val="48"/>
              <w:spacing w:beforeLines="0" w:afterLines="0"/>
              <w:jc w:val="center"/>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相关条款</w:t>
            </w:r>
          </w:p>
        </w:tc>
        <w:tc>
          <w:tcPr>
            <w:tcW w:w="431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47F2E98">
            <w:pPr>
              <w:pStyle w:val="48"/>
              <w:spacing w:beforeLines="0" w:afterLines="0"/>
              <w:jc w:val="center"/>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16897FA2">
            <w:pPr>
              <w:pStyle w:val="48"/>
              <w:spacing w:beforeLines="0" w:afterLines="0"/>
              <w:jc w:val="center"/>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符合性</w:t>
            </w:r>
          </w:p>
        </w:tc>
      </w:tr>
      <w:tr w14:paraId="2C224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330DECED">
            <w:pPr>
              <w:pStyle w:val="48"/>
              <w:spacing w:beforeLines="0" w:afterLines="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《新疆维吾尔自治区矿产资源总体规划（2021-2025年）环境影响报告书》</w:t>
            </w:r>
          </w:p>
        </w:tc>
        <w:tc>
          <w:tcPr>
            <w:tcW w:w="791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AE8F7B9">
            <w:pPr>
              <w:pStyle w:val="48"/>
              <w:spacing w:beforeLines="0" w:afterLines="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(1)自然保护区</w:t>
            </w: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rPr>
              <w:t>“三线一单”的颁布为生态环境提供了具体保护操作检查依据，规划实施应按着要求严格执行。生态环境保护红线范围内，不再规划新建矿山，已有矿山有序关停。随着红线区的调整变化，进入的矿山也应退出关停。</w:t>
            </w:r>
          </w:p>
        </w:tc>
        <w:tc>
          <w:tcPr>
            <w:tcW w:w="431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E6C6A83">
            <w:pPr>
              <w:pStyle w:val="48"/>
              <w:spacing w:beforeLines="0" w:afterLines="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本项目不涉及生态红线。</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4B03E412">
            <w:pPr>
              <w:pStyle w:val="48"/>
              <w:spacing w:beforeLines="0" w:afterLines="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符合</w:t>
            </w:r>
          </w:p>
        </w:tc>
      </w:tr>
      <w:tr w14:paraId="230C4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546A1C4A">
            <w:pPr>
              <w:pStyle w:val="48"/>
              <w:spacing w:beforeLines="0" w:afterLines="0"/>
              <w:jc w:val="both"/>
              <w:rPr>
                <w:rFonts w:hint="default" w:ascii="Times New Roman" w:hAnsi="Times New Roman" w:cs="Times New Roman"/>
                <w:color w:val="auto"/>
                <w:sz w:val="24"/>
                <w:szCs w:val="24"/>
                <w:highlight w:val="none"/>
              </w:rPr>
            </w:pPr>
          </w:p>
        </w:tc>
        <w:tc>
          <w:tcPr>
            <w:tcW w:w="791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CCD8909">
            <w:pPr>
              <w:pStyle w:val="48"/>
              <w:spacing w:beforeLines="0" w:afterLines="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大气污染防治措施1）规划实施过程中，必须严格遵守《大气污染防治行动计划》中环境保护要求。2）矿区所用车辆禁止使用黄标车，工程机械等采用尾气净化装置。3）推进能源梯级利用、水资源循环利用、废物交换利用、土地节约集约利用，促进企业循环式生产。4）规划区内燃煤锅炉排放需要执行大气污染物特别排放标准。5）严格控制粉尘排放③破碎筛分粉尘。破碎、筛分粉尘影响是矿山企业主要的粉尘影响，实施密封和安装袋式除尘装置，除尘装置处理能力为4000-12000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/h含尘废气，按初始含尘浓度100-200mg/m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，净化后排放浓度小于30mg/m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进行设计，皮带廊、给矿架头使用喷水控制，地面喷水防止粉尘二次飞扬。④运输扬尘。矿区运输道路防尘首先采取措施确保使道路平整、路况较好；并根据实际情况采取洒水抑尘措施，考虑是否洒水，同时汽车应在矿区低车速，减少道路起尘。</w:t>
            </w:r>
          </w:p>
        </w:tc>
        <w:tc>
          <w:tcPr>
            <w:tcW w:w="431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7EAE78B">
            <w:pPr>
              <w:pStyle w:val="48"/>
              <w:spacing w:beforeLines="0" w:afterLines="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本项目满足《大气污染防治行动计划》中环境保护要求；项目生产废水沉淀后循环利用、生活污水经一体化污水处理设施处理后回用于矿区洒水降尘；</w:t>
            </w:r>
            <w:r>
              <w:rPr>
                <w:rFonts w:hint="default" w:ascii="Times New Roman" w:hAnsi="Times New Roman" w:cs="Times New Roman"/>
                <w:color w:val="auto"/>
                <w:sz w:val="24"/>
                <w:szCs w:val="24"/>
                <w:highlight w:val="none"/>
                <w:lang w:val="en-US" w:eastAsia="zh-CN"/>
              </w:rPr>
              <w:t>项目区内采暖及生活区热水均采用电锅炉，不涉及燃煤锅炉；筛分粉尘设置在车间内，并采用集气装置及布袋除尘器处理后通过15m高排气筒排放，皮带廊进行封闭，车间地面定时洒水；运输扬尘采取道路洒水降尘，降低车速，物料覆盖等措施降低运输扬尘。</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21B00F86">
            <w:pPr>
              <w:pStyle w:val="48"/>
              <w:spacing w:beforeLines="0" w:afterLines="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符合</w:t>
            </w:r>
          </w:p>
        </w:tc>
      </w:tr>
      <w:tr w14:paraId="00ACC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179507D">
            <w:pPr>
              <w:pStyle w:val="48"/>
              <w:spacing w:beforeLines="0" w:afterLines="0"/>
              <w:jc w:val="both"/>
              <w:rPr>
                <w:rFonts w:hint="default" w:ascii="Times New Roman" w:hAnsi="Times New Roman" w:cs="Times New Roman"/>
                <w:color w:val="auto"/>
                <w:sz w:val="24"/>
                <w:szCs w:val="24"/>
                <w:highlight w:val="none"/>
              </w:rPr>
            </w:pPr>
          </w:p>
        </w:tc>
        <w:tc>
          <w:tcPr>
            <w:tcW w:w="791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A48C0FB">
            <w:pPr>
              <w:pStyle w:val="48"/>
              <w:spacing w:beforeLines="0" w:afterLines="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（4）排土场采取污染防治措施 1）排土场平台、边坡适时碾压，减少扰动。 2）排土场周边设洒水装置，及时洒水增湿，保证废石临时堆场表面废石保持一定的湿度，避免扬尘。 3）排土场周边及永久性平台应及时覆土，采取绿化措施，种植乔木、灌草，起到抑尘作用。</w:t>
            </w:r>
          </w:p>
        </w:tc>
        <w:tc>
          <w:tcPr>
            <w:tcW w:w="431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408FD85">
            <w:pPr>
              <w:pStyle w:val="48"/>
              <w:spacing w:beforeLines="0" w:afterLines="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本项目排土场主要接纳废土及废料，排土场采取定时洒水降尘，表面覆盖的方式降尘。本项目采取边开采，边复垦的方式减少废料堆存，最终在闭矿期时均回填采坑，撒草籽进行自然复绿。</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4FC615D1">
            <w:pPr>
              <w:pStyle w:val="48"/>
              <w:spacing w:beforeLines="0" w:afterLines="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符合</w:t>
            </w:r>
          </w:p>
        </w:tc>
      </w:tr>
      <w:tr w14:paraId="50290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60B578F0">
            <w:pPr>
              <w:pStyle w:val="48"/>
              <w:spacing w:beforeLines="0" w:afterLines="0"/>
              <w:jc w:val="both"/>
              <w:rPr>
                <w:rFonts w:hint="default" w:ascii="Times New Roman" w:hAnsi="Times New Roman" w:cs="Times New Roman"/>
                <w:color w:val="auto"/>
                <w:sz w:val="24"/>
                <w:szCs w:val="24"/>
                <w:highlight w:val="none"/>
              </w:rPr>
            </w:pPr>
          </w:p>
        </w:tc>
        <w:tc>
          <w:tcPr>
            <w:tcW w:w="791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F81C6B7">
            <w:pPr>
              <w:pStyle w:val="48"/>
              <w:spacing w:beforeLines="0" w:afterLines="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水污染防治建议：根据规划区矿产资源分布情况，各矿区分布较分散，需单独对除矿坑疏干水、选矿废水以外的其他工业废水进行处理，回用于露天采区洒水、道路洒水等，禁止直接排入区域内任何地表水体。以满足总体规划对含重金属废水回收利用的要求。根据矿区周边环境状况，矿区产生的生活污水主要采取收集后经三级化粪池处理后积肥或经小型地埋式污水处理设施处理达标后回用于道路浇洒或绿化。</w:t>
            </w:r>
          </w:p>
        </w:tc>
        <w:tc>
          <w:tcPr>
            <w:tcW w:w="431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69E36B4">
            <w:pPr>
              <w:pStyle w:val="48"/>
              <w:spacing w:beforeLines="0" w:afterLines="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w:t>
            </w:r>
            <w:r>
              <w:rPr>
                <w:rFonts w:hint="default" w:ascii="Times New Roman" w:hAnsi="Times New Roman" w:cs="Times New Roman"/>
                <w:color w:val="auto"/>
                <w:sz w:val="24"/>
                <w:szCs w:val="24"/>
                <w:highlight w:val="none"/>
                <w:lang w:val="en-US" w:eastAsia="zh-CN"/>
              </w:rPr>
              <w:t>周边无地表水体，</w:t>
            </w:r>
            <w:r>
              <w:rPr>
                <w:rFonts w:hint="default" w:ascii="Times New Roman" w:hAnsi="Times New Roman" w:cs="Times New Roman"/>
                <w:color w:val="auto"/>
                <w:sz w:val="24"/>
                <w:szCs w:val="24"/>
                <w:highlight w:val="none"/>
              </w:rPr>
              <w:t>生产废水主要为矿石冲洗废水，冲洗废水需经沉淀后循环利用；生活污水经一体化污水处理设施处理后回用于矿区洒水降尘；废水均不外排。</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772ACDB8">
            <w:pPr>
              <w:pStyle w:val="48"/>
              <w:spacing w:beforeLines="0" w:afterLines="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符合</w:t>
            </w:r>
          </w:p>
        </w:tc>
      </w:tr>
      <w:tr w14:paraId="595AC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3FFF1F95">
            <w:pPr>
              <w:pStyle w:val="48"/>
              <w:spacing w:beforeLines="0" w:afterLines="0"/>
              <w:jc w:val="both"/>
              <w:rPr>
                <w:rFonts w:hint="default" w:ascii="Times New Roman" w:hAnsi="Times New Roman" w:cs="Times New Roman"/>
                <w:color w:val="auto"/>
                <w:sz w:val="24"/>
                <w:szCs w:val="24"/>
                <w:highlight w:val="none"/>
              </w:rPr>
            </w:pPr>
          </w:p>
        </w:tc>
        <w:tc>
          <w:tcPr>
            <w:tcW w:w="791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EE76F6A">
            <w:pPr>
              <w:pStyle w:val="48"/>
              <w:spacing w:beforeLines="0" w:afterLines="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四、地下水环境影响减缓措施：对规划选矿厂区、工业场地区可能产生污染的地面进行防渗处理，并及时地将泄漏、渗漏的废水收集起来进行处理，可有效防治洒落地面的废水与潜在污染物渗入地下。</w:t>
            </w:r>
          </w:p>
        </w:tc>
        <w:tc>
          <w:tcPr>
            <w:tcW w:w="431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D1781A7">
            <w:pPr>
              <w:pStyle w:val="48"/>
              <w:spacing w:beforeLines="0" w:afterLines="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本项目针对工业场地可能产生污染的区域</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危废贮存点</w:t>
            </w:r>
            <w:r>
              <w:rPr>
                <w:rFonts w:hint="default" w:ascii="Times New Roman" w:hAnsi="Times New Roman" w:cs="Times New Roman"/>
                <w:color w:val="auto"/>
                <w:sz w:val="24"/>
                <w:szCs w:val="24"/>
                <w:highlight w:val="none"/>
              </w:rPr>
              <w:t>采取了防渗措施，且本项目地下水埋深较深，对地下水环境影响较小。</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7D8396F0">
            <w:pPr>
              <w:pStyle w:val="48"/>
              <w:spacing w:beforeLines="0" w:afterLines="0"/>
              <w:jc w:val="both"/>
              <w:rPr>
                <w:rFonts w:hint="default" w:ascii="Times New Roman" w:hAnsi="Times New Roman" w:cs="Times New Roman"/>
                <w:color w:val="auto"/>
                <w:sz w:val="24"/>
                <w:szCs w:val="24"/>
                <w:highlight w:val="none"/>
              </w:rPr>
            </w:pPr>
          </w:p>
        </w:tc>
      </w:tr>
      <w:tr w14:paraId="736FE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18DA0FBB">
            <w:pPr>
              <w:pStyle w:val="48"/>
              <w:spacing w:beforeLines="0" w:afterLines="0"/>
              <w:jc w:val="both"/>
              <w:rPr>
                <w:rFonts w:hint="default" w:ascii="Times New Roman" w:hAnsi="Times New Roman" w:cs="Times New Roman"/>
                <w:color w:val="auto"/>
                <w:sz w:val="24"/>
                <w:szCs w:val="24"/>
                <w:highlight w:val="none"/>
              </w:rPr>
            </w:pPr>
          </w:p>
        </w:tc>
        <w:tc>
          <w:tcPr>
            <w:tcW w:w="791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7DB289E">
            <w:pPr>
              <w:pStyle w:val="48"/>
              <w:spacing w:beforeLines="0" w:afterLines="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五、固体废物处理处置措施建议：为防止雨水径流进入废石堆场、尾矿库内，避免水量增加和滑坡，场地周边应设置导流渠。对金矿、铁矿等金属矿，以及滑石、菱镁矿、饰面材料和建筑石料等非金属矿区废石堆场应修建挡土墙、截洪沟和沉淀池，阻止周围雨水径流进入废石堆场，同时对废石堆场内淋溶水截留、沉淀，并回用于矿山开采或选矿用水</w:t>
            </w:r>
          </w:p>
        </w:tc>
        <w:tc>
          <w:tcPr>
            <w:tcW w:w="431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ACD0749">
            <w:pPr>
              <w:pStyle w:val="48"/>
              <w:spacing w:beforeLines="0" w:afterLines="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w:t>
            </w:r>
            <w:r>
              <w:rPr>
                <w:rFonts w:hint="default" w:ascii="Times New Roman" w:hAnsi="Times New Roman" w:cs="Times New Roman"/>
                <w:color w:val="auto"/>
                <w:sz w:val="24"/>
                <w:szCs w:val="24"/>
                <w:highlight w:val="none"/>
                <w:lang w:val="en-US" w:eastAsia="zh-CN"/>
              </w:rPr>
              <w:t>排土场</w:t>
            </w:r>
            <w:r>
              <w:rPr>
                <w:rFonts w:hint="default" w:ascii="Times New Roman" w:hAnsi="Times New Roman" w:cs="Times New Roman"/>
                <w:color w:val="auto"/>
                <w:sz w:val="24"/>
                <w:szCs w:val="24"/>
                <w:highlight w:val="none"/>
              </w:rPr>
              <w:t>外设置有截洪沟、排水沟，防止周围雨水进入</w:t>
            </w:r>
            <w:r>
              <w:rPr>
                <w:rFonts w:hint="default" w:ascii="Times New Roman" w:hAnsi="Times New Roman" w:cs="Times New Roman"/>
                <w:color w:val="auto"/>
                <w:sz w:val="24"/>
                <w:szCs w:val="24"/>
                <w:highlight w:val="none"/>
                <w:lang w:val="en-US" w:eastAsia="zh-CN"/>
              </w:rPr>
              <w:t>排土场</w:t>
            </w:r>
            <w:r>
              <w:rPr>
                <w:rFonts w:hint="default" w:ascii="Times New Roman" w:hAnsi="Times New Roman" w:cs="Times New Roman"/>
                <w:color w:val="auto"/>
                <w:sz w:val="24"/>
                <w:szCs w:val="24"/>
                <w:highlight w:val="none"/>
              </w:rPr>
              <w:t>。</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799BB685">
            <w:pPr>
              <w:pStyle w:val="48"/>
              <w:spacing w:beforeLines="0" w:afterLines="0"/>
              <w:jc w:val="both"/>
              <w:rPr>
                <w:rFonts w:hint="default" w:ascii="Times New Roman" w:hAnsi="Times New Roman" w:cs="Times New Roman"/>
                <w:color w:val="auto"/>
                <w:sz w:val="24"/>
                <w:szCs w:val="24"/>
                <w:highlight w:val="none"/>
              </w:rPr>
            </w:pPr>
          </w:p>
        </w:tc>
      </w:tr>
      <w:tr w14:paraId="15CCB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7DE3966E">
            <w:pPr>
              <w:pStyle w:val="48"/>
              <w:spacing w:beforeLines="0" w:afterLines="0"/>
              <w:jc w:val="both"/>
              <w:rPr>
                <w:rFonts w:hint="default" w:ascii="Times New Roman" w:hAnsi="Times New Roman" w:cs="Times New Roman"/>
                <w:color w:val="auto"/>
                <w:sz w:val="24"/>
                <w:szCs w:val="24"/>
                <w:highlight w:val="none"/>
              </w:rPr>
            </w:pPr>
          </w:p>
        </w:tc>
        <w:tc>
          <w:tcPr>
            <w:tcW w:w="791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CCEDB06">
            <w:pPr>
              <w:pStyle w:val="48"/>
              <w:spacing w:beforeLines="0" w:afterLines="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六、生态环境影响减缓措施：矿产开采工程选址选线应避开自然保护区、水源保护区、风景名胜区、城市规划区、居民密集区、重要水工设施、高速公路、铁路、基本农田等。矿产开采工程应合理规划开拓方案，自然保护区、生态公益林、规划区范围内居民点、名胜古迹、地下水源保护区、饮用水源地保护区地表水源地、重要村镇、重要水工设施、二级以上等级公路、铁路等敏感环境目标下不得实施资源开采，应划入禁采区；施工过程中，尽量缩小施工范围，减少开挖，地表植被能保留的给予保留。</w:t>
            </w:r>
          </w:p>
        </w:tc>
        <w:tc>
          <w:tcPr>
            <w:tcW w:w="431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F777C79">
            <w:pPr>
              <w:pStyle w:val="48"/>
              <w:spacing w:beforeLines="0" w:afterLines="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选址不涉及自然保护区、水源保护区、风景名胜区、城市规划区、居民密集区、重要水工设施、高速公路、铁路、基本农田等，项目区西侧有新疆阜康市彩南国家沙化土地封禁保护区，本项目已采取避让措施，矿区不占用其保护区范围，距离其保护区最近距离</w:t>
            </w:r>
            <w:r>
              <w:rPr>
                <w:rFonts w:hint="default" w:ascii="Times New Roman" w:hAnsi="Times New Roman" w:cs="Times New Roman"/>
                <w:color w:val="auto"/>
                <w:sz w:val="24"/>
                <w:szCs w:val="24"/>
                <w:highlight w:val="none"/>
                <w:lang w:val="en-US" w:eastAsia="zh-CN"/>
              </w:rPr>
              <w:t>900</w:t>
            </w:r>
            <w:r>
              <w:rPr>
                <w:rFonts w:hint="default" w:ascii="Times New Roman" w:hAnsi="Times New Roman" w:cs="Times New Roman"/>
                <w:color w:val="auto"/>
                <w:sz w:val="24"/>
                <w:szCs w:val="24"/>
                <w:highlight w:val="none"/>
              </w:rPr>
              <w:t>m。项目开拓方案合理，施工过程严格控制施工范围，减少开挖，尽可能地保留原有植被。</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588D4E71">
            <w:pPr>
              <w:pStyle w:val="48"/>
              <w:spacing w:beforeLines="0" w:afterLines="0"/>
              <w:jc w:val="both"/>
              <w:rPr>
                <w:rFonts w:hint="default" w:ascii="Times New Roman" w:hAnsi="Times New Roman" w:cs="Times New Roman"/>
                <w:color w:val="auto"/>
                <w:sz w:val="24"/>
                <w:szCs w:val="24"/>
                <w:highlight w:val="none"/>
              </w:rPr>
            </w:pPr>
          </w:p>
        </w:tc>
      </w:tr>
      <w:tr w14:paraId="6BD01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6013DB2A">
            <w:pPr>
              <w:pStyle w:val="48"/>
              <w:spacing w:beforeLines="0" w:afterLines="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关于《新疆维吾尔自治区矿产资源总体规划(2021-2025年)环境影响报告书》的审查意见</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环审〔2022〕124号</w:t>
            </w:r>
          </w:p>
          <w:p w14:paraId="35C3C498">
            <w:pPr>
              <w:pStyle w:val="48"/>
              <w:spacing w:beforeLines="0" w:afterLines="0"/>
              <w:jc w:val="both"/>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w:t>
            </w:r>
          </w:p>
        </w:tc>
        <w:tc>
          <w:tcPr>
            <w:tcW w:w="791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1DBF131">
            <w:pPr>
              <w:pStyle w:val="48"/>
              <w:spacing w:beforeLines="0" w:afterLines="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一)坚持生态优先，绿色发展。坚持以习近平生态文明思想为指导，严格落实绿水青山就是金山银山理念，立足于生态系统稳定和生态环境质量改善，处理好生态环境保护与矿产资源开发的关系，合理控制矿产资源开发规模与强度，不得占用依法应当禁止开发的区域，优先避让生态环境敏感区域。进一步强化《规划》的生态环境保护总体要求，将细化后的绿色开发、生态修复等相关目标、指标作为《规划》实施的硬约束。《规划》应严格执行国家矿产资源合理开发利用“三率”(即开采回采率，选矿回收率、综合利用率)相关要求，确保全区矿山整体“三率”水平达标率达到85%以上。优化并落实绿色矿山建设标准体系，到规划期末，全区大中型固体生产矿山基本达到绿色矿山建设水平。应进一步合理确定布局、规模、结构和开发时序，采取严格的生态保护和修复措施，确保优化后的《规划》符合绿色发展要求，推动生态环境保护与矿产资源开发目标同步实现。</w:t>
            </w:r>
          </w:p>
        </w:tc>
        <w:tc>
          <w:tcPr>
            <w:tcW w:w="431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00806B4">
            <w:pPr>
              <w:pStyle w:val="48"/>
              <w:spacing w:beforeLines="0" w:afterLines="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项目区西侧有新疆阜康市彩南国家沙化土地封禁保护区，本项目已采取避让措施，矿区不占用其保护区范围，距离其保护区最近距离</w:t>
            </w:r>
            <w:r>
              <w:rPr>
                <w:rFonts w:hint="default" w:ascii="Times New Roman" w:hAnsi="Times New Roman" w:cs="Times New Roman"/>
                <w:color w:val="auto"/>
                <w:sz w:val="24"/>
                <w:szCs w:val="24"/>
                <w:highlight w:val="none"/>
                <w:lang w:val="en-US" w:eastAsia="zh-CN"/>
              </w:rPr>
              <w:t>900</w:t>
            </w:r>
            <w:r>
              <w:rPr>
                <w:rFonts w:hint="default" w:ascii="Times New Roman" w:hAnsi="Times New Roman" w:cs="Times New Roman"/>
                <w:color w:val="auto"/>
                <w:sz w:val="24"/>
                <w:szCs w:val="24"/>
                <w:highlight w:val="none"/>
              </w:rPr>
              <w:t>m。</w:t>
            </w:r>
          </w:p>
          <w:p w14:paraId="64FABEE9">
            <w:pPr>
              <w:pStyle w:val="48"/>
              <w:spacing w:beforeLines="0" w:afterLines="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4"/>
                <w:szCs w:val="24"/>
                <w:highlight w:val="none"/>
                <w:lang w:val="en-US" w:eastAsia="zh-CN"/>
              </w:rPr>
              <w:t>本项目</w:t>
            </w:r>
            <w:r>
              <w:rPr>
                <w:rFonts w:hint="default" w:ascii="Times New Roman" w:hAnsi="Times New Roman" w:eastAsia="宋体" w:cs="Times New Roman"/>
                <w:color w:val="auto"/>
                <w:sz w:val="24"/>
                <w:szCs w:val="24"/>
                <w:highlight w:val="none"/>
              </w:rPr>
              <w:t>开采回采率</w:t>
            </w:r>
            <w:r>
              <w:rPr>
                <w:rFonts w:hint="default" w:ascii="Times New Roman" w:hAnsi="Times New Roman" w:eastAsia="宋体" w:cs="Times New Roman"/>
                <w:color w:val="auto"/>
                <w:sz w:val="24"/>
                <w:szCs w:val="24"/>
                <w:highlight w:val="none"/>
                <w:lang w:val="en-US" w:eastAsia="zh-CN"/>
              </w:rPr>
              <w:t>97%</w:t>
            </w:r>
            <w:r>
              <w:rPr>
                <w:rFonts w:hint="default" w:ascii="Times New Roman" w:hAnsi="Times New Roman" w:eastAsia="宋体" w:cs="Times New Roman"/>
                <w:color w:val="auto"/>
                <w:sz w:val="24"/>
                <w:szCs w:val="24"/>
                <w:highlight w:val="none"/>
              </w:rPr>
              <w:t>，综合利用率</w:t>
            </w:r>
            <w:r>
              <w:rPr>
                <w:rFonts w:hint="default" w:ascii="Times New Roman" w:hAnsi="Times New Roman" w:eastAsia="宋体" w:cs="Times New Roman"/>
                <w:color w:val="auto"/>
                <w:sz w:val="24"/>
                <w:szCs w:val="24"/>
                <w:highlight w:val="none"/>
                <w:lang w:val="en-US" w:eastAsia="zh-CN"/>
              </w:rPr>
              <w:t>100%，矿山建设按照</w:t>
            </w:r>
            <w:r>
              <w:rPr>
                <w:rFonts w:hint="default" w:ascii="Times New Roman" w:hAnsi="Times New Roman" w:cs="Times New Roman"/>
                <w:color w:val="auto"/>
                <w:sz w:val="24"/>
                <w:szCs w:val="24"/>
                <w:highlight w:val="none"/>
              </w:rPr>
              <w:t>《非金属矿行业绿色矿山建设规范》（DZ/T 0312-2018）</w:t>
            </w:r>
            <w:r>
              <w:rPr>
                <w:rFonts w:hint="default" w:ascii="Times New Roman" w:hAnsi="Times New Roman" w:cs="Times New Roman"/>
                <w:color w:val="auto"/>
                <w:sz w:val="24"/>
                <w:szCs w:val="24"/>
                <w:highlight w:val="none"/>
                <w:lang w:val="en-US" w:eastAsia="zh-CN"/>
              </w:rPr>
              <w:t>要求进行建设。</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5F10D6E4">
            <w:pPr>
              <w:pStyle w:val="48"/>
              <w:spacing w:beforeLines="0" w:afterLines="0"/>
              <w:jc w:val="both"/>
              <w:rPr>
                <w:rFonts w:hint="default" w:ascii="Times New Roman" w:hAnsi="Times New Roman" w:cs="Times New Roman"/>
                <w:color w:val="auto"/>
                <w:sz w:val="24"/>
                <w:szCs w:val="24"/>
                <w:highlight w:val="none"/>
              </w:rPr>
            </w:pPr>
          </w:p>
        </w:tc>
      </w:tr>
      <w:tr w14:paraId="7B0DC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168970BA">
            <w:pPr>
              <w:pStyle w:val="48"/>
              <w:spacing w:beforeLines="0" w:afterLines="0"/>
              <w:jc w:val="both"/>
              <w:rPr>
                <w:rFonts w:hint="default" w:ascii="Times New Roman" w:hAnsi="Times New Roman" w:cs="Times New Roman"/>
                <w:color w:val="auto"/>
                <w:sz w:val="24"/>
                <w:szCs w:val="24"/>
                <w:highlight w:val="none"/>
              </w:rPr>
            </w:pPr>
          </w:p>
        </w:tc>
        <w:tc>
          <w:tcPr>
            <w:tcW w:w="791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B88D9CA">
            <w:pPr>
              <w:pStyle w:val="48"/>
              <w:spacing w:beforeLines="0" w:afterLines="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二)严格保护生态空间，优化《规划》布局。将生态保护红线作为保障和维护区域生态安全的底线，应进一步优化矿业权设置和空间布局，依法依规对生态空间实施严格保护。与生态保护红线存在空间重叠的6个能源资源基地、24个国家规划矿区、22个重点勘查区、32个重点开采区等，后续设置矿业权时，应进一步优化布局，确保满足生态保护红线管控要求。与大气环境优先保护区(自然保护区、森林公园、世界遗产地等)存在空间重叠的90个勘查规划区块、25个开采规划区块，以及与水环境优先保护区存在空间重叠的462个勘查规划区块、153个开采规划区块和与农用地优先保护区存在空间重叠的28个勘查规划区块、8个开采规划区块等，后续设置矿业权时，应进一步优化布局、强化管控措施，确保满足生态环境分区管控及相关环境保护要求。</w:t>
            </w:r>
          </w:p>
        </w:tc>
        <w:tc>
          <w:tcPr>
            <w:tcW w:w="431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23987BB">
            <w:pPr>
              <w:pStyle w:val="48"/>
              <w:spacing w:beforeLines="0" w:afterLines="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本项目不涉及生态保护红线，与</w:t>
            </w:r>
            <w:r>
              <w:rPr>
                <w:rFonts w:hint="default" w:ascii="Times New Roman" w:hAnsi="Times New Roman" w:cs="Times New Roman"/>
                <w:color w:val="auto"/>
                <w:sz w:val="24"/>
                <w:szCs w:val="24"/>
                <w:highlight w:val="none"/>
              </w:rPr>
              <w:t>自然保护区、森林公园、世界遗产地</w:t>
            </w:r>
            <w:r>
              <w:rPr>
                <w:rFonts w:hint="default" w:ascii="Times New Roman" w:hAnsi="Times New Roman" w:cs="Times New Roman"/>
                <w:color w:val="auto"/>
                <w:sz w:val="24"/>
                <w:szCs w:val="24"/>
                <w:highlight w:val="none"/>
                <w:lang w:val="en-US" w:eastAsia="zh-CN"/>
              </w:rPr>
              <w:t>无重叠。</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5355F74F">
            <w:pPr>
              <w:pStyle w:val="48"/>
              <w:spacing w:beforeLines="0" w:afterLines="0"/>
              <w:jc w:val="both"/>
              <w:rPr>
                <w:rFonts w:hint="default" w:ascii="Times New Roman" w:hAnsi="Times New Roman" w:cs="Times New Roman"/>
                <w:color w:val="auto"/>
                <w:sz w:val="24"/>
                <w:szCs w:val="24"/>
                <w:highlight w:val="none"/>
              </w:rPr>
            </w:pPr>
          </w:p>
        </w:tc>
      </w:tr>
      <w:tr w14:paraId="4CF46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1012B980">
            <w:pPr>
              <w:pStyle w:val="48"/>
              <w:spacing w:beforeLines="0" w:afterLines="0"/>
              <w:jc w:val="both"/>
              <w:rPr>
                <w:rFonts w:hint="default" w:ascii="Times New Roman" w:hAnsi="Times New Roman" w:cs="Times New Roman"/>
                <w:color w:val="auto"/>
                <w:sz w:val="24"/>
                <w:szCs w:val="24"/>
                <w:highlight w:val="none"/>
              </w:rPr>
            </w:pPr>
          </w:p>
        </w:tc>
        <w:tc>
          <w:tcPr>
            <w:tcW w:w="791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39915D7">
            <w:pPr>
              <w:pStyle w:val="48"/>
              <w:spacing w:beforeLines="0" w:afterLines="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三)严格产业准入，合理控制矿山开采种类和规模。严格落实《规划》提出的重点矿种矿山最低开采规模准入要求;进一步控制矿山总数，提高大中型矿山比例，加大低效产能压减、无效产能腾退力度，逐步关闭退出安全隐患突出、生态环境问题明显、违法违规问题多的“小弱散”矿山和未达到最低生产规模的矿山。禁止开采砷和放射性等有毒有害物质超过规定标准的煤炭，以及砂铁、汞、可耕地砖瓦用粘土等矿产;限制开采硫铁矿、砖瓦用粘土等矿产;严格控制开采钨、稀土等特定保护性矿产。严格尾矿库的新建和管理，确保符合相关要求。</w:t>
            </w:r>
          </w:p>
        </w:tc>
        <w:tc>
          <w:tcPr>
            <w:tcW w:w="431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AC3BAE5">
            <w:pPr>
              <w:pStyle w:val="48"/>
              <w:spacing w:beforeLines="0" w:afterLines="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本项目为石英砂矿，采矿规模为80万t/a，不属于重点矿种矿山，符合产业准入要求。</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3E48DE72">
            <w:pPr>
              <w:pStyle w:val="48"/>
              <w:spacing w:beforeLines="0" w:afterLines="0"/>
              <w:jc w:val="both"/>
              <w:rPr>
                <w:rFonts w:hint="default" w:ascii="Times New Roman" w:hAnsi="Times New Roman" w:cs="Times New Roman"/>
                <w:color w:val="auto"/>
                <w:sz w:val="24"/>
                <w:szCs w:val="24"/>
                <w:highlight w:val="none"/>
              </w:rPr>
            </w:pPr>
          </w:p>
        </w:tc>
      </w:tr>
      <w:tr w14:paraId="49180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00A78970">
            <w:pPr>
              <w:pStyle w:val="48"/>
              <w:spacing w:beforeLines="0" w:afterLines="0"/>
              <w:jc w:val="both"/>
              <w:rPr>
                <w:rFonts w:hint="default" w:ascii="Times New Roman" w:hAnsi="Times New Roman" w:cs="Times New Roman"/>
                <w:color w:val="auto"/>
                <w:sz w:val="24"/>
                <w:szCs w:val="24"/>
                <w:highlight w:val="none"/>
              </w:rPr>
            </w:pPr>
          </w:p>
        </w:tc>
        <w:tc>
          <w:tcPr>
            <w:tcW w:w="791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DCA764C">
            <w:pPr>
              <w:pStyle w:val="48"/>
              <w:spacing w:beforeLines="0" w:afterLines="0"/>
              <w:jc w:val="both"/>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rPr>
              <w:t>(四)严格环境准入，保护区域生态功能。按照新疆维吾尔自治区生态环境分区管控方案、生态环境保护规划等新要求，与大气环境优先保护区、水环境优先保护区、农用地优先保护区等存在空间重叠的现有矿业权、勘查规划区块、开采规划区块，应严格执行相应管控要求，控制勘查、开采活动范围和强度，严格执行绿色勘查、开采及矿山环境生态保护修复相关要求，确保生态系统结构和主要功能不受破坏。严格控制涉及生物多样性保护优先区域、国家重点生态功能区、国家重要生态功能区、水源涵养区、水土流失重点防治区等区域矿产资源开发活动，并采取相应保护措施，防止加剧对重点生态功能区的不良环境影响</w:t>
            </w:r>
            <w:r>
              <w:rPr>
                <w:rFonts w:hint="default" w:ascii="Times New Roman" w:hAnsi="Times New Roman" w:cs="Times New Roman"/>
                <w:color w:val="auto"/>
                <w:sz w:val="24"/>
                <w:szCs w:val="24"/>
                <w:highlight w:val="none"/>
                <w:lang w:eastAsia="zh-CN"/>
              </w:rPr>
              <w:t>。</w:t>
            </w:r>
          </w:p>
        </w:tc>
        <w:tc>
          <w:tcPr>
            <w:tcW w:w="431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9AA0600">
            <w:pPr>
              <w:pStyle w:val="48"/>
              <w:spacing w:beforeLines="0" w:afterLines="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本项目与</w:t>
            </w:r>
            <w:r>
              <w:rPr>
                <w:rFonts w:hint="default" w:ascii="Times New Roman" w:hAnsi="Times New Roman" w:cs="Times New Roman"/>
                <w:color w:val="auto"/>
                <w:sz w:val="24"/>
                <w:szCs w:val="24"/>
                <w:highlight w:val="none"/>
              </w:rPr>
              <w:t>大气环境优先保护区、水环境优先保护区、农用地优先保护区等</w:t>
            </w:r>
            <w:r>
              <w:rPr>
                <w:rFonts w:hint="default" w:ascii="Times New Roman" w:hAnsi="Times New Roman" w:cs="Times New Roman"/>
                <w:color w:val="auto"/>
                <w:sz w:val="24"/>
                <w:szCs w:val="24"/>
                <w:highlight w:val="none"/>
                <w:lang w:val="en-US" w:eastAsia="zh-CN"/>
              </w:rPr>
              <w:t>不</w:t>
            </w:r>
            <w:r>
              <w:rPr>
                <w:rFonts w:hint="default" w:ascii="Times New Roman" w:hAnsi="Times New Roman" w:cs="Times New Roman"/>
                <w:color w:val="auto"/>
                <w:sz w:val="24"/>
                <w:szCs w:val="24"/>
                <w:highlight w:val="none"/>
              </w:rPr>
              <w:t>存在空间重叠</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不涉及</w:t>
            </w:r>
            <w:r>
              <w:rPr>
                <w:rFonts w:hint="default" w:ascii="Times New Roman" w:hAnsi="Times New Roman" w:cs="Times New Roman"/>
                <w:color w:val="auto"/>
                <w:sz w:val="24"/>
                <w:szCs w:val="24"/>
                <w:highlight w:val="none"/>
              </w:rPr>
              <w:t>生物多样性保护优先区域、国家重点生态功能区、国家重要生态功能区、水源涵养区、水土流失重点防治区等区域</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矿山建设按照</w:t>
            </w:r>
            <w:r>
              <w:rPr>
                <w:rFonts w:hint="default" w:ascii="Times New Roman" w:hAnsi="Times New Roman" w:cs="Times New Roman"/>
                <w:color w:val="auto"/>
                <w:sz w:val="24"/>
                <w:szCs w:val="24"/>
                <w:highlight w:val="none"/>
              </w:rPr>
              <w:t>《非金属矿行业绿色矿山建设规范》（DZ/T 0312-2018）</w:t>
            </w:r>
            <w:r>
              <w:rPr>
                <w:rFonts w:hint="default" w:ascii="Times New Roman" w:hAnsi="Times New Roman" w:cs="Times New Roman"/>
                <w:color w:val="auto"/>
                <w:sz w:val="24"/>
                <w:szCs w:val="24"/>
                <w:highlight w:val="none"/>
                <w:lang w:val="en-US" w:eastAsia="zh-CN"/>
              </w:rPr>
              <w:t>要求进行建设。</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185140B3">
            <w:pPr>
              <w:pStyle w:val="48"/>
              <w:spacing w:beforeLines="0" w:afterLines="0"/>
              <w:jc w:val="both"/>
              <w:rPr>
                <w:rFonts w:hint="default" w:ascii="Times New Roman" w:hAnsi="Times New Roman" w:cs="Times New Roman"/>
                <w:color w:val="auto"/>
                <w:sz w:val="24"/>
                <w:szCs w:val="24"/>
                <w:highlight w:val="none"/>
              </w:rPr>
            </w:pPr>
          </w:p>
        </w:tc>
      </w:tr>
      <w:tr w14:paraId="42105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422A8AA3">
            <w:pPr>
              <w:pStyle w:val="48"/>
              <w:spacing w:beforeLines="0" w:afterLines="0"/>
              <w:jc w:val="both"/>
              <w:rPr>
                <w:rFonts w:hint="default" w:ascii="Times New Roman" w:hAnsi="Times New Roman" w:cs="Times New Roman"/>
                <w:color w:val="auto"/>
                <w:sz w:val="24"/>
                <w:szCs w:val="24"/>
                <w:highlight w:val="none"/>
              </w:rPr>
            </w:pPr>
          </w:p>
        </w:tc>
        <w:tc>
          <w:tcPr>
            <w:tcW w:w="791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54BDEE6">
            <w:pPr>
              <w:pStyle w:val="48"/>
              <w:spacing w:beforeLines="0" w:afterLines="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五)加强矿山生态修复和环境治理。结合区域生态环境质量改善目标和主要生态环境问题，分区域、分矿种确定矿山生态修复和环境治理总体要求，将目标任务分解细化到具体矿区、矿山，确保“十四五”规划期矿山生态修复治理面积不低于11000公顷。重视关闭矿山及历史遗留矿山的生态环境问题，明确污染治理、生态修复的任务、要求和完成时限。对可能造成重金属污染等环境问题的矿区，进一步优化开发方式，推进结构调整，加大治理投入。</w:t>
            </w:r>
          </w:p>
        </w:tc>
        <w:tc>
          <w:tcPr>
            <w:tcW w:w="431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7F247F9">
            <w:pPr>
              <w:pStyle w:val="48"/>
              <w:spacing w:beforeLines="0" w:afterLines="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本项目在闭矿期，拆除地表构筑物，将排土场中废料废土全部回填采坑区，表土覆盖，撒草籽进行自然复绿。</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0CF49102">
            <w:pPr>
              <w:pStyle w:val="48"/>
              <w:spacing w:beforeLines="0" w:afterLines="0"/>
              <w:jc w:val="both"/>
              <w:rPr>
                <w:rFonts w:hint="default" w:ascii="Times New Roman" w:hAnsi="Times New Roman" w:cs="Times New Roman"/>
                <w:color w:val="auto"/>
                <w:sz w:val="24"/>
                <w:szCs w:val="24"/>
                <w:highlight w:val="none"/>
              </w:rPr>
            </w:pPr>
          </w:p>
        </w:tc>
      </w:tr>
    </w:tbl>
    <w:p w14:paraId="0B9350DE">
      <w:pPr>
        <w:pStyle w:val="5"/>
        <w:bidi w:val="0"/>
        <w:rPr>
          <w:rFonts w:hint="default"/>
        </w:rPr>
      </w:pPr>
      <w:bookmarkStart w:id="33" w:name="1.4.3.8与《新疆维吾尔自治区阜康市矿产资源总体规划（2021-2025年）》的符合性分析"/>
      <w:bookmarkEnd w:id="33"/>
      <w:bookmarkStart w:id="34" w:name="1.4.3.7与《新疆维吾尔自治区昌吉回族自治州矿产资源总体规划（2021-2025）》的符合性分析"/>
      <w:bookmarkEnd w:id="34"/>
      <w:r>
        <w:rPr>
          <w:rFonts w:hint="eastAsia"/>
          <w:lang w:val="en-US" w:eastAsia="zh-CN"/>
        </w:rPr>
        <w:t>与《新疆维吾尔自治区昌吉回族自治州矿产资源总体规划（2021-2025）》符合性分析</w:t>
      </w:r>
    </w:p>
    <w:p w14:paraId="3643B104">
      <w:pPr>
        <w:spacing w:line="240" w:lineRule="auto"/>
        <w:jc w:val="center"/>
        <w:rPr>
          <w:rFonts w:hint="default"/>
          <w:b/>
          <w:bCs/>
          <w:highlight w:val="none"/>
          <w:lang w:val="en-US"/>
        </w:rPr>
      </w:pPr>
      <w:r>
        <w:rPr>
          <w:rFonts w:hint="eastAsia" w:ascii="宋体" w:hAnsi="宋体" w:eastAsia="宋体" w:cs="宋体"/>
          <w:b/>
          <w:bCs/>
          <w:color w:val="FF0000"/>
          <w:kern w:val="0"/>
          <w:sz w:val="24"/>
          <w:szCs w:val="24"/>
          <w:highlight w:val="none"/>
          <w:lang w:val="en-US" w:eastAsia="zh-CN" w:bidi="ar-SA"/>
        </w:rPr>
        <w:t>表</w:t>
      </w:r>
      <w:r>
        <w:rPr>
          <w:rFonts w:hint="eastAsia" w:ascii="宋体" w:hAnsi="宋体" w:cs="宋体"/>
          <w:b/>
          <w:bCs/>
          <w:color w:val="FF0000"/>
          <w:kern w:val="0"/>
          <w:sz w:val="24"/>
          <w:szCs w:val="24"/>
          <w:highlight w:val="none"/>
          <w:lang w:val="en-US" w:eastAsia="zh-CN" w:bidi="ar-SA"/>
        </w:rPr>
        <w:t>1.4-7</w:t>
      </w:r>
      <w:r>
        <w:rPr>
          <w:rFonts w:hint="eastAsia" w:ascii="宋体" w:hAnsi="宋体" w:eastAsia="宋体" w:cs="宋体"/>
          <w:b/>
          <w:bCs/>
          <w:color w:val="FF0000"/>
          <w:kern w:val="0"/>
          <w:sz w:val="24"/>
          <w:szCs w:val="24"/>
          <w:highlight w:val="none"/>
          <w:lang w:val="en-US" w:eastAsia="zh-CN" w:bidi="ar-SA"/>
        </w:rPr>
        <w:t xml:space="preserve">   本项目与《新疆维吾尔自治区昌吉回族自治州矿产资源总体规划（2021-2025）》符合性分析</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5"/>
        <w:gridCol w:w="5062"/>
        <w:gridCol w:w="2443"/>
        <w:gridCol w:w="456"/>
      </w:tblGrid>
      <w:tr w14:paraId="71501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116EECA">
            <w:pPr>
              <w:pStyle w:val="48"/>
              <w:spacing w:beforeLines="0" w:afterLines="0"/>
              <w:jc w:val="center"/>
              <w:rPr>
                <w:rFonts w:hint="default" w:ascii="Times New Roman" w:hAnsi="Times New Roman" w:cs="Times New Roman"/>
                <w:color w:val="FF0000"/>
                <w:sz w:val="24"/>
                <w:szCs w:val="24"/>
                <w:highlight w:val="none"/>
                <w:lang w:val="en-US" w:eastAsia="zh-CN"/>
              </w:rPr>
            </w:pPr>
            <w:r>
              <w:rPr>
                <w:rFonts w:hint="default" w:ascii="Times New Roman" w:hAnsi="Times New Roman" w:cs="Times New Roman"/>
                <w:color w:val="FF0000"/>
                <w:sz w:val="24"/>
                <w:szCs w:val="24"/>
                <w:highlight w:val="none"/>
                <w:lang w:val="en-US" w:eastAsia="zh-CN"/>
              </w:rPr>
              <w:t>相关文件</w:t>
            </w:r>
          </w:p>
        </w:tc>
        <w:tc>
          <w:tcPr>
            <w:tcW w:w="512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5250FC2">
            <w:pPr>
              <w:pStyle w:val="48"/>
              <w:spacing w:beforeLines="0" w:afterLines="0"/>
              <w:jc w:val="center"/>
              <w:rPr>
                <w:rFonts w:hint="default" w:ascii="Times New Roman" w:hAnsi="Times New Roman" w:cs="Times New Roman"/>
                <w:color w:val="FF0000"/>
                <w:sz w:val="24"/>
                <w:szCs w:val="24"/>
                <w:highlight w:val="none"/>
                <w:lang w:val="en-US" w:eastAsia="zh-CN"/>
              </w:rPr>
            </w:pPr>
            <w:r>
              <w:rPr>
                <w:rFonts w:hint="default" w:ascii="Times New Roman" w:hAnsi="Times New Roman" w:cs="Times New Roman"/>
                <w:color w:val="FF0000"/>
                <w:sz w:val="24"/>
                <w:szCs w:val="24"/>
                <w:highlight w:val="none"/>
                <w:lang w:val="en-US" w:eastAsia="zh-CN"/>
              </w:rPr>
              <w:t>相关条款</w:t>
            </w:r>
          </w:p>
        </w:tc>
        <w:tc>
          <w:tcPr>
            <w:tcW w:w="246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2DF3780">
            <w:pPr>
              <w:pStyle w:val="48"/>
              <w:spacing w:beforeLines="0" w:afterLines="0"/>
              <w:jc w:val="center"/>
              <w:rPr>
                <w:rFonts w:hint="default" w:ascii="Times New Roman" w:hAnsi="Times New Roman" w:cs="Times New Roman"/>
                <w:color w:val="FF0000"/>
                <w:sz w:val="24"/>
                <w:szCs w:val="24"/>
                <w:highlight w:val="none"/>
                <w:lang w:val="en-US" w:eastAsia="zh-CN"/>
              </w:rPr>
            </w:pPr>
            <w:r>
              <w:rPr>
                <w:rFonts w:hint="default" w:ascii="Times New Roman" w:hAnsi="Times New Roman" w:cs="Times New Roman"/>
                <w:color w:val="FF0000"/>
                <w:sz w:val="24"/>
                <w:szCs w:val="24"/>
                <w:highlight w:val="none"/>
                <w:lang w:val="en-US" w:eastAsia="zh-CN"/>
              </w:rPr>
              <w:t>本项目</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5E48EED2">
            <w:pPr>
              <w:pStyle w:val="48"/>
              <w:spacing w:beforeLines="0" w:afterLines="0"/>
              <w:jc w:val="center"/>
              <w:rPr>
                <w:rFonts w:hint="default" w:ascii="Times New Roman" w:hAnsi="Times New Roman" w:cs="Times New Roman"/>
                <w:color w:val="FF0000"/>
                <w:sz w:val="24"/>
                <w:szCs w:val="24"/>
                <w:highlight w:val="none"/>
                <w:lang w:val="en-US" w:eastAsia="zh-CN"/>
              </w:rPr>
            </w:pPr>
            <w:r>
              <w:rPr>
                <w:rFonts w:hint="default" w:ascii="Times New Roman" w:hAnsi="Times New Roman" w:cs="Times New Roman"/>
                <w:color w:val="FF0000"/>
                <w:sz w:val="24"/>
                <w:szCs w:val="24"/>
                <w:highlight w:val="none"/>
                <w:lang w:val="en-US" w:eastAsia="zh-CN"/>
              </w:rPr>
              <w:t>符合性</w:t>
            </w:r>
          </w:p>
        </w:tc>
      </w:tr>
      <w:tr w14:paraId="462BA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7"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093BF481">
            <w:pPr>
              <w:pStyle w:val="48"/>
              <w:spacing w:beforeLines="0" w:afterLines="0"/>
              <w:jc w:val="both"/>
              <w:rPr>
                <w:rFonts w:hint="default" w:ascii="Times New Roman" w:hAnsi="Times New Roman" w:cs="Times New Roman"/>
                <w:color w:val="FF0000"/>
                <w:sz w:val="24"/>
                <w:szCs w:val="24"/>
                <w:highlight w:val="none"/>
              </w:rPr>
            </w:pPr>
            <w:r>
              <w:rPr>
                <w:rFonts w:hint="eastAsia" w:ascii="宋体" w:hAnsi="宋体" w:eastAsia="宋体" w:cs="宋体"/>
                <w:b w:val="0"/>
                <w:bCs w:val="0"/>
                <w:color w:val="FF0000"/>
                <w:kern w:val="0"/>
                <w:sz w:val="24"/>
                <w:szCs w:val="24"/>
                <w:highlight w:val="none"/>
                <w:lang w:val="en-US" w:eastAsia="zh-CN" w:bidi="ar-SA"/>
              </w:rPr>
              <w:t>《新疆维吾尔自治区昌吉回族自治州矿产资源总体规划（2021-2025）》</w:t>
            </w:r>
          </w:p>
        </w:tc>
        <w:tc>
          <w:tcPr>
            <w:tcW w:w="512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0FBDC2D">
            <w:pPr>
              <w:spacing w:beforeLines="0" w:afterLines="0" w:line="240" w:lineRule="auto"/>
              <w:rPr>
                <w:rFonts w:hint="default" w:ascii="Times New Roman" w:hAnsi="Times New Roman" w:cs="Times New Roman"/>
                <w:color w:val="FF0000"/>
                <w:sz w:val="24"/>
                <w:szCs w:val="24"/>
                <w:highlight w:val="none"/>
              </w:rPr>
            </w:pPr>
            <w:r>
              <w:rPr>
                <w:rFonts w:hint="default" w:ascii="Times New Roman" w:hAnsi="Times New Roman" w:cs="Times New Roman"/>
                <w:color w:val="FF0000"/>
                <w:sz w:val="24"/>
                <w:szCs w:val="24"/>
                <w:highlight w:val="none"/>
              </w:rPr>
              <w:t>（一）矿产资源勘查开发调控方向：</w:t>
            </w:r>
          </w:p>
          <w:p w14:paraId="645FA9CB">
            <w:pPr>
              <w:pStyle w:val="35"/>
              <w:spacing w:line="240" w:lineRule="auto"/>
              <w:rPr>
                <w:rFonts w:hint="default"/>
                <w:color w:val="FF0000"/>
              </w:rPr>
            </w:pPr>
            <w:r>
              <w:rPr>
                <w:rFonts w:hint="default"/>
                <w:color w:val="FF0000"/>
              </w:rPr>
              <w:t>一、重要矿产勘查开发方向</w:t>
            </w:r>
          </w:p>
          <w:p w14:paraId="34F0659C">
            <w:pPr>
              <w:pStyle w:val="35"/>
              <w:spacing w:line="240" w:lineRule="auto"/>
              <w:rPr>
                <w:rFonts w:hint="default"/>
                <w:color w:val="FF0000"/>
              </w:rPr>
            </w:pPr>
            <w:r>
              <w:rPr>
                <w:rFonts w:hint="default"/>
                <w:color w:val="FF0000"/>
              </w:rPr>
              <w:t>1.鼓励勘查开采的矿种</w:t>
            </w:r>
            <w:r>
              <w:rPr>
                <w:rFonts w:hint="eastAsia"/>
                <w:color w:val="FF0000"/>
                <w:lang w:eastAsia="zh-CN"/>
              </w:rPr>
              <w:t>：</w:t>
            </w:r>
            <w:r>
              <w:rPr>
                <w:rFonts w:hint="default"/>
                <w:color w:val="FF0000"/>
              </w:rPr>
              <w:t>石油、天然气、煤层气、页岩气、煤、地热、金、铜、饰面用花岗岩、石灰岩、</w:t>
            </w:r>
            <w:r>
              <w:rPr>
                <w:rFonts w:hint="default"/>
                <w:b/>
                <w:bCs/>
                <w:color w:val="FF0000"/>
              </w:rPr>
              <w:t>天然石英砂、</w:t>
            </w:r>
            <w:r>
              <w:rPr>
                <w:rFonts w:hint="default"/>
                <w:color w:val="FF0000"/>
              </w:rPr>
              <w:t>石墨等矿产和自治区紧缺及市场需求量较大的矿产。</w:t>
            </w:r>
          </w:p>
          <w:p w14:paraId="100E9001">
            <w:pPr>
              <w:pStyle w:val="48"/>
              <w:spacing w:beforeLines="0" w:afterLines="0" w:line="240" w:lineRule="auto"/>
              <w:jc w:val="both"/>
              <w:rPr>
                <w:rFonts w:hint="default" w:ascii="Times New Roman" w:hAnsi="Times New Roman" w:eastAsia="宋体" w:cs="Times New Roman"/>
                <w:color w:val="FF0000"/>
                <w:sz w:val="24"/>
                <w:szCs w:val="24"/>
                <w:highlight w:val="none"/>
              </w:rPr>
            </w:pPr>
            <w:r>
              <w:rPr>
                <w:rFonts w:hint="default" w:ascii="Times New Roman" w:hAnsi="Times New Roman" w:eastAsia="宋体" w:cs="Times New Roman"/>
                <w:color w:val="FF0000"/>
                <w:sz w:val="24"/>
                <w:szCs w:val="24"/>
                <w:highlight w:val="none"/>
              </w:rPr>
              <w:t>2.限制勘查开采矿种</w:t>
            </w:r>
            <w:r>
              <w:rPr>
                <w:rFonts w:hint="eastAsia" w:ascii="Times New Roman" w:hAnsi="Times New Roman" w:eastAsia="宋体" w:cs="Times New Roman"/>
                <w:color w:val="FF0000"/>
                <w:sz w:val="24"/>
                <w:szCs w:val="24"/>
                <w:highlight w:val="none"/>
                <w:lang w:eastAsia="zh-CN"/>
              </w:rPr>
              <w:t>：</w:t>
            </w:r>
            <w:r>
              <w:rPr>
                <w:rFonts w:hint="default" w:ascii="Times New Roman" w:hAnsi="Times New Roman" w:eastAsia="宋体" w:cs="Times New Roman"/>
                <w:color w:val="FF0000"/>
                <w:sz w:val="24"/>
                <w:szCs w:val="24"/>
                <w:highlight w:val="none"/>
              </w:rPr>
              <w:t>高硫煤、硫铁矿、砖瓦用粘土等。此外，严格限制单一煤炭开采新建项目审批，限制煤炭小规模开采</w:t>
            </w:r>
          </w:p>
          <w:p w14:paraId="7C45C80E">
            <w:pPr>
              <w:pStyle w:val="48"/>
              <w:spacing w:beforeLines="0" w:afterLines="0" w:line="240" w:lineRule="auto"/>
              <w:jc w:val="both"/>
              <w:rPr>
                <w:rFonts w:hint="default" w:ascii="Times New Roman" w:hAnsi="Times New Roman" w:eastAsia="宋体" w:cs="Times New Roman"/>
                <w:color w:val="FF0000"/>
                <w:sz w:val="24"/>
                <w:szCs w:val="24"/>
                <w:highlight w:val="none"/>
              </w:rPr>
            </w:pPr>
            <w:r>
              <w:rPr>
                <w:rFonts w:hint="default" w:ascii="Times New Roman" w:hAnsi="Times New Roman" w:eastAsia="宋体" w:cs="Times New Roman"/>
                <w:color w:val="FF0000"/>
                <w:sz w:val="24"/>
                <w:szCs w:val="24"/>
                <w:highlight w:val="none"/>
              </w:rPr>
              <w:t>3.禁止开采矿种</w:t>
            </w:r>
            <w:r>
              <w:rPr>
                <w:rFonts w:hint="eastAsia" w:ascii="Times New Roman" w:hAnsi="Times New Roman" w:eastAsia="宋体" w:cs="Times New Roman"/>
                <w:color w:val="FF0000"/>
                <w:sz w:val="24"/>
                <w:szCs w:val="24"/>
                <w:highlight w:val="none"/>
                <w:lang w:eastAsia="zh-CN"/>
              </w:rPr>
              <w:t>：</w:t>
            </w:r>
            <w:r>
              <w:rPr>
                <w:rFonts w:hint="default" w:ascii="Times New Roman" w:hAnsi="Times New Roman" w:eastAsia="宋体" w:cs="Times New Roman"/>
                <w:color w:val="FF0000"/>
                <w:sz w:val="24"/>
                <w:szCs w:val="24"/>
                <w:highlight w:val="none"/>
              </w:rPr>
              <w:t>主要为灰份大于40%和含硫大于3%的煤砂金等。其他对局部地区生态环境造成重大破坏的矿种亦应列入禁止开发利用矿种行列。</w:t>
            </w:r>
          </w:p>
          <w:p w14:paraId="3D60A858">
            <w:pPr>
              <w:pStyle w:val="48"/>
              <w:spacing w:beforeLines="0" w:afterLines="0"/>
              <w:jc w:val="both"/>
              <w:rPr>
                <w:rFonts w:hint="default" w:ascii="Times New Roman" w:hAnsi="Times New Roman" w:eastAsia="宋体" w:cs="Times New Roman"/>
                <w:color w:val="FF0000"/>
                <w:sz w:val="24"/>
                <w:szCs w:val="24"/>
                <w:highlight w:val="none"/>
              </w:rPr>
            </w:pPr>
            <w:r>
              <w:rPr>
                <w:rFonts w:hint="default" w:ascii="Times New Roman" w:hAnsi="Times New Roman" w:eastAsia="宋体" w:cs="Times New Roman"/>
                <w:color w:val="FF0000"/>
                <w:sz w:val="24"/>
                <w:szCs w:val="24"/>
                <w:highlight w:val="none"/>
              </w:rPr>
              <w:t>对鼓励勘查、开采矿种</w:t>
            </w:r>
            <w:r>
              <w:rPr>
                <w:rFonts w:hint="eastAsia" w:ascii="Times New Roman" w:hAnsi="Times New Roman" w:eastAsia="宋体" w:cs="Times New Roman"/>
                <w:color w:val="FF0000"/>
                <w:sz w:val="24"/>
                <w:szCs w:val="24"/>
                <w:highlight w:val="none"/>
                <w:lang w:eastAsia="zh-CN"/>
              </w:rPr>
              <w:t>；</w:t>
            </w:r>
            <w:r>
              <w:rPr>
                <w:rFonts w:hint="default" w:ascii="Times New Roman" w:hAnsi="Times New Roman" w:eastAsia="宋体" w:cs="Times New Roman"/>
                <w:color w:val="FF0000"/>
                <w:sz w:val="24"/>
                <w:szCs w:val="24"/>
                <w:highlight w:val="none"/>
              </w:rPr>
              <w:t>在符合规划准入条件的前提下，优先设置矿业权;</w:t>
            </w:r>
          </w:p>
          <w:p w14:paraId="494EE9F7">
            <w:pPr>
              <w:pStyle w:val="48"/>
              <w:spacing w:beforeLines="0" w:afterLines="0"/>
              <w:jc w:val="both"/>
              <w:rPr>
                <w:rFonts w:hint="eastAsia" w:ascii="Times New Roman" w:hAnsi="Times New Roman" w:eastAsia="宋体" w:cs="Times New Roman"/>
                <w:color w:val="FF0000"/>
                <w:sz w:val="24"/>
                <w:szCs w:val="24"/>
                <w:highlight w:val="none"/>
                <w:lang w:eastAsia="zh-CN"/>
              </w:rPr>
            </w:pPr>
            <w:r>
              <w:rPr>
                <w:rFonts w:hint="default" w:ascii="Times New Roman" w:hAnsi="Times New Roman" w:eastAsia="宋体" w:cs="Times New Roman"/>
                <w:color w:val="FF0000"/>
                <w:sz w:val="24"/>
                <w:szCs w:val="24"/>
                <w:highlight w:val="none"/>
              </w:rPr>
              <w:t>对限制勘查、开采矿种</w:t>
            </w:r>
            <w:r>
              <w:rPr>
                <w:rFonts w:hint="eastAsia" w:ascii="Times New Roman" w:hAnsi="Times New Roman" w:eastAsia="宋体" w:cs="Times New Roman"/>
                <w:color w:val="FF0000"/>
                <w:sz w:val="24"/>
                <w:szCs w:val="24"/>
                <w:highlight w:val="none"/>
                <w:lang w:eastAsia="zh-CN"/>
              </w:rPr>
              <w:t>：</w:t>
            </w:r>
            <w:r>
              <w:rPr>
                <w:rFonts w:hint="default" w:ascii="Times New Roman" w:hAnsi="Times New Roman" w:eastAsia="宋体" w:cs="Times New Roman"/>
                <w:color w:val="FF0000"/>
                <w:sz w:val="24"/>
                <w:szCs w:val="24"/>
                <w:highlight w:val="none"/>
              </w:rPr>
              <w:t>严格控制探矿权总量，合理调控矿业权投放时序、数量与布局</w:t>
            </w:r>
            <w:r>
              <w:rPr>
                <w:rFonts w:hint="eastAsia" w:ascii="Times New Roman" w:hAnsi="Times New Roman" w:eastAsia="宋体" w:cs="Times New Roman"/>
                <w:color w:val="FF0000"/>
                <w:sz w:val="24"/>
                <w:szCs w:val="24"/>
                <w:highlight w:val="none"/>
                <w:lang w:eastAsia="zh-CN"/>
              </w:rPr>
              <w:t>；</w:t>
            </w:r>
          </w:p>
          <w:p w14:paraId="3C061D0F">
            <w:pPr>
              <w:pStyle w:val="48"/>
              <w:spacing w:beforeLines="0" w:afterLines="0"/>
              <w:jc w:val="both"/>
              <w:rPr>
                <w:rFonts w:hint="default" w:ascii="Times New Roman" w:hAnsi="Times New Roman" w:cs="Times New Roman"/>
                <w:color w:val="FF0000"/>
                <w:sz w:val="24"/>
                <w:szCs w:val="24"/>
                <w:highlight w:val="none"/>
              </w:rPr>
            </w:pPr>
            <w:r>
              <w:rPr>
                <w:rFonts w:hint="default" w:ascii="Times New Roman" w:hAnsi="Times New Roman" w:eastAsia="宋体" w:cs="Times New Roman"/>
                <w:color w:val="FF0000"/>
                <w:sz w:val="24"/>
                <w:szCs w:val="24"/>
                <w:highlight w:val="none"/>
              </w:rPr>
              <w:t>对禁止勘查、开采矿种:不再新设探矿权、采矿权，已有探矿权、采矿权按照有关规定实行逐步退出机制，充分运用经济和法律手段建立有效的退出机制予以退出。</w:t>
            </w:r>
          </w:p>
        </w:tc>
        <w:tc>
          <w:tcPr>
            <w:tcW w:w="2463" w:type="dxa"/>
            <w:vMerge w:val="restart"/>
            <w:tcBorders>
              <w:top w:val="single" w:color="auto" w:sz="4" w:space="0"/>
              <w:left w:val="single" w:color="auto" w:sz="4" w:space="0"/>
              <w:right w:val="single" w:color="auto" w:sz="4" w:space="0"/>
              <w:tl2br w:val="nil"/>
              <w:tr2bl w:val="nil"/>
            </w:tcBorders>
            <w:noWrap w:val="0"/>
            <w:vAlign w:val="center"/>
          </w:tcPr>
          <w:p w14:paraId="00FD561E">
            <w:pPr>
              <w:pStyle w:val="35"/>
              <w:spacing w:line="240" w:lineRule="auto"/>
              <w:jc w:val="center"/>
              <w:rPr>
                <w:rFonts w:hint="default" w:ascii="Times New Roman" w:hAnsi="Times New Roman" w:cs="Times New Roman"/>
                <w:color w:val="FF0000"/>
                <w:sz w:val="24"/>
                <w:szCs w:val="24"/>
                <w:highlight w:val="none"/>
              </w:rPr>
            </w:pPr>
            <w:r>
              <w:rPr>
                <w:rFonts w:hint="default" w:ascii="Times New Roman" w:hAnsi="Times New Roman" w:eastAsia="宋体" w:cs="Times New Roman"/>
                <w:color w:val="FF0000"/>
              </w:rPr>
              <w:t>本项目属于天然石英砂矿开采项目，属于规划中提出的</w:t>
            </w:r>
            <w:r>
              <w:rPr>
                <w:rFonts w:hint="eastAsia" w:ascii="Times New Roman" w:hAnsi="Times New Roman" w:eastAsia="宋体" w:cs="Times New Roman"/>
                <w:color w:val="FF0000"/>
                <w:lang w:val="en-US" w:eastAsia="zh-CN"/>
              </w:rPr>
              <w:t>鼓励</w:t>
            </w:r>
            <w:r>
              <w:rPr>
                <w:rFonts w:hint="default" w:ascii="Times New Roman" w:hAnsi="Times New Roman" w:eastAsia="宋体" w:cs="Times New Roman"/>
                <w:color w:val="FF0000"/>
              </w:rPr>
              <w:t>勘查开采矿种</w:t>
            </w:r>
            <w:r>
              <w:rPr>
                <w:rFonts w:hint="eastAsia" w:ascii="Times New Roman" w:hAnsi="Times New Roman" w:eastAsia="宋体" w:cs="Times New Roman"/>
                <w:color w:val="FF0000"/>
                <w:lang w:eastAsia="zh-CN"/>
              </w:rPr>
              <w:t>，</w:t>
            </w:r>
            <w:r>
              <w:rPr>
                <w:rFonts w:hint="default" w:ascii="Times New Roman" w:hAnsi="Times New Roman" w:eastAsia="宋体" w:cs="Times New Roman"/>
                <w:color w:val="FF0000"/>
              </w:rPr>
              <w:t>故本项目符合</w:t>
            </w:r>
            <w:r>
              <w:rPr>
                <w:rFonts w:hint="eastAsia" w:ascii="Times New Roman" w:hAnsi="Times New Roman" w:eastAsia="宋体" w:cs="Times New Roman"/>
                <w:color w:val="FF0000"/>
                <w:lang w:eastAsia="zh-CN"/>
              </w:rPr>
              <w:t>《</w:t>
            </w:r>
            <w:r>
              <w:rPr>
                <w:rFonts w:hint="eastAsia" w:ascii="Times New Roman" w:hAnsi="Times New Roman" w:eastAsia="宋体" w:cs="Times New Roman"/>
                <w:color w:val="FF0000"/>
                <w:lang w:val="en-US" w:eastAsia="zh-CN"/>
              </w:rPr>
              <w:t>新疆维吾尔自治区昌吉回族自治州矿产资源总体规划（2021-2025）</w:t>
            </w:r>
            <w:r>
              <w:rPr>
                <w:rFonts w:hint="eastAsia" w:ascii="Times New Roman" w:hAnsi="Times New Roman" w:eastAsia="宋体" w:cs="Times New Roman"/>
                <w:color w:val="FF0000"/>
                <w:lang w:eastAsia="zh-CN"/>
              </w:rPr>
              <w:t>》</w:t>
            </w:r>
            <w:r>
              <w:rPr>
                <w:rFonts w:hint="default" w:ascii="Times New Roman" w:hAnsi="Times New Roman" w:eastAsia="宋体" w:cs="Times New Roman"/>
                <w:color w:val="FF0000"/>
              </w:rPr>
              <w:t>要求。</w:t>
            </w:r>
          </w:p>
        </w:tc>
        <w:tc>
          <w:tcPr>
            <w:tcW w:w="456" w:type="dxa"/>
            <w:vMerge w:val="restart"/>
            <w:tcBorders>
              <w:top w:val="single" w:color="auto" w:sz="4" w:space="0"/>
              <w:left w:val="single" w:color="auto" w:sz="4" w:space="0"/>
              <w:right w:val="single" w:color="auto" w:sz="4" w:space="0"/>
              <w:tl2br w:val="nil"/>
              <w:tr2bl w:val="nil"/>
            </w:tcBorders>
            <w:noWrap w:val="0"/>
            <w:vAlign w:val="center"/>
          </w:tcPr>
          <w:p w14:paraId="3DDD81F6">
            <w:pPr>
              <w:pStyle w:val="48"/>
              <w:spacing w:beforeLines="0" w:afterLines="0"/>
              <w:jc w:val="both"/>
              <w:rPr>
                <w:rFonts w:hint="default" w:ascii="Times New Roman" w:hAnsi="Times New Roman" w:eastAsia="宋体" w:cs="Times New Roman"/>
                <w:color w:val="FF0000"/>
                <w:sz w:val="24"/>
                <w:szCs w:val="24"/>
                <w:highlight w:val="none"/>
                <w:lang w:val="en-US" w:eastAsia="zh-CN"/>
              </w:rPr>
            </w:pPr>
            <w:r>
              <w:rPr>
                <w:rFonts w:hint="default" w:ascii="Times New Roman" w:hAnsi="Times New Roman" w:cs="Times New Roman"/>
                <w:color w:val="FF0000"/>
                <w:sz w:val="24"/>
                <w:szCs w:val="24"/>
                <w:highlight w:val="none"/>
                <w:lang w:val="en-US" w:eastAsia="zh-CN"/>
              </w:rPr>
              <w:t>符合</w:t>
            </w:r>
          </w:p>
        </w:tc>
      </w:tr>
      <w:tr w14:paraId="5918F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7"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7CDA1ABF">
            <w:pPr>
              <w:pStyle w:val="48"/>
              <w:spacing w:beforeLines="0" w:afterLines="0"/>
              <w:jc w:val="both"/>
              <w:rPr>
                <w:rFonts w:hint="default" w:ascii="Times New Roman" w:hAnsi="Times New Roman" w:cs="Times New Roman"/>
                <w:color w:val="FF0000"/>
                <w:sz w:val="24"/>
                <w:szCs w:val="24"/>
                <w:highlight w:val="none"/>
              </w:rPr>
            </w:pPr>
          </w:p>
        </w:tc>
        <w:tc>
          <w:tcPr>
            <w:tcW w:w="512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AC08ABB">
            <w:pPr>
              <w:pStyle w:val="48"/>
              <w:spacing w:beforeLines="0" w:afterLines="0"/>
              <w:jc w:val="both"/>
              <w:rPr>
                <w:rFonts w:hint="default" w:ascii="Times New Roman" w:hAnsi="Times New Roman" w:cs="Times New Roman"/>
                <w:color w:val="FF0000"/>
                <w:sz w:val="24"/>
                <w:szCs w:val="24"/>
                <w:highlight w:val="none"/>
              </w:rPr>
            </w:pPr>
            <w:r>
              <w:rPr>
                <w:rFonts w:hint="default" w:ascii="Times New Roman" w:hAnsi="Times New Roman" w:cs="Times New Roman"/>
                <w:color w:val="FF0000"/>
                <w:sz w:val="24"/>
                <w:szCs w:val="24"/>
                <w:highlight w:val="none"/>
              </w:rPr>
              <w:t>第二节 矿产资源产业重点发展区域、合理调控矿产资源开发总量</w:t>
            </w:r>
          </w:p>
          <w:p w14:paraId="09390BE6">
            <w:pPr>
              <w:pStyle w:val="48"/>
              <w:spacing w:beforeLines="0" w:afterLines="0"/>
              <w:jc w:val="both"/>
              <w:rPr>
                <w:rFonts w:hint="default" w:ascii="Times New Roman" w:hAnsi="Times New Roman" w:cs="Times New Roman"/>
                <w:color w:val="FF0000"/>
                <w:sz w:val="24"/>
                <w:szCs w:val="24"/>
                <w:highlight w:val="none"/>
              </w:rPr>
            </w:pPr>
            <w:r>
              <w:rPr>
                <w:rFonts w:hint="default" w:ascii="Times New Roman" w:hAnsi="Times New Roman" w:cs="Times New Roman"/>
                <w:color w:val="FF0000"/>
                <w:sz w:val="24"/>
                <w:szCs w:val="24"/>
                <w:highlight w:val="none"/>
              </w:rPr>
              <w:t>(二)非金属矿产:以饰面用花岗岩、石灰石、天然石英砂等为重点，提升非金属矿产利用水平和深加工能力，促进非金属矿产集约化、规模化发展。2025年，饰面用花岗岩开采量达200万立方米/年，石灰石年产量达500万吨，天然石英砂年产量达400万吨。</w:t>
            </w:r>
          </w:p>
        </w:tc>
        <w:tc>
          <w:tcPr>
            <w:tcW w:w="2463" w:type="dxa"/>
            <w:vMerge w:val="continue"/>
            <w:tcBorders>
              <w:left w:val="single" w:color="auto" w:sz="4" w:space="0"/>
              <w:bottom w:val="single" w:color="auto" w:sz="4" w:space="0"/>
              <w:right w:val="single" w:color="auto" w:sz="4" w:space="0"/>
              <w:tl2br w:val="nil"/>
              <w:tr2bl w:val="nil"/>
            </w:tcBorders>
            <w:noWrap w:val="0"/>
            <w:vAlign w:val="center"/>
          </w:tcPr>
          <w:p w14:paraId="26006E03">
            <w:pPr>
              <w:pStyle w:val="48"/>
              <w:spacing w:beforeLines="0" w:afterLines="0"/>
              <w:jc w:val="both"/>
              <w:rPr>
                <w:rFonts w:hint="default" w:ascii="Times New Roman" w:hAnsi="Times New Roman" w:cs="Times New Roman"/>
                <w:color w:val="auto"/>
                <w:sz w:val="24"/>
                <w:szCs w:val="24"/>
                <w:highlight w:val="none"/>
              </w:rPr>
            </w:pPr>
          </w:p>
        </w:tc>
        <w:tc>
          <w:tcPr>
            <w:tcW w:w="456" w:type="dxa"/>
            <w:vMerge w:val="continue"/>
            <w:tcBorders>
              <w:left w:val="single" w:color="auto" w:sz="4" w:space="0"/>
              <w:bottom w:val="single" w:color="auto" w:sz="4" w:space="0"/>
              <w:right w:val="single" w:color="auto" w:sz="4" w:space="0"/>
              <w:tl2br w:val="nil"/>
              <w:tr2bl w:val="nil"/>
            </w:tcBorders>
            <w:noWrap w:val="0"/>
            <w:vAlign w:val="center"/>
          </w:tcPr>
          <w:p w14:paraId="3EC1EE7A">
            <w:pPr>
              <w:pStyle w:val="48"/>
              <w:spacing w:beforeLines="0" w:afterLines="0"/>
              <w:jc w:val="both"/>
              <w:rPr>
                <w:rFonts w:hint="default" w:ascii="Times New Roman" w:hAnsi="Times New Roman" w:eastAsia="宋体" w:cs="Times New Roman"/>
                <w:color w:val="auto"/>
                <w:sz w:val="24"/>
                <w:szCs w:val="24"/>
                <w:highlight w:val="none"/>
                <w:lang w:val="en-US" w:eastAsia="zh-CN"/>
              </w:rPr>
            </w:pPr>
          </w:p>
        </w:tc>
      </w:tr>
    </w:tbl>
    <w:p w14:paraId="6730F8E8">
      <w:pPr>
        <w:rPr>
          <w:rFonts w:hint="default"/>
        </w:rPr>
      </w:pPr>
    </w:p>
    <w:p w14:paraId="30D583C7">
      <w:pPr>
        <w:pStyle w:val="5"/>
        <w:bidi w:val="0"/>
        <w:rPr>
          <w:rFonts w:hint="default"/>
        </w:rPr>
      </w:pPr>
      <w:r>
        <w:rPr>
          <w:rFonts w:hint="default"/>
        </w:rPr>
        <w:t>与《新疆维吾尔自治区阜康市矿产资源总体规划（2021-2025年）》的符合性分析</w:t>
      </w:r>
    </w:p>
    <w:p w14:paraId="6959424D">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根据《新疆维吾尔自治区阜康市矿产资源总体规划（2021-2025年）》，规划提出，“（一）矿产资源勘查开发调控方向：</w:t>
      </w:r>
    </w:p>
    <w:p w14:paraId="5FCEA251">
      <w:pPr>
        <w:numPr>
          <w:ilvl w:val="0"/>
          <w:numId w:val="7"/>
        </w:numPr>
        <w:spacing w:beforeLines="0" w:afterLines="0"/>
        <w:ind w:firstLine="5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重要矿产勘查开发方向落实国家能源资源安全战略和自治区、昌吉州的重点、限制、禁止勘查开采矿种，结合阜康市实际，确定阜康市重点、限制、禁止勘查开发矿种。</w:t>
      </w:r>
    </w:p>
    <w:p w14:paraId="3761CB5E">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重点勘查开采的矿种：石油、天然气、煤炭、煤层气、油页岩、石灰岩、天然石英砂、水泥用页岩、陶瓷土、高岭土等矿产和自治区紧缺和市场需求量较大的矿产。</w:t>
      </w:r>
    </w:p>
    <w:p w14:paraId="703A2318">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限制开采矿种：砖瓦用粘土等矿产，严格控制国家特定保护性开采矿产。阜康市为国家第一批“限粘”城市，禁止新设砖瓦用粘土采矿权。</w:t>
      </w:r>
    </w:p>
    <w:p w14:paraId="42BFC695">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禁止开采矿种：禁止开采砷和放射性等有毒有害物质超过规定标准的煤炭项目，砂铁、汞、可耕地砖瓦用粘土等矿产。”</w:t>
      </w:r>
    </w:p>
    <w:p w14:paraId="5942E544">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本次规划在市辖区划定矿产资源重点开采区3个（专栏8），其中2个为落实自治区重点开采区，1个为落实昌吉州重点开采区。</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9"/>
        <w:gridCol w:w="2551"/>
        <w:gridCol w:w="1985"/>
        <w:gridCol w:w="1984"/>
        <w:gridCol w:w="1671"/>
      </w:tblGrid>
      <w:tr w14:paraId="24F22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070" w:type="dxa"/>
            <w:gridSpan w:val="5"/>
            <w:tcBorders>
              <w:top w:val="single" w:color="auto" w:sz="4" w:space="0"/>
              <w:left w:val="single" w:color="auto" w:sz="4" w:space="0"/>
              <w:bottom w:val="single" w:color="auto" w:sz="4" w:space="0"/>
              <w:right w:val="single" w:color="auto" w:sz="4" w:space="0"/>
              <w:tl2br w:val="nil"/>
              <w:tr2bl w:val="nil"/>
            </w:tcBorders>
            <w:shd w:val="clear" w:color="auto" w:fill="D9D9D9"/>
            <w:noWrap w:val="0"/>
            <w:tcMar>
              <w:left w:w="28" w:type="dxa"/>
              <w:right w:w="28" w:type="dxa"/>
            </w:tcMar>
            <w:vAlign w:val="center"/>
          </w:tcPr>
          <w:p w14:paraId="37FD83A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 xml:space="preserve">专栏8  </w:t>
            </w: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rPr>
              <w:t>矿产资源重点开采区</w:t>
            </w:r>
          </w:p>
        </w:tc>
      </w:tr>
      <w:tr w14:paraId="6653D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9" w:type="dxa"/>
            <w:tcBorders>
              <w:top w:val="single" w:color="auto" w:sz="4" w:space="0"/>
              <w:left w:val="single" w:color="auto" w:sz="4" w:space="0"/>
              <w:bottom w:val="single" w:color="auto" w:sz="4" w:space="0"/>
              <w:right w:val="single" w:color="auto" w:sz="4" w:space="0"/>
              <w:tl2br w:val="nil"/>
              <w:tr2bl w:val="nil"/>
            </w:tcBorders>
            <w:noWrap w:val="0"/>
            <w:tcMar>
              <w:left w:w="28" w:type="dxa"/>
              <w:right w:w="28" w:type="dxa"/>
            </w:tcMar>
            <w:vAlign w:val="center"/>
          </w:tcPr>
          <w:p w14:paraId="64E6ABA8">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序号</w:t>
            </w:r>
          </w:p>
        </w:tc>
        <w:tc>
          <w:tcPr>
            <w:tcW w:w="2551" w:type="dxa"/>
            <w:tcBorders>
              <w:top w:val="single" w:color="auto" w:sz="4" w:space="0"/>
              <w:left w:val="single" w:color="auto" w:sz="4" w:space="0"/>
              <w:bottom w:val="single" w:color="auto" w:sz="4" w:space="0"/>
              <w:right w:val="single" w:color="auto" w:sz="4" w:space="0"/>
              <w:tl2br w:val="nil"/>
              <w:tr2bl w:val="nil"/>
            </w:tcBorders>
            <w:noWrap w:val="0"/>
            <w:tcMar>
              <w:left w:w="28" w:type="dxa"/>
              <w:right w:w="28" w:type="dxa"/>
            </w:tcMar>
            <w:vAlign w:val="center"/>
          </w:tcPr>
          <w:p w14:paraId="0CF7081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分区名称</w:t>
            </w:r>
          </w:p>
        </w:tc>
        <w:tc>
          <w:tcPr>
            <w:tcW w:w="1985" w:type="dxa"/>
            <w:tcBorders>
              <w:top w:val="single" w:color="auto" w:sz="4" w:space="0"/>
              <w:left w:val="single" w:color="auto" w:sz="4" w:space="0"/>
              <w:bottom w:val="single" w:color="auto" w:sz="4" w:space="0"/>
              <w:right w:val="single" w:color="auto" w:sz="4" w:space="0"/>
              <w:tl2br w:val="nil"/>
              <w:tr2bl w:val="nil"/>
            </w:tcBorders>
            <w:noWrap w:val="0"/>
            <w:tcMar>
              <w:left w:w="28" w:type="dxa"/>
              <w:right w:w="28" w:type="dxa"/>
            </w:tcMar>
            <w:vAlign w:val="center"/>
          </w:tcPr>
          <w:p w14:paraId="2977FF27">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开采矿种</w:t>
            </w:r>
          </w:p>
        </w:tc>
        <w:tc>
          <w:tcPr>
            <w:tcW w:w="1984" w:type="dxa"/>
            <w:tcBorders>
              <w:top w:val="single" w:color="auto" w:sz="4" w:space="0"/>
              <w:left w:val="single" w:color="auto" w:sz="4" w:space="0"/>
              <w:bottom w:val="single" w:color="auto" w:sz="4" w:space="0"/>
              <w:right w:val="single" w:color="auto" w:sz="4" w:space="0"/>
              <w:tl2br w:val="nil"/>
              <w:tr2bl w:val="nil"/>
            </w:tcBorders>
            <w:noWrap w:val="0"/>
            <w:tcMar>
              <w:left w:w="28" w:type="dxa"/>
              <w:right w:w="28" w:type="dxa"/>
            </w:tcMar>
            <w:vAlign w:val="center"/>
          </w:tcPr>
          <w:p w14:paraId="392CCCC1">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市内面积</w:t>
            </w:r>
          </w:p>
          <w:p w14:paraId="57EF2255">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（平方千米）</w:t>
            </w:r>
          </w:p>
        </w:tc>
        <w:tc>
          <w:tcPr>
            <w:tcW w:w="1671" w:type="dxa"/>
            <w:tcBorders>
              <w:top w:val="single" w:color="auto" w:sz="4" w:space="0"/>
              <w:left w:val="single" w:color="auto" w:sz="4" w:space="0"/>
              <w:bottom w:val="single" w:color="auto" w:sz="4" w:space="0"/>
              <w:right w:val="single" w:color="auto" w:sz="4" w:space="0"/>
              <w:tl2br w:val="nil"/>
              <w:tr2bl w:val="nil"/>
            </w:tcBorders>
            <w:noWrap w:val="0"/>
            <w:tcMar>
              <w:left w:w="28" w:type="dxa"/>
              <w:right w:w="28" w:type="dxa"/>
            </w:tcMar>
            <w:vAlign w:val="center"/>
          </w:tcPr>
          <w:p w14:paraId="50B107D1">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备注</w:t>
            </w:r>
          </w:p>
        </w:tc>
      </w:tr>
      <w:tr w14:paraId="4170E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9" w:type="dxa"/>
            <w:tcBorders>
              <w:top w:val="single" w:color="auto" w:sz="4" w:space="0"/>
              <w:left w:val="single" w:color="auto" w:sz="4" w:space="0"/>
              <w:bottom w:val="single" w:color="auto" w:sz="4" w:space="0"/>
              <w:right w:val="single" w:color="auto" w:sz="4" w:space="0"/>
              <w:tl2br w:val="nil"/>
              <w:tr2bl w:val="nil"/>
            </w:tcBorders>
            <w:noWrap w:val="0"/>
            <w:tcMar>
              <w:left w:w="28" w:type="dxa"/>
              <w:right w:w="28" w:type="dxa"/>
            </w:tcMar>
            <w:vAlign w:val="center"/>
          </w:tcPr>
          <w:p w14:paraId="35469B3B">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w:t>
            </w:r>
          </w:p>
        </w:tc>
        <w:tc>
          <w:tcPr>
            <w:tcW w:w="2551" w:type="dxa"/>
            <w:tcBorders>
              <w:top w:val="single" w:color="auto" w:sz="4" w:space="0"/>
              <w:left w:val="single" w:color="auto" w:sz="4" w:space="0"/>
              <w:bottom w:val="single" w:color="auto" w:sz="4" w:space="0"/>
              <w:right w:val="single" w:color="auto" w:sz="4" w:space="0"/>
              <w:tl2br w:val="nil"/>
              <w:tr2bl w:val="nil"/>
            </w:tcBorders>
            <w:noWrap w:val="0"/>
            <w:tcMar>
              <w:left w:w="28" w:type="dxa"/>
              <w:right w:w="28" w:type="dxa"/>
            </w:tcMar>
            <w:vAlign w:val="center"/>
          </w:tcPr>
          <w:p w14:paraId="2326CEB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准噶尔南缘煤层气重点开采区</w:t>
            </w:r>
          </w:p>
        </w:tc>
        <w:tc>
          <w:tcPr>
            <w:tcW w:w="1985" w:type="dxa"/>
            <w:tcBorders>
              <w:top w:val="single" w:color="auto" w:sz="4" w:space="0"/>
              <w:left w:val="single" w:color="auto" w:sz="4" w:space="0"/>
              <w:bottom w:val="single" w:color="auto" w:sz="4" w:space="0"/>
              <w:right w:val="single" w:color="auto" w:sz="4" w:space="0"/>
              <w:tl2br w:val="nil"/>
              <w:tr2bl w:val="nil"/>
            </w:tcBorders>
            <w:noWrap w:val="0"/>
            <w:tcMar>
              <w:left w:w="28" w:type="dxa"/>
              <w:right w:w="28" w:type="dxa"/>
            </w:tcMar>
            <w:vAlign w:val="center"/>
          </w:tcPr>
          <w:p w14:paraId="45C8BC8A">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煤层气</w:t>
            </w:r>
          </w:p>
        </w:tc>
        <w:tc>
          <w:tcPr>
            <w:tcW w:w="1984" w:type="dxa"/>
            <w:tcBorders>
              <w:top w:val="single" w:color="auto" w:sz="4" w:space="0"/>
              <w:left w:val="single" w:color="auto" w:sz="4" w:space="0"/>
              <w:bottom w:val="single" w:color="auto" w:sz="4" w:space="0"/>
              <w:right w:val="single" w:color="auto" w:sz="4" w:space="0"/>
              <w:tl2br w:val="nil"/>
              <w:tr2bl w:val="nil"/>
            </w:tcBorders>
            <w:noWrap w:val="0"/>
            <w:tcMar>
              <w:left w:w="28" w:type="dxa"/>
              <w:right w:w="28" w:type="dxa"/>
            </w:tcMar>
            <w:vAlign w:val="center"/>
          </w:tcPr>
          <w:p w14:paraId="02F63425">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700.9199</w:t>
            </w:r>
          </w:p>
        </w:tc>
        <w:tc>
          <w:tcPr>
            <w:tcW w:w="1671" w:type="dxa"/>
            <w:tcBorders>
              <w:top w:val="single" w:color="auto" w:sz="4" w:space="0"/>
              <w:left w:val="single" w:color="auto" w:sz="4" w:space="0"/>
              <w:bottom w:val="single" w:color="auto" w:sz="4" w:space="0"/>
              <w:right w:val="single" w:color="auto" w:sz="4" w:space="0"/>
              <w:tl2br w:val="nil"/>
              <w:tr2bl w:val="nil"/>
            </w:tcBorders>
            <w:noWrap w:val="0"/>
            <w:tcMar>
              <w:left w:w="28" w:type="dxa"/>
              <w:right w:w="28" w:type="dxa"/>
            </w:tcMar>
            <w:vAlign w:val="center"/>
          </w:tcPr>
          <w:p w14:paraId="60371C45">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自治区级</w:t>
            </w:r>
          </w:p>
        </w:tc>
      </w:tr>
      <w:tr w14:paraId="0A7DA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9" w:type="dxa"/>
            <w:tcBorders>
              <w:top w:val="single" w:color="auto" w:sz="4" w:space="0"/>
              <w:left w:val="single" w:color="auto" w:sz="4" w:space="0"/>
              <w:bottom w:val="single" w:color="auto" w:sz="4" w:space="0"/>
              <w:right w:val="single" w:color="auto" w:sz="4" w:space="0"/>
              <w:tl2br w:val="nil"/>
              <w:tr2bl w:val="nil"/>
            </w:tcBorders>
            <w:noWrap w:val="0"/>
            <w:tcMar>
              <w:left w:w="28" w:type="dxa"/>
              <w:right w:w="28" w:type="dxa"/>
            </w:tcMar>
            <w:vAlign w:val="center"/>
          </w:tcPr>
          <w:p w14:paraId="44976B61">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w:t>
            </w:r>
          </w:p>
        </w:tc>
        <w:tc>
          <w:tcPr>
            <w:tcW w:w="2551" w:type="dxa"/>
            <w:tcBorders>
              <w:top w:val="single" w:color="auto" w:sz="4" w:space="0"/>
              <w:left w:val="single" w:color="auto" w:sz="4" w:space="0"/>
              <w:bottom w:val="single" w:color="auto" w:sz="4" w:space="0"/>
              <w:right w:val="single" w:color="auto" w:sz="4" w:space="0"/>
              <w:tl2br w:val="nil"/>
              <w:tr2bl w:val="nil"/>
            </w:tcBorders>
            <w:noWrap w:val="0"/>
            <w:tcMar>
              <w:left w:w="28" w:type="dxa"/>
              <w:right w:w="28" w:type="dxa"/>
            </w:tcMar>
            <w:vAlign w:val="center"/>
          </w:tcPr>
          <w:p w14:paraId="57741863">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阜康水溪沟煤炭重点开采区</w:t>
            </w:r>
          </w:p>
        </w:tc>
        <w:tc>
          <w:tcPr>
            <w:tcW w:w="1985" w:type="dxa"/>
            <w:tcBorders>
              <w:top w:val="single" w:color="auto" w:sz="4" w:space="0"/>
              <w:left w:val="single" w:color="auto" w:sz="4" w:space="0"/>
              <w:bottom w:val="single" w:color="auto" w:sz="4" w:space="0"/>
              <w:right w:val="single" w:color="auto" w:sz="4" w:space="0"/>
              <w:tl2br w:val="nil"/>
              <w:tr2bl w:val="nil"/>
            </w:tcBorders>
            <w:noWrap w:val="0"/>
            <w:tcMar>
              <w:left w:w="28" w:type="dxa"/>
              <w:right w:w="28" w:type="dxa"/>
            </w:tcMar>
            <w:vAlign w:val="center"/>
          </w:tcPr>
          <w:p w14:paraId="1FD00838">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煤</w:t>
            </w:r>
          </w:p>
        </w:tc>
        <w:tc>
          <w:tcPr>
            <w:tcW w:w="1984" w:type="dxa"/>
            <w:tcBorders>
              <w:top w:val="nil"/>
              <w:left w:val="single" w:color="auto" w:sz="4" w:space="0"/>
              <w:bottom w:val="single" w:color="auto" w:sz="4" w:space="0"/>
              <w:right w:val="single" w:color="auto" w:sz="4" w:space="0"/>
              <w:tl2br w:val="nil"/>
              <w:tr2bl w:val="nil"/>
            </w:tcBorders>
            <w:noWrap w:val="0"/>
            <w:tcMar>
              <w:left w:w="28" w:type="dxa"/>
              <w:right w:w="28" w:type="dxa"/>
            </w:tcMar>
            <w:vAlign w:val="center"/>
          </w:tcPr>
          <w:p w14:paraId="3D342E98">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226.3487</w:t>
            </w:r>
          </w:p>
        </w:tc>
        <w:tc>
          <w:tcPr>
            <w:tcW w:w="1671" w:type="dxa"/>
            <w:tcBorders>
              <w:top w:val="single" w:color="auto" w:sz="4" w:space="0"/>
              <w:left w:val="single" w:color="auto" w:sz="4" w:space="0"/>
              <w:bottom w:val="single" w:color="auto" w:sz="4" w:space="0"/>
              <w:right w:val="single" w:color="auto" w:sz="4" w:space="0"/>
              <w:tl2br w:val="nil"/>
              <w:tr2bl w:val="nil"/>
            </w:tcBorders>
            <w:noWrap w:val="0"/>
            <w:tcMar>
              <w:left w:w="28" w:type="dxa"/>
              <w:right w:w="28" w:type="dxa"/>
            </w:tcMar>
            <w:vAlign w:val="center"/>
          </w:tcPr>
          <w:p w14:paraId="6554D3D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自治区级</w:t>
            </w:r>
          </w:p>
        </w:tc>
      </w:tr>
      <w:tr w14:paraId="795C7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9" w:type="dxa"/>
            <w:tcBorders>
              <w:top w:val="single" w:color="auto" w:sz="4" w:space="0"/>
              <w:left w:val="single" w:color="auto" w:sz="4" w:space="0"/>
              <w:bottom w:val="single" w:color="auto" w:sz="4" w:space="0"/>
              <w:right w:val="single" w:color="auto" w:sz="4" w:space="0"/>
              <w:tl2br w:val="nil"/>
              <w:tr2bl w:val="nil"/>
            </w:tcBorders>
            <w:noWrap w:val="0"/>
            <w:tcMar>
              <w:left w:w="28" w:type="dxa"/>
              <w:right w:w="28" w:type="dxa"/>
            </w:tcMar>
            <w:vAlign w:val="center"/>
          </w:tcPr>
          <w:p w14:paraId="38DAA5F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w:t>
            </w:r>
          </w:p>
        </w:tc>
        <w:tc>
          <w:tcPr>
            <w:tcW w:w="2551" w:type="dxa"/>
            <w:tcBorders>
              <w:top w:val="single" w:color="auto" w:sz="4" w:space="0"/>
              <w:left w:val="single" w:color="auto" w:sz="4" w:space="0"/>
              <w:bottom w:val="single" w:color="auto" w:sz="4" w:space="0"/>
              <w:right w:val="single" w:color="auto" w:sz="4" w:space="0"/>
              <w:tl2br w:val="nil"/>
              <w:tr2bl w:val="nil"/>
            </w:tcBorders>
            <w:noWrap w:val="0"/>
            <w:tcMar>
              <w:left w:w="28" w:type="dxa"/>
              <w:right w:w="28" w:type="dxa"/>
            </w:tcMar>
            <w:vAlign w:val="center"/>
          </w:tcPr>
          <w:p w14:paraId="6B43AEDC">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阜康市北部石英砂矿重点开采区</w:t>
            </w:r>
          </w:p>
        </w:tc>
        <w:tc>
          <w:tcPr>
            <w:tcW w:w="1985" w:type="dxa"/>
            <w:tcBorders>
              <w:top w:val="single" w:color="auto" w:sz="4" w:space="0"/>
              <w:left w:val="single" w:color="auto" w:sz="4" w:space="0"/>
              <w:bottom w:val="single" w:color="auto" w:sz="4" w:space="0"/>
              <w:right w:val="single" w:color="auto" w:sz="4" w:space="0"/>
              <w:tl2br w:val="nil"/>
              <w:tr2bl w:val="nil"/>
            </w:tcBorders>
            <w:noWrap w:val="0"/>
            <w:tcMar>
              <w:left w:w="28" w:type="dxa"/>
              <w:right w:w="28" w:type="dxa"/>
            </w:tcMar>
            <w:vAlign w:val="center"/>
          </w:tcPr>
          <w:p w14:paraId="14C9826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天然石英砂</w:t>
            </w:r>
          </w:p>
        </w:tc>
        <w:tc>
          <w:tcPr>
            <w:tcW w:w="1984" w:type="dxa"/>
            <w:tcBorders>
              <w:top w:val="nil"/>
              <w:left w:val="single" w:color="auto" w:sz="4" w:space="0"/>
              <w:bottom w:val="single" w:color="auto" w:sz="4" w:space="0"/>
              <w:right w:val="single" w:color="auto" w:sz="4" w:space="0"/>
              <w:tl2br w:val="nil"/>
              <w:tr2bl w:val="nil"/>
            </w:tcBorders>
            <w:noWrap w:val="0"/>
            <w:tcMar>
              <w:left w:w="28" w:type="dxa"/>
              <w:right w:w="28" w:type="dxa"/>
            </w:tcMar>
            <w:vAlign w:val="center"/>
          </w:tcPr>
          <w:p w14:paraId="550D6F1C">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90.5464</w:t>
            </w:r>
          </w:p>
        </w:tc>
        <w:tc>
          <w:tcPr>
            <w:tcW w:w="1671" w:type="dxa"/>
            <w:tcBorders>
              <w:top w:val="single" w:color="auto" w:sz="4" w:space="0"/>
              <w:left w:val="single" w:color="auto" w:sz="4" w:space="0"/>
              <w:bottom w:val="single" w:color="auto" w:sz="4" w:space="0"/>
              <w:right w:val="single" w:color="auto" w:sz="4" w:space="0"/>
              <w:tl2br w:val="nil"/>
              <w:tr2bl w:val="nil"/>
            </w:tcBorders>
            <w:noWrap w:val="0"/>
            <w:tcMar>
              <w:left w:w="28" w:type="dxa"/>
              <w:right w:w="28" w:type="dxa"/>
            </w:tcMar>
            <w:vAlign w:val="center"/>
          </w:tcPr>
          <w:p w14:paraId="5F06D36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昌吉州级</w:t>
            </w:r>
          </w:p>
        </w:tc>
      </w:tr>
    </w:tbl>
    <w:p w14:paraId="6E9CBF00">
      <w:pPr>
        <w:pStyle w:val="14"/>
        <w:kinsoku w:val="0"/>
        <w:overflowPunct w:val="0"/>
        <w:spacing w:beforeLines="0" w:afterLines="0"/>
        <w:ind w:left="0"/>
        <w:rPr>
          <w:rFonts w:hint="default" w:ascii="Times New Roman" w:hAnsi="Times New Roman" w:cs="Times New Roman"/>
          <w:color w:val="auto"/>
          <w:position w:val="-137"/>
          <w:sz w:val="20"/>
          <w:szCs w:val="24"/>
          <w:highlight w:val="none"/>
        </w:rPr>
      </w:pPr>
      <w:r>
        <w:rPr>
          <w:rFonts w:hint="default" w:ascii="Times New Roman" w:hAnsi="Times New Roman" w:cs="Times New Roman"/>
          <w:color w:val="auto"/>
          <w:sz w:val="24"/>
          <w:szCs w:val="24"/>
          <w:highlight w:val="none"/>
        </w:rPr>
        <w:t>在重点开采区向资源利用率高、技术先进的大中型矿山企业倾斜，引导和支持各类生产要素集聚，优化资源配置，进一步做好矿产资源整合，推动资源规模化、集约化和规范化开发，提高资源保障能力。</w:t>
      </w:r>
    </w:p>
    <w:p w14:paraId="0D44A218">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本项目属于天然石英砂矿开采项目，属于规划中提出的重点勘查开采矿种；</w:t>
      </w:r>
      <w:r>
        <w:rPr>
          <w:rFonts w:hint="default" w:ascii="Times New Roman" w:hAnsi="Times New Roman" w:cs="Times New Roman"/>
          <w:color w:val="auto"/>
          <w:sz w:val="24"/>
          <w:szCs w:val="24"/>
          <w:highlight w:val="none"/>
          <w:lang w:val="en-US" w:eastAsia="zh-CN"/>
        </w:rPr>
        <w:t>且</w:t>
      </w:r>
      <w:r>
        <w:rPr>
          <w:rFonts w:hint="default" w:ascii="Times New Roman" w:hAnsi="Times New Roman" w:cs="Times New Roman"/>
          <w:color w:val="auto"/>
          <w:sz w:val="24"/>
          <w:szCs w:val="24"/>
          <w:highlight w:val="none"/>
        </w:rPr>
        <w:t>本项目位于规划中划分的阜康市北部石英砂矿重点开采区（昌吉州级）</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故本项目符合新疆维吾尔自治区阜康市矿产资源总体规划（2021-2025年）》要求。</w:t>
      </w:r>
    </w:p>
    <w:p w14:paraId="2CACB2BB">
      <w:pPr>
        <w:pStyle w:val="5"/>
        <w:bidi w:val="0"/>
        <w:rPr>
          <w:rFonts w:hint="default"/>
        </w:rPr>
      </w:pPr>
      <w:bookmarkStart w:id="35" w:name="1.4.3.9与《新疆维吾尔自治区矿产资源管理条例》的符合性分析"/>
      <w:bookmarkEnd w:id="35"/>
      <w:r>
        <w:rPr>
          <w:rFonts w:hint="eastAsia"/>
          <w:lang w:val="en-US" w:eastAsia="zh-CN"/>
        </w:rPr>
        <w:t>与七部委《关于进一步加强绿色矿山建设的通知》（自然资规〔2024〕1号）符合性分析</w:t>
      </w:r>
    </w:p>
    <w:p w14:paraId="4A5B0240">
      <w:pPr>
        <w:spacing w:line="240" w:lineRule="auto"/>
        <w:jc w:val="center"/>
        <w:rPr>
          <w:rFonts w:hint="default"/>
          <w:b/>
          <w:bCs/>
          <w:highlight w:val="none"/>
          <w:lang w:val="en-US"/>
        </w:rPr>
      </w:pPr>
      <w:r>
        <w:rPr>
          <w:rFonts w:hint="eastAsia" w:ascii="宋体" w:hAnsi="宋体" w:eastAsia="宋体" w:cs="宋体"/>
          <w:b/>
          <w:bCs/>
          <w:color w:val="FF0000"/>
          <w:kern w:val="0"/>
          <w:sz w:val="24"/>
          <w:szCs w:val="24"/>
          <w:highlight w:val="none"/>
          <w:lang w:val="en-US" w:eastAsia="zh-CN" w:bidi="ar-SA"/>
        </w:rPr>
        <w:t>表</w:t>
      </w:r>
      <w:r>
        <w:rPr>
          <w:rFonts w:hint="eastAsia" w:ascii="宋体" w:hAnsi="宋体" w:cs="宋体"/>
          <w:b/>
          <w:bCs/>
          <w:color w:val="FF0000"/>
          <w:kern w:val="0"/>
          <w:sz w:val="24"/>
          <w:szCs w:val="24"/>
          <w:highlight w:val="none"/>
          <w:lang w:val="en-US" w:eastAsia="zh-CN" w:bidi="ar-SA"/>
        </w:rPr>
        <w:t>1.4-8</w:t>
      </w:r>
      <w:r>
        <w:rPr>
          <w:rFonts w:hint="eastAsia" w:ascii="宋体" w:hAnsi="宋体" w:eastAsia="宋体" w:cs="宋体"/>
          <w:b/>
          <w:bCs/>
          <w:color w:val="FF0000"/>
          <w:kern w:val="0"/>
          <w:sz w:val="24"/>
          <w:szCs w:val="24"/>
          <w:highlight w:val="none"/>
          <w:lang w:val="en-US" w:eastAsia="zh-CN" w:bidi="ar-SA"/>
        </w:rPr>
        <w:t xml:space="preserve">   本项目与《关于进一步加强绿色矿山建设的通知》符合性分析</w:t>
      </w:r>
    </w:p>
    <w:tbl>
      <w:tblPr>
        <w:tblStyle w:val="31"/>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90"/>
        <w:gridCol w:w="3499"/>
        <w:gridCol w:w="1090"/>
      </w:tblGrid>
      <w:tr w14:paraId="1F5C9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CDAAD0C">
            <w:pPr>
              <w:pStyle w:val="48"/>
              <w:spacing w:beforeLines="0" w:afterLines="0"/>
              <w:jc w:val="center"/>
              <w:rPr>
                <w:rFonts w:hint="default" w:ascii="Times New Roman" w:hAnsi="Times New Roman" w:cs="Times New Roman"/>
                <w:color w:val="FF0000"/>
                <w:sz w:val="24"/>
                <w:szCs w:val="24"/>
                <w:highlight w:val="none"/>
                <w:lang w:val="en-US" w:eastAsia="zh-CN"/>
              </w:rPr>
            </w:pPr>
            <w:r>
              <w:rPr>
                <w:rFonts w:hint="default" w:ascii="Times New Roman" w:hAnsi="Times New Roman" w:cs="Times New Roman"/>
                <w:color w:val="FF0000"/>
                <w:sz w:val="24"/>
                <w:szCs w:val="24"/>
                <w:highlight w:val="none"/>
                <w:lang w:val="en-US" w:eastAsia="zh-CN"/>
              </w:rPr>
              <w:t>相关条款</w:t>
            </w:r>
          </w:p>
        </w:tc>
        <w:tc>
          <w:tcPr>
            <w:tcW w:w="188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9056034">
            <w:pPr>
              <w:pStyle w:val="48"/>
              <w:spacing w:beforeLines="0" w:afterLines="0"/>
              <w:jc w:val="center"/>
              <w:rPr>
                <w:rFonts w:hint="default" w:ascii="Times New Roman" w:hAnsi="Times New Roman" w:cs="Times New Roman"/>
                <w:color w:val="FF0000"/>
                <w:sz w:val="24"/>
                <w:szCs w:val="24"/>
                <w:highlight w:val="none"/>
                <w:lang w:val="en-US" w:eastAsia="zh-CN"/>
              </w:rPr>
            </w:pPr>
            <w:r>
              <w:rPr>
                <w:rFonts w:hint="default" w:ascii="Times New Roman" w:hAnsi="Times New Roman" w:cs="Times New Roman"/>
                <w:color w:val="FF0000"/>
                <w:sz w:val="24"/>
                <w:szCs w:val="24"/>
                <w:highlight w:val="none"/>
                <w:lang w:val="en-US" w:eastAsia="zh-CN"/>
              </w:rPr>
              <w:t>本项目</w:t>
            </w:r>
          </w:p>
        </w:tc>
        <w:tc>
          <w:tcPr>
            <w:tcW w:w="58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CB512D9">
            <w:pPr>
              <w:pStyle w:val="48"/>
              <w:spacing w:beforeLines="0" w:afterLines="0"/>
              <w:jc w:val="center"/>
              <w:rPr>
                <w:rFonts w:hint="default" w:ascii="Times New Roman" w:hAnsi="Times New Roman" w:cs="Times New Roman"/>
                <w:color w:val="FF0000"/>
                <w:sz w:val="24"/>
                <w:szCs w:val="24"/>
                <w:highlight w:val="none"/>
                <w:lang w:val="en-US" w:eastAsia="zh-CN"/>
              </w:rPr>
            </w:pPr>
            <w:r>
              <w:rPr>
                <w:rFonts w:hint="default" w:ascii="Times New Roman" w:hAnsi="Times New Roman" w:cs="Times New Roman"/>
                <w:color w:val="FF0000"/>
                <w:sz w:val="24"/>
                <w:szCs w:val="24"/>
                <w:highlight w:val="none"/>
                <w:lang w:val="en-US" w:eastAsia="zh-CN"/>
              </w:rPr>
              <w:t>符合性</w:t>
            </w:r>
          </w:p>
        </w:tc>
      </w:tr>
      <w:tr w14:paraId="1D958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252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D6E2EAE">
            <w:pPr>
              <w:pStyle w:val="48"/>
              <w:spacing w:beforeLines="0" w:afterLines="0"/>
              <w:jc w:val="both"/>
              <w:rPr>
                <w:rFonts w:hint="default" w:ascii="Times New Roman" w:hAnsi="Times New Roman" w:eastAsia="宋体" w:cs="Times New Roman"/>
                <w:color w:val="FF0000"/>
                <w:sz w:val="24"/>
                <w:szCs w:val="24"/>
                <w:highlight w:val="none"/>
              </w:rPr>
            </w:pPr>
            <w:r>
              <w:rPr>
                <w:rFonts w:hint="default" w:ascii="Times New Roman" w:hAnsi="Times New Roman" w:eastAsia="宋体" w:cs="Times New Roman"/>
                <w:color w:val="FF0000"/>
                <w:sz w:val="24"/>
                <w:szCs w:val="24"/>
                <w:highlight w:val="none"/>
              </w:rPr>
              <w:t>四）压实矿山企业的主体责任。依法从事矿产资源开发的矿山企业，是绿色矿山创建的责任主体，应当牢固树立和践行绿水青山就是金山银山理念，严格按照标准规范，在矿产资源开发全过程中，对矿区及周边生态环境扰动控制在可控范围内，建设矿区环境生态化、开采方式科学化、资源利用高效化、企业管理规范化、矿区社区和谐化的绿色矿山。矿山企业要落实矿山开发利用、生态修复、环境保护等方案，明确绿色矿山建设任务和进度，落实“边开采、边修复”等要求，及时向社会公开。生态保护红线内、自然保护地核心保护区外依法开采的矿山，要执行最严格标准规范，严格落实绿色开采及矿山环境生态修复相关要求，全面做好减缓生态环境和自然保护地影响的措施。</w:t>
            </w:r>
          </w:p>
        </w:tc>
        <w:tc>
          <w:tcPr>
            <w:tcW w:w="1885" w:type="pct"/>
            <w:tcBorders>
              <w:top w:val="single" w:color="auto" w:sz="4" w:space="0"/>
              <w:left w:val="single" w:color="auto" w:sz="4" w:space="0"/>
              <w:right w:val="single" w:color="auto" w:sz="4" w:space="0"/>
              <w:tl2br w:val="nil"/>
              <w:tr2bl w:val="nil"/>
            </w:tcBorders>
            <w:noWrap w:val="0"/>
            <w:vAlign w:val="center"/>
          </w:tcPr>
          <w:p w14:paraId="051ECDD0">
            <w:pPr>
              <w:pStyle w:val="48"/>
              <w:spacing w:beforeLines="0" w:afterLines="0"/>
              <w:jc w:val="both"/>
              <w:rPr>
                <w:rFonts w:hint="eastAsia" w:ascii="Times New Roman" w:hAnsi="Times New Roman" w:cs="Times New Roman"/>
                <w:color w:val="FF0000"/>
                <w:sz w:val="24"/>
                <w:szCs w:val="24"/>
                <w:highlight w:val="none"/>
                <w:lang w:val="en-US" w:eastAsia="zh-CN"/>
              </w:rPr>
            </w:pPr>
            <w:r>
              <w:rPr>
                <w:rFonts w:hint="eastAsia" w:ascii="Times New Roman" w:hAnsi="Times New Roman" w:cs="Times New Roman"/>
                <w:color w:val="FF0000"/>
                <w:sz w:val="24"/>
                <w:szCs w:val="24"/>
                <w:highlight w:val="none"/>
                <w:lang w:val="en-US" w:eastAsia="zh-CN"/>
              </w:rPr>
              <w:t>本项目在运行过程中，采矿环节采取了边开采，边降尘措施，废水全部循环使用不外排，开采方式采用</w:t>
            </w:r>
            <w:r>
              <w:rPr>
                <w:rFonts w:hint="default" w:ascii="Times New Roman" w:hAnsi="Times New Roman" w:cs="Times New Roman"/>
                <w:color w:val="FF0000"/>
                <w:sz w:val="24"/>
                <w:szCs w:val="24"/>
                <w:highlight w:val="none"/>
              </w:rPr>
              <w:t>自上而下水平分层、台阶式采矿方法</w:t>
            </w:r>
            <w:r>
              <w:rPr>
                <w:rFonts w:hint="eastAsia" w:ascii="Times New Roman" w:hAnsi="Times New Roman" w:cs="Times New Roman"/>
                <w:color w:val="FF0000"/>
                <w:sz w:val="24"/>
                <w:szCs w:val="24"/>
                <w:highlight w:val="none"/>
                <w:lang w:eastAsia="zh-CN"/>
              </w:rPr>
              <w:t>。</w:t>
            </w:r>
            <w:r>
              <w:rPr>
                <w:rFonts w:hint="eastAsia" w:ascii="Times New Roman" w:hAnsi="Times New Roman" w:cs="Times New Roman"/>
                <w:color w:val="FF0000"/>
                <w:sz w:val="24"/>
                <w:szCs w:val="24"/>
                <w:highlight w:val="none"/>
                <w:lang w:val="en-US" w:eastAsia="zh-CN"/>
              </w:rPr>
              <w:t>采矿回采率97%。</w:t>
            </w:r>
          </w:p>
          <w:p w14:paraId="020898D8">
            <w:pPr>
              <w:pStyle w:val="48"/>
              <w:keepNext w:val="0"/>
              <w:keepLines w:val="0"/>
              <w:pageBreakBefore w:val="0"/>
              <w:widowControl w:val="0"/>
              <w:kinsoku w:val="0"/>
              <w:wordWrap/>
              <w:overflowPunct w:val="0"/>
              <w:topLinePunct w:val="0"/>
              <w:autoSpaceDE w:val="0"/>
              <w:autoSpaceDN w:val="0"/>
              <w:bidi w:val="0"/>
              <w:adjustRightInd w:val="0"/>
              <w:snapToGrid/>
              <w:ind w:left="0"/>
              <w:jc w:val="center"/>
              <w:textAlignment w:val="auto"/>
              <w:rPr>
                <w:rFonts w:hint="default" w:ascii="Times New Roman" w:hAnsi="Times New Roman" w:cs="Times New Roman"/>
                <w:color w:val="FF0000"/>
                <w:highlight w:val="none"/>
                <w:lang w:val="en-US" w:eastAsia="zh-CN"/>
              </w:rPr>
            </w:pPr>
            <w:r>
              <w:rPr>
                <w:rFonts w:hint="eastAsia" w:ascii="Times New Roman" w:hAnsi="Times New Roman" w:cs="Times New Roman"/>
                <w:color w:val="FF0000"/>
                <w:sz w:val="24"/>
                <w:szCs w:val="24"/>
                <w:highlight w:val="none"/>
                <w:lang w:val="en-US" w:eastAsia="zh-CN"/>
              </w:rPr>
              <w:t>本项目</w:t>
            </w:r>
            <w:r>
              <w:rPr>
                <w:rFonts w:hint="default" w:ascii="Times New Roman" w:hAnsi="Times New Roman" w:cs="Times New Roman"/>
                <w:color w:val="FF0000"/>
                <w:highlight w:val="none"/>
                <w:lang w:val="en-US" w:eastAsia="zh-CN"/>
              </w:rPr>
              <w:t>已完成《新疆采虹矿业投资有限公司新疆阜康市北部沙漠天然石英砂矿（压裂用）外围矿产资源开发利用与生态保护修复方案》并取得评审意见【昌州审(2025)45号】。</w:t>
            </w:r>
          </w:p>
          <w:p w14:paraId="7056AA52">
            <w:pPr>
              <w:pStyle w:val="48"/>
              <w:spacing w:beforeLines="0" w:afterLines="0"/>
              <w:jc w:val="both"/>
              <w:rPr>
                <w:rFonts w:hint="eastAsia" w:ascii="Times New Roman" w:hAnsi="Times New Roman" w:eastAsia="微软雅黑" w:cs="Times New Roman"/>
                <w:color w:val="FF0000"/>
                <w:sz w:val="24"/>
                <w:szCs w:val="24"/>
                <w:highlight w:val="none"/>
                <w:lang w:val="en-US" w:eastAsia="zh-CN"/>
              </w:rPr>
            </w:pPr>
            <w:r>
              <w:rPr>
                <w:rFonts w:hint="default" w:ascii="Times New Roman" w:hAnsi="Times New Roman" w:cs="Times New Roman"/>
                <w:color w:val="FF0000"/>
                <w:highlight w:val="none"/>
                <w:lang w:val="en-US" w:eastAsia="zh-CN"/>
              </w:rPr>
              <w:t>矿山生产过程中应采取边开采，边复垦措施，土地复垦率达到85</w:t>
            </w:r>
            <w:r>
              <w:rPr>
                <w:rFonts w:hint="default" w:ascii="Times New Roman" w:hAnsi="Times New Roman" w:eastAsia="宋体" w:cs="Times New Roman"/>
                <w:color w:val="FF0000"/>
                <w:highlight w:val="none"/>
                <w:lang w:val="en-US" w:eastAsia="zh-CN"/>
              </w:rPr>
              <w:t>%。</w:t>
            </w:r>
            <w:r>
              <w:rPr>
                <w:rFonts w:hint="eastAsia" w:ascii="Times New Roman" w:hAnsi="Times New Roman" w:eastAsia="宋体" w:cs="Times New Roman"/>
                <w:color w:val="FF0000"/>
                <w:highlight w:val="none"/>
                <w:lang w:val="en-US" w:eastAsia="zh-CN"/>
              </w:rPr>
              <w:t>要求</w:t>
            </w:r>
            <w:r>
              <w:rPr>
                <w:rFonts w:hint="default" w:ascii="Times New Roman" w:hAnsi="Times New Roman" w:eastAsia="宋体" w:cs="Times New Roman"/>
                <w:color w:val="FF0000"/>
                <w:highlight w:val="none"/>
                <w:lang w:val="en-US" w:eastAsia="zh-CN"/>
              </w:rPr>
              <w:t>严格落实绿色开采及矿山环境生态修复相关要求，全面做好减缓生态环境</w:t>
            </w:r>
            <w:r>
              <w:rPr>
                <w:rFonts w:hint="eastAsia" w:ascii="Times New Roman" w:hAnsi="Times New Roman" w:eastAsia="宋体" w:cs="Times New Roman"/>
                <w:color w:val="FF0000"/>
                <w:highlight w:val="none"/>
                <w:lang w:val="en-US" w:eastAsia="zh-CN"/>
              </w:rPr>
              <w:t>。</w:t>
            </w:r>
          </w:p>
        </w:tc>
        <w:tc>
          <w:tcPr>
            <w:tcW w:w="587" w:type="pct"/>
            <w:tcBorders>
              <w:top w:val="single" w:color="auto" w:sz="4" w:space="0"/>
              <w:left w:val="single" w:color="auto" w:sz="4" w:space="0"/>
              <w:right w:val="single" w:color="auto" w:sz="4" w:space="0"/>
              <w:tl2br w:val="nil"/>
              <w:tr2bl w:val="nil"/>
            </w:tcBorders>
            <w:noWrap w:val="0"/>
            <w:vAlign w:val="center"/>
          </w:tcPr>
          <w:p w14:paraId="223B76AB">
            <w:pPr>
              <w:pStyle w:val="48"/>
              <w:spacing w:beforeLines="0" w:afterLines="0"/>
              <w:jc w:val="center"/>
              <w:rPr>
                <w:rFonts w:hint="default" w:ascii="Times New Roman" w:hAnsi="Times New Roman" w:eastAsia="宋体" w:cs="Times New Roman"/>
                <w:color w:val="FF0000"/>
                <w:sz w:val="24"/>
                <w:szCs w:val="24"/>
                <w:highlight w:val="none"/>
                <w:lang w:val="en-US" w:eastAsia="zh-CN"/>
              </w:rPr>
            </w:pPr>
            <w:r>
              <w:rPr>
                <w:rFonts w:hint="default" w:ascii="Times New Roman" w:hAnsi="Times New Roman" w:cs="Times New Roman"/>
                <w:color w:val="FF0000"/>
                <w:sz w:val="24"/>
                <w:szCs w:val="24"/>
                <w:highlight w:val="none"/>
                <w:lang w:val="en-US" w:eastAsia="zh-CN"/>
              </w:rPr>
              <w:t>符合</w:t>
            </w:r>
          </w:p>
        </w:tc>
      </w:tr>
      <w:tr w14:paraId="7CC43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9C93E24">
            <w:pPr>
              <w:pStyle w:val="48"/>
              <w:spacing w:beforeLines="0" w:afterLines="0"/>
              <w:jc w:val="both"/>
              <w:rPr>
                <w:rFonts w:hint="default" w:ascii="Times New Roman" w:hAnsi="Times New Roman" w:eastAsia="宋体" w:cs="Times New Roman"/>
                <w:color w:val="FF0000"/>
                <w:sz w:val="24"/>
                <w:szCs w:val="24"/>
                <w:highlight w:val="none"/>
              </w:rPr>
            </w:pPr>
            <w:r>
              <w:rPr>
                <w:rFonts w:hint="default" w:ascii="Times New Roman" w:hAnsi="Times New Roman" w:eastAsia="宋体" w:cs="Times New Roman"/>
                <w:color w:val="FF0000"/>
                <w:sz w:val="24"/>
                <w:szCs w:val="24"/>
                <w:highlight w:val="none"/>
              </w:rPr>
              <w:t>（五）分类有序推进绿色矿山建设。自然资源主管部门会同相关部门应当依据法律、法规或党中央、国务院政策文件中关于绿色矿山建设的规定明确要求，对新建矿山，要严格按照绿色矿山标准建设运行，正式投产后1—2年内应通过绿色矿山评估核查，并在采矿权出让时将相关要求和违约责任纳入出让合同。</w:t>
            </w:r>
          </w:p>
        </w:tc>
        <w:tc>
          <w:tcPr>
            <w:tcW w:w="1885" w:type="pct"/>
            <w:tcBorders>
              <w:left w:val="single" w:color="auto" w:sz="4" w:space="0"/>
              <w:bottom w:val="single" w:color="auto" w:sz="4" w:space="0"/>
              <w:right w:val="single" w:color="auto" w:sz="4" w:space="0"/>
              <w:tl2br w:val="nil"/>
              <w:tr2bl w:val="nil"/>
            </w:tcBorders>
            <w:noWrap w:val="0"/>
            <w:vAlign w:val="center"/>
          </w:tcPr>
          <w:p w14:paraId="24DEB176">
            <w:pPr>
              <w:pStyle w:val="48"/>
              <w:spacing w:beforeLines="0" w:afterLines="0"/>
              <w:jc w:val="both"/>
              <w:rPr>
                <w:rFonts w:hint="default" w:ascii="Times New Roman" w:hAnsi="Times New Roman" w:cs="Times New Roman"/>
                <w:color w:val="FF0000"/>
                <w:sz w:val="24"/>
                <w:szCs w:val="24"/>
                <w:highlight w:val="none"/>
              </w:rPr>
            </w:pPr>
            <w:r>
              <w:rPr>
                <w:rFonts w:hint="default" w:ascii="Times New Roman" w:hAnsi="Times New Roman" w:eastAsia="宋体" w:cs="Times New Roman"/>
                <w:color w:val="FF0000"/>
              </w:rPr>
              <w:t>本项目</w:t>
            </w:r>
            <w:r>
              <w:rPr>
                <w:rFonts w:hint="eastAsia" w:cs="Times New Roman"/>
                <w:color w:val="FF0000"/>
                <w:lang w:val="en-US" w:eastAsia="zh-CN"/>
              </w:rPr>
              <w:t>为新建矿山，要求其按照绿色</w:t>
            </w:r>
            <w:r>
              <w:rPr>
                <w:rFonts w:hint="eastAsia" w:ascii="Times New Roman" w:hAnsi="Times New Roman" w:eastAsia="宋体" w:cs="Times New Roman"/>
                <w:color w:val="FF0000"/>
                <w:lang w:val="en-US" w:eastAsia="zh-CN"/>
              </w:rPr>
              <w:t>矿山标准要求进行建设，并正式投产后1-2年内应通过绿色矿山评估核查。</w:t>
            </w:r>
          </w:p>
        </w:tc>
        <w:tc>
          <w:tcPr>
            <w:tcW w:w="587" w:type="pct"/>
            <w:tcBorders>
              <w:left w:val="single" w:color="auto" w:sz="4" w:space="0"/>
              <w:bottom w:val="single" w:color="auto" w:sz="4" w:space="0"/>
              <w:right w:val="single" w:color="auto" w:sz="4" w:space="0"/>
              <w:tl2br w:val="nil"/>
              <w:tr2bl w:val="nil"/>
            </w:tcBorders>
            <w:noWrap w:val="0"/>
            <w:vAlign w:val="center"/>
          </w:tcPr>
          <w:p w14:paraId="7CF4A591">
            <w:pPr>
              <w:pStyle w:val="48"/>
              <w:spacing w:beforeLines="0" w:afterLines="0"/>
              <w:jc w:val="center"/>
              <w:rPr>
                <w:rFonts w:hint="default" w:ascii="Times New Roman" w:hAnsi="Times New Roman" w:eastAsia="宋体" w:cs="Times New Roman"/>
                <w:color w:val="FF0000"/>
                <w:sz w:val="24"/>
                <w:szCs w:val="24"/>
                <w:highlight w:val="none"/>
                <w:lang w:val="en-US" w:eastAsia="zh-CN"/>
              </w:rPr>
            </w:pPr>
            <w:r>
              <w:rPr>
                <w:rFonts w:hint="eastAsia" w:ascii="Times New Roman" w:hAnsi="Times New Roman" w:cs="Times New Roman"/>
                <w:color w:val="FF0000"/>
                <w:sz w:val="24"/>
                <w:szCs w:val="24"/>
                <w:highlight w:val="none"/>
                <w:lang w:val="en-US" w:eastAsia="zh-CN"/>
              </w:rPr>
              <w:t>符合</w:t>
            </w:r>
          </w:p>
        </w:tc>
      </w:tr>
    </w:tbl>
    <w:p w14:paraId="136B8B63">
      <w:pPr>
        <w:pStyle w:val="5"/>
        <w:bidi w:val="0"/>
        <w:rPr>
          <w:rFonts w:hint="default" w:ascii="宋体" w:hAnsi="宋体" w:eastAsia="宋体" w:cs="Times New Roman"/>
        </w:rPr>
      </w:pPr>
      <w:r>
        <w:rPr>
          <w:rFonts w:hint="eastAsia" w:cs="Times New Roman"/>
          <w:lang w:val="en-US" w:eastAsia="zh-CN"/>
        </w:rPr>
        <w:t>与《</w:t>
      </w:r>
      <w:r>
        <w:rPr>
          <w:rFonts w:hint="default" w:ascii="宋体" w:hAnsi="宋体" w:eastAsia="宋体" w:cs="Times New Roman"/>
        </w:rPr>
        <w:t>关于加快推进露天矿山综合整治工作实施意见的函</w:t>
      </w:r>
      <w:r>
        <w:rPr>
          <w:rFonts w:hint="eastAsia" w:cs="Times New Roman"/>
          <w:lang w:val="en-US" w:eastAsia="zh-CN"/>
        </w:rPr>
        <w:t>》</w:t>
      </w:r>
      <w:r>
        <w:rPr>
          <w:rFonts w:hint="default" w:ascii="宋体" w:hAnsi="宋体" w:eastAsia="宋体" w:cs="Times New Roman"/>
        </w:rPr>
        <w:t>（自然资办函〔2019〕819号 ）</w:t>
      </w:r>
      <w:r>
        <w:rPr>
          <w:rFonts w:hint="eastAsia" w:cs="Times New Roman"/>
          <w:lang w:val="en-US" w:eastAsia="zh-CN"/>
        </w:rPr>
        <w:t>的符合性分析</w:t>
      </w:r>
    </w:p>
    <w:p w14:paraId="3983F4D8">
      <w:pPr>
        <w:spacing w:line="240" w:lineRule="auto"/>
        <w:rPr>
          <w:rFonts w:hint="default"/>
          <w:b/>
          <w:bCs/>
          <w:lang w:val="en-US"/>
        </w:rPr>
      </w:pPr>
      <w:r>
        <w:rPr>
          <w:rFonts w:hint="eastAsia" w:ascii="宋体" w:hAnsi="宋体" w:eastAsia="宋体" w:cs="宋体"/>
          <w:b/>
          <w:bCs/>
          <w:color w:val="FF0000"/>
          <w:kern w:val="0"/>
          <w:sz w:val="24"/>
          <w:szCs w:val="24"/>
          <w:highlight w:val="none"/>
          <w:lang w:val="en-US" w:eastAsia="zh-CN" w:bidi="ar-SA"/>
        </w:rPr>
        <w:t>表1.4-9  与</w:t>
      </w:r>
      <w:r>
        <w:rPr>
          <w:rFonts w:hint="eastAsia" w:cs="Times New Roman"/>
          <w:b/>
          <w:bCs/>
          <w:lang w:val="en-US" w:eastAsia="zh-CN"/>
        </w:rPr>
        <w:t>《</w:t>
      </w:r>
      <w:r>
        <w:rPr>
          <w:rFonts w:hint="default" w:ascii="宋体" w:hAnsi="宋体" w:eastAsia="宋体" w:cs="Times New Roman"/>
          <w:b/>
          <w:bCs/>
        </w:rPr>
        <w:t>关于加快推进露天矿山综合整治工作实施意见的函</w:t>
      </w:r>
      <w:r>
        <w:rPr>
          <w:rFonts w:hint="eastAsia" w:cs="Times New Roman"/>
          <w:b/>
          <w:bCs/>
          <w:lang w:val="en-US" w:eastAsia="zh-CN"/>
        </w:rPr>
        <w:t>》</w:t>
      </w:r>
      <w:r>
        <w:rPr>
          <w:rFonts w:hint="eastAsia" w:ascii="宋体" w:hAnsi="宋体" w:eastAsia="宋体" w:cs="宋体"/>
          <w:b/>
          <w:bCs/>
          <w:color w:val="FF0000"/>
          <w:kern w:val="0"/>
          <w:sz w:val="24"/>
          <w:szCs w:val="24"/>
          <w:highlight w:val="none"/>
          <w:lang w:val="en-US" w:eastAsia="zh-CN" w:bidi="ar-SA"/>
        </w:rPr>
        <w:t>符合性分析表</w:t>
      </w:r>
    </w:p>
    <w:tbl>
      <w:tblPr>
        <w:tblStyle w:val="31"/>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7"/>
        <w:gridCol w:w="4236"/>
        <w:gridCol w:w="456"/>
      </w:tblGrid>
      <w:tr w14:paraId="6F000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1AF21D0">
            <w:pPr>
              <w:pStyle w:val="48"/>
              <w:spacing w:beforeLines="0" w:afterLines="0"/>
              <w:jc w:val="center"/>
              <w:rPr>
                <w:rFonts w:hint="default" w:ascii="Times New Roman" w:hAnsi="Times New Roman" w:cs="Times New Roman"/>
                <w:color w:val="FF0000"/>
                <w:sz w:val="24"/>
                <w:szCs w:val="24"/>
                <w:highlight w:val="none"/>
                <w:lang w:val="en-US" w:eastAsia="zh-CN"/>
              </w:rPr>
            </w:pPr>
            <w:r>
              <w:rPr>
                <w:rFonts w:hint="default" w:ascii="Times New Roman" w:hAnsi="Times New Roman" w:cs="Times New Roman"/>
                <w:color w:val="FF0000"/>
                <w:sz w:val="24"/>
                <w:szCs w:val="24"/>
                <w:highlight w:val="none"/>
                <w:lang w:val="en-US" w:eastAsia="zh-CN"/>
              </w:rPr>
              <w:t>相关条款</w:t>
            </w:r>
          </w:p>
        </w:tc>
        <w:tc>
          <w:tcPr>
            <w:tcW w:w="228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75448DD">
            <w:pPr>
              <w:pStyle w:val="48"/>
              <w:spacing w:beforeLines="0" w:afterLines="0"/>
              <w:jc w:val="center"/>
              <w:rPr>
                <w:rFonts w:hint="default" w:ascii="Times New Roman" w:hAnsi="Times New Roman" w:cs="Times New Roman"/>
                <w:color w:val="FF0000"/>
                <w:sz w:val="24"/>
                <w:szCs w:val="24"/>
                <w:highlight w:val="none"/>
                <w:lang w:val="en-US" w:eastAsia="zh-CN"/>
              </w:rPr>
            </w:pPr>
            <w:r>
              <w:rPr>
                <w:rFonts w:hint="default" w:ascii="Times New Roman" w:hAnsi="Times New Roman" w:cs="Times New Roman"/>
                <w:color w:val="FF0000"/>
                <w:sz w:val="24"/>
                <w:szCs w:val="24"/>
                <w:highlight w:val="none"/>
                <w:lang w:val="en-US" w:eastAsia="zh-CN"/>
              </w:rPr>
              <w:t>本项目</w:t>
            </w:r>
          </w:p>
        </w:tc>
        <w:tc>
          <w:tcPr>
            <w:tcW w:w="24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442D085">
            <w:pPr>
              <w:pStyle w:val="48"/>
              <w:spacing w:beforeLines="0" w:afterLines="0"/>
              <w:jc w:val="center"/>
              <w:rPr>
                <w:rFonts w:hint="default" w:ascii="Times New Roman" w:hAnsi="Times New Roman" w:cs="Times New Roman"/>
                <w:color w:val="FF0000"/>
                <w:sz w:val="24"/>
                <w:szCs w:val="24"/>
                <w:highlight w:val="none"/>
                <w:lang w:val="en-US" w:eastAsia="zh-CN"/>
              </w:rPr>
            </w:pPr>
            <w:r>
              <w:rPr>
                <w:rFonts w:hint="default" w:ascii="Times New Roman" w:hAnsi="Times New Roman" w:cs="Times New Roman"/>
                <w:color w:val="FF0000"/>
                <w:sz w:val="24"/>
                <w:szCs w:val="24"/>
                <w:highlight w:val="none"/>
                <w:lang w:val="en-US" w:eastAsia="zh-CN"/>
              </w:rPr>
              <w:t>符合性</w:t>
            </w:r>
          </w:p>
        </w:tc>
      </w:tr>
      <w:tr w14:paraId="4FD0A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8" w:hRule="atLeast"/>
        </w:trPr>
        <w:tc>
          <w:tcPr>
            <w:tcW w:w="247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1B99F5D">
            <w:pPr>
              <w:pStyle w:val="35"/>
              <w:spacing w:line="240" w:lineRule="auto"/>
              <w:jc w:val="center"/>
              <w:rPr>
                <w:rFonts w:hint="default" w:ascii="Times New Roman" w:hAnsi="Times New Roman" w:eastAsia="宋体" w:cs="Times New Roman"/>
                <w:color w:val="FF0000"/>
              </w:rPr>
            </w:pPr>
            <w:r>
              <w:rPr>
                <w:rFonts w:hint="eastAsia" w:ascii="Times New Roman" w:hAnsi="Times New Roman" w:eastAsia="宋体" w:cs="Times New Roman"/>
                <w:color w:val="FF0000"/>
              </w:rPr>
              <w:t>（四）严格控制新建露天矿山建设项目。严格贯彻国发〔2018〕22号文件有关要求，重点区域原则上禁止新建露天矿山建设项目，国发〔2018〕22号文件下发前环境影响评价文件已经批复的重点区域露天矿山，确需建设的，在严格落实生态环境保护、矿产资源规划和绿色矿山建设行业标准等要求前提下可继续批准建设。其他区域新建露天矿山建设项目，也应严格执行生态环境保护、矿产资源规划和绿色矿山建设行业标准等要求。</w:t>
            </w:r>
          </w:p>
        </w:tc>
        <w:tc>
          <w:tcPr>
            <w:tcW w:w="2283" w:type="pct"/>
            <w:tcBorders>
              <w:top w:val="single" w:color="auto" w:sz="4" w:space="0"/>
              <w:left w:val="single" w:color="auto" w:sz="4" w:space="0"/>
              <w:right w:val="single" w:color="auto" w:sz="4" w:space="0"/>
              <w:tl2br w:val="nil"/>
              <w:tr2bl w:val="nil"/>
            </w:tcBorders>
            <w:noWrap w:val="0"/>
            <w:vAlign w:val="center"/>
          </w:tcPr>
          <w:p w14:paraId="1A41A8D8">
            <w:pPr>
              <w:pStyle w:val="35"/>
              <w:spacing w:line="240" w:lineRule="auto"/>
              <w:jc w:val="center"/>
              <w:rPr>
                <w:rFonts w:hint="eastAsia" w:ascii="Times New Roman" w:hAnsi="Times New Roman" w:eastAsia="宋体" w:cs="Times New Roman"/>
                <w:color w:val="FF0000"/>
                <w:lang w:val="en-US" w:eastAsia="zh-CN"/>
              </w:rPr>
            </w:pPr>
            <w:r>
              <w:rPr>
                <w:rFonts w:hint="eastAsia" w:ascii="Times New Roman" w:hAnsi="Times New Roman" w:eastAsia="宋体" w:cs="Times New Roman"/>
                <w:color w:val="FF0000"/>
                <w:lang w:val="en-US" w:eastAsia="zh-CN"/>
              </w:rPr>
              <w:t>本项目的建设符合</w:t>
            </w:r>
            <w:r>
              <w:rPr>
                <w:rFonts w:hint="default"/>
                <w:color w:val="FF0000"/>
              </w:rPr>
              <w:t>《新疆维吾尔自治区矿产资源总体规划（2021-2025年）》</w:t>
            </w:r>
            <w:r>
              <w:rPr>
                <w:rFonts w:hint="eastAsia"/>
                <w:color w:val="FF0000"/>
                <w:lang w:eastAsia="zh-CN"/>
              </w:rPr>
              <w:t>、</w:t>
            </w:r>
            <w:r>
              <w:rPr>
                <w:rFonts w:hint="eastAsia"/>
                <w:color w:val="FF0000"/>
                <w:lang w:val="en-US" w:eastAsia="zh-CN"/>
              </w:rPr>
              <w:t>《新疆维吾尔自治区昌吉回族自治州矿产资源总体规划（2021-2025）》、</w:t>
            </w:r>
            <w:r>
              <w:rPr>
                <w:rFonts w:hint="default"/>
                <w:color w:val="FF0000"/>
              </w:rPr>
              <w:t>《新疆维吾尔自治区阜康市矿产资源总体规划（2021-2025年）》</w:t>
            </w:r>
            <w:r>
              <w:rPr>
                <w:rFonts w:hint="eastAsia"/>
                <w:color w:val="FF0000"/>
                <w:lang w:eastAsia="zh-CN"/>
              </w:rPr>
              <w:t>，</w:t>
            </w:r>
            <w:r>
              <w:rPr>
                <w:rFonts w:hint="eastAsia"/>
                <w:color w:val="FF0000"/>
                <w:lang w:val="en-US" w:eastAsia="zh-CN"/>
              </w:rPr>
              <w:t>并取得采矿证，</w:t>
            </w:r>
            <w:r>
              <w:rPr>
                <w:rFonts w:hint="default" w:ascii="Times New Roman" w:hAnsi="Times New Roman" w:cs="Times New Roman"/>
                <w:color w:val="FF0000"/>
                <w:sz w:val="24"/>
                <w:szCs w:val="24"/>
                <w:highlight w:val="none"/>
                <w:lang w:val="en-US" w:eastAsia="zh-CN"/>
              </w:rPr>
              <w:t>采矿证编号为：</w:t>
            </w:r>
            <w:r>
              <w:rPr>
                <w:rFonts w:hint="default" w:ascii="Times New Roman" w:hAnsi="Times New Roman" w:cs="Times New Roman"/>
                <w:color w:val="FF0000"/>
                <w:sz w:val="24"/>
                <w:szCs w:val="24"/>
                <w:highlight w:val="none"/>
                <w:lang w:eastAsia="zh-CN"/>
              </w:rPr>
              <w:t>C6523002025067110158535</w:t>
            </w:r>
            <w:r>
              <w:rPr>
                <w:rFonts w:hint="eastAsia" w:ascii="Times New Roman" w:hAnsi="Times New Roman" w:cs="Times New Roman"/>
                <w:color w:val="FF0000"/>
                <w:sz w:val="24"/>
                <w:szCs w:val="24"/>
                <w:highlight w:val="none"/>
                <w:lang w:eastAsia="zh-CN"/>
              </w:rPr>
              <w:t>，</w:t>
            </w:r>
            <w:r>
              <w:rPr>
                <w:rFonts w:hint="eastAsia" w:ascii="Times New Roman" w:hAnsi="Times New Roman" w:cs="Times New Roman"/>
                <w:color w:val="FF0000"/>
                <w:sz w:val="24"/>
                <w:szCs w:val="24"/>
                <w:highlight w:val="none"/>
                <w:lang w:val="en-US" w:eastAsia="zh-CN"/>
              </w:rPr>
              <w:t>本项目在建设运营过程中要求建设单位</w:t>
            </w:r>
            <w:r>
              <w:rPr>
                <w:rFonts w:hint="eastAsia" w:ascii="Times New Roman" w:hAnsi="Times New Roman" w:eastAsia="宋体" w:cs="Times New Roman"/>
                <w:color w:val="FF0000"/>
              </w:rPr>
              <w:t>严格落实</w:t>
            </w:r>
            <w:r>
              <w:rPr>
                <w:rFonts w:hint="eastAsia" w:ascii="Times New Roman" w:hAnsi="Times New Roman" w:eastAsia="宋体" w:cs="Times New Roman"/>
                <w:color w:val="FF0000"/>
                <w:lang w:val="en-US" w:eastAsia="zh-CN"/>
              </w:rPr>
              <w:t>本环评提出的</w:t>
            </w:r>
            <w:r>
              <w:rPr>
                <w:rFonts w:hint="eastAsia" w:ascii="Times New Roman" w:hAnsi="Times New Roman" w:eastAsia="宋体" w:cs="Times New Roman"/>
                <w:color w:val="FF0000"/>
              </w:rPr>
              <w:t>生态环境保护</w:t>
            </w:r>
            <w:r>
              <w:rPr>
                <w:rFonts w:hint="eastAsia" w:cs="Times New Roman"/>
                <w:color w:val="FF0000"/>
                <w:lang w:eastAsia="zh-CN"/>
              </w:rPr>
              <w:t>，</w:t>
            </w:r>
            <w:r>
              <w:rPr>
                <w:rFonts w:hint="eastAsia" w:ascii="Times New Roman" w:hAnsi="Times New Roman" w:eastAsia="宋体" w:cs="Times New Roman"/>
                <w:color w:val="FF0000"/>
                <w:lang w:val="en-US" w:eastAsia="zh-CN"/>
              </w:rPr>
              <w:t>按照</w:t>
            </w:r>
            <w:r>
              <w:rPr>
                <w:rFonts w:hint="eastAsia" w:ascii="Times New Roman" w:hAnsi="Times New Roman" w:eastAsia="宋体" w:cs="Times New Roman"/>
                <w:color w:val="FF0000"/>
              </w:rPr>
              <w:t>绿色矿山建设行业标准</w:t>
            </w:r>
            <w:r>
              <w:rPr>
                <w:rFonts w:hint="eastAsia" w:ascii="Times New Roman" w:hAnsi="Times New Roman" w:eastAsia="宋体" w:cs="Times New Roman"/>
                <w:color w:val="FF0000"/>
                <w:lang w:eastAsia="zh-CN"/>
              </w:rPr>
              <w:t>。</w:t>
            </w:r>
          </w:p>
        </w:tc>
        <w:tc>
          <w:tcPr>
            <w:tcW w:w="243" w:type="pct"/>
            <w:tcBorders>
              <w:top w:val="single" w:color="auto" w:sz="4" w:space="0"/>
              <w:left w:val="single" w:color="auto" w:sz="4" w:space="0"/>
              <w:right w:val="single" w:color="auto" w:sz="4" w:space="0"/>
              <w:tl2br w:val="nil"/>
              <w:tr2bl w:val="nil"/>
            </w:tcBorders>
            <w:noWrap w:val="0"/>
            <w:vAlign w:val="center"/>
          </w:tcPr>
          <w:p w14:paraId="7E68DA56">
            <w:pPr>
              <w:pStyle w:val="48"/>
              <w:spacing w:beforeLines="0" w:afterLines="0"/>
              <w:jc w:val="both"/>
              <w:rPr>
                <w:rFonts w:hint="default" w:ascii="Times New Roman" w:hAnsi="Times New Roman" w:eastAsia="宋体" w:cs="Times New Roman"/>
                <w:color w:val="FF0000"/>
                <w:sz w:val="24"/>
                <w:szCs w:val="24"/>
                <w:highlight w:val="none"/>
                <w:lang w:val="en-US" w:eastAsia="zh-CN"/>
              </w:rPr>
            </w:pPr>
            <w:r>
              <w:rPr>
                <w:rFonts w:hint="default" w:ascii="Times New Roman" w:hAnsi="Times New Roman" w:cs="Times New Roman"/>
                <w:color w:val="FF0000"/>
                <w:sz w:val="24"/>
                <w:szCs w:val="24"/>
                <w:highlight w:val="none"/>
                <w:lang w:val="en-US" w:eastAsia="zh-CN"/>
              </w:rPr>
              <w:t>符合</w:t>
            </w:r>
          </w:p>
        </w:tc>
      </w:tr>
    </w:tbl>
    <w:p w14:paraId="0B6712D5">
      <w:pPr>
        <w:pStyle w:val="5"/>
        <w:numPr>
          <w:ilvl w:val="3"/>
          <w:numId w:val="0"/>
        </w:numPr>
        <w:bidi w:val="0"/>
        <w:ind w:left="-1" w:leftChars="0"/>
        <w:rPr>
          <w:rFonts w:hint="default" w:ascii="宋体" w:hAnsi="宋体" w:eastAsia="宋体" w:cs="Times New Roman"/>
        </w:rPr>
      </w:pPr>
    </w:p>
    <w:p w14:paraId="2040D83B">
      <w:pPr>
        <w:pStyle w:val="5"/>
        <w:bidi w:val="0"/>
        <w:rPr>
          <w:rFonts w:hint="default"/>
          <w:color w:val="FF0000"/>
        </w:rPr>
      </w:pPr>
      <w:r>
        <w:rPr>
          <w:rFonts w:hint="eastAsia"/>
          <w:color w:val="FF0000"/>
          <w:lang w:val="en-US" w:eastAsia="zh-CN"/>
        </w:rPr>
        <w:t>与《工业料堆场扬尘整治规范》（DB65T4061-2017）的符合性分析</w:t>
      </w:r>
    </w:p>
    <w:p w14:paraId="63D7AC0D">
      <w:pPr>
        <w:ind w:firstLine="480" w:firstLineChars="200"/>
        <w:rPr>
          <w:rFonts w:hint="default" w:ascii="Times New Roman" w:hAnsi="Times New Roman" w:cs="Times New Roman"/>
          <w:color w:val="auto"/>
          <w:highlight w:val="yellow"/>
          <w:lang w:val="en-US" w:eastAsia="zh-CN"/>
        </w:rPr>
      </w:pPr>
      <w:r>
        <w:rPr>
          <w:rFonts w:hint="default" w:ascii="Times New Roman" w:hAnsi="Times New Roman" w:cs="Times New Roman"/>
          <w:color w:val="FF0000"/>
          <w:highlight w:val="none"/>
          <w:lang w:val="en-US" w:eastAsia="zh-CN"/>
        </w:rPr>
        <w:t>本项目配套建设500m²原矿堆场</w:t>
      </w:r>
      <w:r>
        <w:rPr>
          <w:rFonts w:hint="eastAsia" w:ascii="Times New Roman" w:hAnsi="Times New Roman" w:cs="Times New Roman"/>
          <w:color w:val="FF0000"/>
          <w:highlight w:val="none"/>
          <w:lang w:val="en-US" w:eastAsia="zh-CN"/>
        </w:rPr>
        <w:t>，采取全封闭措施，</w:t>
      </w:r>
      <w:r>
        <w:rPr>
          <w:rFonts w:hint="default" w:ascii="Times New Roman" w:hAnsi="Times New Roman" w:cs="Times New Roman"/>
          <w:color w:val="FF0000"/>
          <w:highlight w:val="none"/>
          <w:lang w:val="en-US" w:eastAsia="zh-CN"/>
        </w:rPr>
        <w:t>项目所在区域为</w:t>
      </w:r>
      <w:r>
        <w:rPr>
          <w:rFonts w:hint="eastAsia" w:ascii="Times New Roman" w:hAnsi="Times New Roman" w:cs="Times New Roman"/>
          <w:color w:val="FF0000"/>
          <w:highlight w:val="none"/>
          <w:lang w:val="en-US" w:eastAsia="zh-CN"/>
        </w:rPr>
        <w:t>重点</w:t>
      </w:r>
      <w:r>
        <w:rPr>
          <w:rFonts w:hint="default" w:ascii="Times New Roman" w:hAnsi="Times New Roman" w:cs="Times New Roman"/>
          <w:color w:val="FF0000"/>
          <w:highlight w:val="none"/>
          <w:lang w:val="en-US" w:eastAsia="zh-CN"/>
        </w:rPr>
        <w:t>控制区，多年平均风速：</w:t>
      </w:r>
      <w:r>
        <w:rPr>
          <w:rFonts w:hint="eastAsia" w:ascii="Times New Roman" w:hAnsi="Times New Roman" w:cs="Times New Roman"/>
          <w:color w:val="FF0000"/>
          <w:highlight w:val="none"/>
          <w:lang w:val="en-US" w:eastAsia="zh-CN"/>
        </w:rPr>
        <w:t>1.8</w:t>
      </w:r>
      <w:r>
        <w:rPr>
          <w:rFonts w:hint="default" w:ascii="Times New Roman" w:hAnsi="Times New Roman" w:cs="Times New Roman"/>
          <w:color w:val="FF0000"/>
          <w:highlight w:val="none"/>
          <w:lang w:val="en-US" w:eastAsia="zh-CN"/>
        </w:rPr>
        <w:t>m/s，≤2m/s，</w:t>
      </w:r>
      <w:r>
        <w:rPr>
          <w:rFonts w:hint="eastAsia" w:ascii="Times New Roman" w:hAnsi="Times New Roman" w:cs="Times New Roman"/>
          <w:color w:val="FF0000"/>
          <w:highlight w:val="none"/>
          <w:lang w:val="en-US" w:eastAsia="zh-CN"/>
        </w:rPr>
        <w:t>本项目为石英砂原矿，粒径在20目-150目（0.850-0.106mm），</w:t>
      </w:r>
      <w:r>
        <w:rPr>
          <w:rFonts w:hint="default" w:ascii="Times New Roman" w:hAnsi="Times New Roman" w:cs="Times New Roman"/>
          <w:color w:val="FF0000"/>
          <w:highlight w:val="none"/>
          <w:lang w:val="en-US" w:eastAsia="zh-CN"/>
        </w:rPr>
        <w:t>参照《工业料堆场扬尘整治规范》（DB65/T4061-2017）的相关规定可知，本项目原矿按Ⅰ类工业料堆场建设。本项目与上述规定相符性详见下表。</w:t>
      </w:r>
    </w:p>
    <w:p w14:paraId="563E92EE">
      <w:pPr>
        <w:spacing w:line="240" w:lineRule="auto"/>
        <w:ind w:firstLine="482" w:firstLineChars="200"/>
        <w:rPr>
          <w:rFonts w:hint="default" w:ascii="Times New Roman" w:hAnsi="Times New Roman" w:eastAsia="宋体" w:cs="Times New Roman"/>
          <w:b/>
          <w:bCs/>
          <w:color w:val="FF0000"/>
          <w:szCs w:val="21"/>
        </w:rPr>
      </w:pPr>
      <w:r>
        <w:rPr>
          <w:rFonts w:hint="default" w:ascii="Times New Roman" w:hAnsi="Times New Roman" w:eastAsia="宋体" w:cs="Times New Roman"/>
          <w:b/>
          <w:bCs/>
          <w:color w:val="FF0000"/>
          <w:szCs w:val="21"/>
        </w:rPr>
        <w:t>表</w:t>
      </w:r>
      <w:r>
        <w:rPr>
          <w:rFonts w:hint="default" w:ascii="Times New Roman" w:hAnsi="Times New Roman" w:eastAsia="宋体" w:cs="Times New Roman"/>
          <w:b/>
          <w:bCs/>
          <w:color w:val="FF0000"/>
          <w:szCs w:val="21"/>
          <w:lang w:val="en-US" w:eastAsia="zh-CN"/>
        </w:rPr>
        <w:t xml:space="preserve">1.4-10  </w:t>
      </w:r>
      <w:r>
        <w:rPr>
          <w:rFonts w:hint="default" w:ascii="Times New Roman" w:hAnsi="Times New Roman" w:eastAsia="宋体" w:cs="Times New Roman"/>
          <w:b/>
          <w:bCs/>
          <w:color w:val="FF0000"/>
          <w:szCs w:val="21"/>
        </w:rPr>
        <w:t>与《</w:t>
      </w:r>
      <w:r>
        <w:rPr>
          <w:rFonts w:hint="default" w:ascii="Times New Roman" w:hAnsi="Times New Roman" w:eastAsia="宋体" w:cs="Times New Roman"/>
          <w:b/>
          <w:bCs/>
          <w:color w:val="FF0000"/>
          <w:szCs w:val="21"/>
          <w:lang w:eastAsia="zh-CN"/>
        </w:rPr>
        <w:t>工业料堆场扬尘整治规范</w:t>
      </w:r>
      <w:r>
        <w:rPr>
          <w:rFonts w:hint="default" w:ascii="Times New Roman" w:hAnsi="Times New Roman" w:eastAsia="宋体" w:cs="Times New Roman"/>
          <w:b/>
          <w:bCs/>
          <w:color w:val="FF0000"/>
          <w:szCs w:val="21"/>
        </w:rPr>
        <w:t>》（DB65/T4061-2017）相符性</w:t>
      </w:r>
    </w:p>
    <w:tbl>
      <w:tblPr>
        <w:tblStyle w:val="31"/>
        <w:tblW w:w="5000" w:type="pct"/>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475"/>
        <w:gridCol w:w="4272"/>
        <w:gridCol w:w="2638"/>
        <w:gridCol w:w="901"/>
      </w:tblGrid>
      <w:tr w14:paraId="0F3DCD3E">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794" w:type="pct"/>
            <w:tcBorders>
              <w:tl2br w:val="nil"/>
              <w:tr2bl w:val="nil"/>
            </w:tcBorders>
            <w:noWrap w:val="0"/>
            <w:vAlign w:val="center"/>
          </w:tcPr>
          <w:p w14:paraId="7345F739">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FF0000"/>
                <w:lang w:val="en-US" w:eastAsia="zh-CN"/>
              </w:rPr>
            </w:pPr>
            <w:r>
              <w:rPr>
                <w:rFonts w:hint="default" w:ascii="Times New Roman" w:hAnsi="Times New Roman" w:eastAsia="宋体" w:cs="Times New Roman"/>
                <w:b w:val="0"/>
                <w:bCs w:val="0"/>
                <w:color w:val="FF0000"/>
                <w:lang w:val="en-US" w:eastAsia="zh-CN"/>
              </w:rPr>
              <w:t>工业料堆场类型</w:t>
            </w:r>
          </w:p>
        </w:tc>
        <w:tc>
          <w:tcPr>
            <w:tcW w:w="2299" w:type="pct"/>
            <w:tcBorders>
              <w:tl2br w:val="nil"/>
              <w:tr2bl w:val="nil"/>
            </w:tcBorders>
            <w:noWrap w:val="0"/>
            <w:vAlign w:val="center"/>
          </w:tcPr>
          <w:p w14:paraId="0976C160">
            <w:pPr>
              <w:keepNext w:val="0"/>
              <w:keepLines w:val="0"/>
              <w:pageBreakBefore w:val="0"/>
              <w:widowControl/>
              <w:kinsoku/>
              <w:wordWrap/>
              <w:overflowPunct/>
              <w:topLinePunct w:val="0"/>
              <w:autoSpaceDE w:val="0"/>
              <w:autoSpaceDN w:val="0"/>
              <w:bidi w:val="0"/>
              <w:adjustRightInd w:val="0"/>
              <w:spacing w:line="240" w:lineRule="auto"/>
              <w:ind w:firstLine="0" w:firstLineChars="0"/>
              <w:jc w:val="center"/>
              <w:textAlignment w:val="auto"/>
              <w:rPr>
                <w:rFonts w:hint="default" w:ascii="Times New Roman" w:hAnsi="Times New Roman" w:eastAsia="宋体" w:cs="Times New Roman"/>
                <w:b w:val="0"/>
                <w:bCs w:val="0"/>
                <w:color w:val="FF0000"/>
                <w:szCs w:val="21"/>
                <w:lang w:eastAsia="zh-CN"/>
              </w:rPr>
            </w:pPr>
            <w:r>
              <w:rPr>
                <w:rFonts w:hint="default" w:ascii="Times New Roman" w:hAnsi="Times New Roman" w:eastAsia="宋体" w:cs="Times New Roman"/>
                <w:b w:val="0"/>
                <w:bCs w:val="0"/>
                <w:color w:val="FF0000"/>
                <w:szCs w:val="21"/>
                <w:lang w:eastAsia="zh-CN"/>
              </w:rPr>
              <w:t>方案</w:t>
            </w:r>
          </w:p>
        </w:tc>
        <w:tc>
          <w:tcPr>
            <w:tcW w:w="1420" w:type="pct"/>
            <w:tcBorders>
              <w:tl2br w:val="nil"/>
              <w:tr2bl w:val="nil"/>
            </w:tcBorders>
            <w:noWrap w:val="0"/>
            <w:vAlign w:val="center"/>
          </w:tcPr>
          <w:p w14:paraId="747BA252">
            <w:pPr>
              <w:keepNext w:val="0"/>
              <w:keepLines w:val="0"/>
              <w:pageBreakBefore w:val="0"/>
              <w:kinsoku/>
              <w:wordWrap/>
              <w:overflowPunct/>
              <w:topLinePunct w:val="0"/>
              <w:autoSpaceDE w:val="0"/>
              <w:autoSpaceDN w:val="0"/>
              <w:bidi w:val="0"/>
              <w:adjustRightInd w:val="0"/>
              <w:snapToGrid w:val="0"/>
              <w:spacing w:line="240" w:lineRule="auto"/>
              <w:ind w:left="-108" w:leftChars="-45" w:right="-113" w:firstLine="0" w:firstLineChars="0"/>
              <w:jc w:val="center"/>
              <w:textAlignment w:val="auto"/>
              <w:rPr>
                <w:rFonts w:hint="default" w:ascii="Times New Roman" w:hAnsi="Times New Roman" w:cs="Times New Roman"/>
                <w:b w:val="0"/>
                <w:bCs w:val="0"/>
                <w:color w:val="FF0000"/>
                <w:szCs w:val="21"/>
              </w:rPr>
            </w:pPr>
            <w:r>
              <w:rPr>
                <w:rFonts w:hint="default" w:ascii="Times New Roman" w:hAnsi="Times New Roman" w:cs="Times New Roman"/>
                <w:b w:val="0"/>
                <w:bCs w:val="0"/>
                <w:color w:val="FF0000"/>
                <w:szCs w:val="21"/>
              </w:rPr>
              <w:t>本项目采取治理措施</w:t>
            </w:r>
          </w:p>
        </w:tc>
        <w:tc>
          <w:tcPr>
            <w:tcW w:w="485" w:type="pct"/>
            <w:tcBorders>
              <w:tl2br w:val="nil"/>
              <w:tr2bl w:val="nil"/>
            </w:tcBorders>
            <w:noWrap w:val="0"/>
            <w:vAlign w:val="center"/>
          </w:tcPr>
          <w:p w14:paraId="6BC7DE21">
            <w:pPr>
              <w:keepNext w:val="0"/>
              <w:keepLines w:val="0"/>
              <w:pageBreakBefore w:val="0"/>
              <w:kinsoku/>
              <w:wordWrap/>
              <w:overflowPunct/>
              <w:topLinePunct w:val="0"/>
              <w:autoSpaceDE w:val="0"/>
              <w:autoSpaceDN w:val="0"/>
              <w:bidi w:val="0"/>
              <w:adjustRightInd w:val="0"/>
              <w:snapToGrid w:val="0"/>
              <w:spacing w:line="240" w:lineRule="auto"/>
              <w:ind w:left="-108" w:leftChars="-45" w:right="-113" w:firstLine="0" w:firstLineChars="0"/>
              <w:jc w:val="center"/>
              <w:textAlignment w:val="auto"/>
              <w:rPr>
                <w:rFonts w:hint="default" w:ascii="Times New Roman" w:hAnsi="Times New Roman" w:cs="Times New Roman"/>
                <w:b w:val="0"/>
                <w:bCs w:val="0"/>
                <w:color w:val="FF0000"/>
                <w:szCs w:val="21"/>
              </w:rPr>
            </w:pPr>
            <w:r>
              <w:rPr>
                <w:rFonts w:hint="default" w:ascii="Times New Roman" w:hAnsi="Times New Roman" w:cs="Times New Roman"/>
                <w:b w:val="0"/>
                <w:bCs w:val="0"/>
                <w:color w:val="FF0000"/>
                <w:szCs w:val="21"/>
              </w:rPr>
              <w:t>是否</w:t>
            </w:r>
          </w:p>
          <w:p w14:paraId="20F99D6A">
            <w:pPr>
              <w:keepNext w:val="0"/>
              <w:keepLines w:val="0"/>
              <w:pageBreakBefore w:val="0"/>
              <w:kinsoku/>
              <w:wordWrap/>
              <w:overflowPunct/>
              <w:topLinePunct w:val="0"/>
              <w:autoSpaceDE w:val="0"/>
              <w:autoSpaceDN w:val="0"/>
              <w:bidi w:val="0"/>
              <w:adjustRightInd w:val="0"/>
              <w:snapToGrid w:val="0"/>
              <w:spacing w:line="240" w:lineRule="auto"/>
              <w:ind w:left="-108" w:leftChars="-45" w:right="-113" w:firstLine="0" w:firstLineChars="0"/>
              <w:jc w:val="center"/>
              <w:textAlignment w:val="auto"/>
              <w:rPr>
                <w:rFonts w:hint="default" w:ascii="Times New Roman" w:hAnsi="Times New Roman" w:cs="Times New Roman"/>
                <w:b w:val="0"/>
                <w:bCs w:val="0"/>
                <w:color w:val="FF0000"/>
                <w:szCs w:val="21"/>
              </w:rPr>
            </w:pPr>
            <w:r>
              <w:rPr>
                <w:rFonts w:hint="default" w:ascii="Times New Roman" w:hAnsi="Times New Roman" w:cs="Times New Roman"/>
                <w:b w:val="0"/>
                <w:bCs w:val="0"/>
                <w:color w:val="FF0000"/>
                <w:szCs w:val="21"/>
              </w:rPr>
              <w:t>符合</w:t>
            </w:r>
          </w:p>
        </w:tc>
      </w:tr>
      <w:tr w14:paraId="1A1B6C64">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794" w:type="pct"/>
            <w:vMerge w:val="restart"/>
            <w:tcBorders>
              <w:tl2br w:val="nil"/>
              <w:tr2bl w:val="nil"/>
            </w:tcBorders>
            <w:noWrap w:val="0"/>
            <w:vAlign w:val="center"/>
          </w:tcPr>
          <w:p w14:paraId="7938FCC3">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FF0000"/>
                <w:lang w:val="en-US" w:eastAsia="zh-CN"/>
              </w:rPr>
            </w:pPr>
            <w:r>
              <w:rPr>
                <w:rFonts w:hint="default" w:ascii="Times New Roman" w:hAnsi="Times New Roman" w:eastAsia="宋体" w:cs="Times New Roman"/>
                <w:b w:val="0"/>
                <w:bCs w:val="0"/>
                <w:color w:val="FF0000"/>
                <w:lang w:val="en-US" w:eastAsia="zh-CN"/>
              </w:rPr>
              <w:t>Ⅰ类料堆场</w:t>
            </w:r>
          </w:p>
        </w:tc>
        <w:tc>
          <w:tcPr>
            <w:tcW w:w="2299" w:type="pct"/>
            <w:tcBorders>
              <w:tl2br w:val="nil"/>
              <w:tr2bl w:val="nil"/>
            </w:tcBorders>
            <w:noWrap w:val="0"/>
            <w:vAlign w:val="center"/>
          </w:tcPr>
          <w:p w14:paraId="1A325202">
            <w:pPr>
              <w:keepNext w:val="0"/>
              <w:keepLines w:val="0"/>
              <w:pageBreakBefore w:val="0"/>
              <w:widowControl/>
              <w:kinsoku/>
              <w:wordWrap/>
              <w:overflowPunct/>
              <w:topLinePunct w:val="0"/>
              <w:autoSpaceDE w:val="0"/>
              <w:autoSpaceDN w:val="0"/>
              <w:bidi w:val="0"/>
              <w:adjustRightInd w:val="0"/>
              <w:spacing w:line="240" w:lineRule="auto"/>
              <w:ind w:firstLine="0" w:firstLineChars="0"/>
              <w:jc w:val="both"/>
              <w:textAlignment w:val="auto"/>
              <w:rPr>
                <w:rFonts w:hint="default" w:ascii="Times New Roman" w:hAnsi="Times New Roman" w:eastAsia="宋体" w:cs="Times New Roman"/>
                <w:b w:val="0"/>
                <w:bCs w:val="0"/>
                <w:color w:val="FF0000"/>
                <w:szCs w:val="21"/>
                <w:lang w:eastAsia="zh-CN"/>
              </w:rPr>
            </w:pPr>
            <w:r>
              <w:rPr>
                <w:rFonts w:hint="default" w:ascii="Times New Roman" w:hAnsi="Times New Roman" w:eastAsia="宋体" w:cs="Times New Roman"/>
                <w:b w:val="0"/>
                <w:bCs w:val="0"/>
                <w:color w:val="FF0000"/>
                <w:szCs w:val="21"/>
                <w:lang w:eastAsia="zh-CN"/>
              </w:rPr>
              <w:t>（</w:t>
            </w:r>
            <w:r>
              <w:rPr>
                <w:rFonts w:hint="default" w:ascii="Times New Roman" w:hAnsi="Times New Roman" w:eastAsia="宋体" w:cs="Times New Roman"/>
                <w:b w:val="0"/>
                <w:bCs w:val="0"/>
                <w:color w:val="FF0000"/>
                <w:szCs w:val="21"/>
                <w:lang w:val="en-US" w:eastAsia="zh-CN"/>
              </w:rPr>
              <w:t>1</w:t>
            </w:r>
            <w:r>
              <w:rPr>
                <w:rFonts w:hint="default" w:ascii="Times New Roman" w:hAnsi="Times New Roman" w:eastAsia="宋体" w:cs="Times New Roman"/>
                <w:b w:val="0"/>
                <w:bCs w:val="0"/>
                <w:color w:val="FF0000"/>
                <w:szCs w:val="21"/>
                <w:lang w:eastAsia="zh-CN"/>
              </w:rPr>
              <w:t>）筒仓</w:t>
            </w:r>
          </w:p>
        </w:tc>
        <w:tc>
          <w:tcPr>
            <w:tcW w:w="1420" w:type="pct"/>
            <w:vMerge w:val="restart"/>
            <w:tcBorders>
              <w:tl2br w:val="nil"/>
              <w:tr2bl w:val="nil"/>
            </w:tcBorders>
            <w:noWrap w:val="0"/>
            <w:vAlign w:val="center"/>
          </w:tcPr>
          <w:p w14:paraId="36495501">
            <w:pPr>
              <w:keepNext w:val="0"/>
              <w:keepLines w:val="0"/>
              <w:pageBreakBefore w:val="0"/>
              <w:kinsoku/>
              <w:wordWrap/>
              <w:overflowPunct/>
              <w:topLinePunct w:val="0"/>
              <w:autoSpaceDE w:val="0"/>
              <w:autoSpaceDN w:val="0"/>
              <w:bidi w:val="0"/>
              <w:adjustRightInd w:val="0"/>
              <w:snapToGrid w:val="0"/>
              <w:spacing w:line="240" w:lineRule="auto"/>
              <w:ind w:left="-108" w:leftChars="-45" w:right="-113" w:firstLine="0" w:firstLineChars="0"/>
              <w:jc w:val="both"/>
              <w:textAlignment w:val="auto"/>
              <w:rPr>
                <w:rFonts w:hint="default" w:ascii="Times New Roman" w:hAnsi="Times New Roman" w:eastAsia="宋体" w:cs="Times New Roman"/>
                <w:b w:val="0"/>
                <w:bCs w:val="0"/>
                <w:color w:val="FF0000"/>
                <w:szCs w:val="21"/>
                <w:lang w:val="en-US" w:eastAsia="zh-CN"/>
              </w:rPr>
            </w:pPr>
            <w:r>
              <w:rPr>
                <w:rFonts w:hint="default" w:ascii="Times New Roman" w:hAnsi="Times New Roman" w:eastAsia="宋体" w:cs="Times New Roman"/>
                <w:b w:val="0"/>
                <w:bCs w:val="0"/>
                <w:color w:val="FF0000"/>
                <w:lang w:val="en-US" w:eastAsia="zh-CN"/>
              </w:rPr>
              <w:t>项目</w:t>
            </w:r>
            <w:r>
              <w:rPr>
                <w:rFonts w:hint="eastAsia" w:ascii="Times New Roman" w:hAnsi="Times New Roman" w:eastAsia="宋体" w:cs="Times New Roman"/>
                <w:b w:val="0"/>
                <w:bCs w:val="0"/>
                <w:color w:val="FF0000"/>
                <w:lang w:val="en-US" w:eastAsia="zh-CN"/>
              </w:rPr>
              <w:t>堆存在全封闭厂房内</w:t>
            </w:r>
          </w:p>
        </w:tc>
        <w:tc>
          <w:tcPr>
            <w:tcW w:w="485" w:type="pct"/>
            <w:vMerge w:val="restart"/>
            <w:tcBorders>
              <w:tl2br w:val="nil"/>
              <w:tr2bl w:val="nil"/>
            </w:tcBorders>
            <w:noWrap w:val="0"/>
            <w:vAlign w:val="center"/>
          </w:tcPr>
          <w:p w14:paraId="04D56991">
            <w:pPr>
              <w:keepNext w:val="0"/>
              <w:keepLines w:val="0"/>
              <w:pageBreakBefore w:val="0"/>
              <w:kinsoku/>
              <w:wordWrap/>
              <w:overflowPunct/>
              <w:topLinePunct w:val="0"/>
              <w:autoSpaceDE w:val="0"/>
              <w:autoSpaceDN w:val="0"/>
              <w:bidi w:val="0"/>
              <w:adjustRightInd w:val="0"/>
              <w:snapToGrid w:val="0"/>
              <w:spacing w:line="240" w:lineRule="auto"/>
              <w:ind w:left="-108" w:leftChars="-45" w:right="-113" w:firstLine="0" w:firstLineChars="0"/>
              <w:jc w:val="center"/>
              <w:textAlignment w:val="auto"/>
              <w:rPr>
                <w:rFonts w:hint="default" w:ascii="Times New Roman" w:hAnsi="Times New Roman" w:eastAsia="宋体" w:cs="Times New Roman"/>
                <w:b w:val="0"/>
                <w:bCs w:val="0"/>
                <w:color w:val="FF0000"/>
                <w:szCs w:val="21"/>
                <w:lang w:eastAsia="zh-CN"/>
              </w:rPr>
            </w:pPr>
            <w:r>
              <w:rPr>
                <w:rFonts w:hint="default" w:ascii="Times New Roman" w:hAnsi="Times New Roman" w:cs="Times New Roman"/>
                <w:b w:val="0"/>
                <w:bCs w:val="0"/>
                <w:color w:val="FF0000"/>
                <w:szCs w:val="21"/>
                <w:lang w:eastAsia="zh-CN"/>
              </w:rPr>
              <w:t>符合</w:t>
            </w:r>
          </w:p>
        </w:tc>
      </w:tr>
      <w:tr w14:paraId="1E2A2705">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794" w:type="pct"/>
            <w:vMerge w:val="continue"/>
            <w:tcBorders>
              <w:tl2br w:val="nil"/>
              <w:tr2bl w:val="nil"/>
            </w:tcBorders>
            <w:noWrap w:val="0"/>
            <w:vAlign w:val="center"/>
          </w:tcPr>
          <w:p w14:paraId="66564359">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FF0000"/>
                <w:lang w:val="en-US" w:eastAsia="zh-CN"/>
              </w:rPr>
            </w:pPr>
          </w:p>
        </w:tc>
        <w:tc>
          <w:tcPr>
            <w:tcW w:w="2299" w:type="pct"/>
            <w:tcBorders>
              <w:tl2br w:val="nil"/>
              <w:tr2bl w:val="nil"/>
            </w:tcBorders>
            <w:noWrap w:val="0"/>
            <w:vAlign w:val="center"/>
          </w:tcPr>
          <w:p w14:paraId="72BC8D69">
            <w:pPr>
              <w:keepNext w:val="0"/>
              <w:keepLines w:val="0"/>
              <w:pageBreakBefore w:val="0"/>
              <w:widowControl/>
              <w:kinsoku/>
              <w:wordWrap/>
              <w:overflowPunct/>
              <w:topLinePunct w:val="0"/>
              <w:autoSpaceDE w:val="0"/>
              <w:autoSpaceDN w:val="0"/>
              <w:bidi w:val="0"/>
              <w:adjustRightInd w:val="0"/>
              <w:spacing w:line="240" w:lineRule="auto"/>
              <w:ind w:firstLine="0" w:firstLineChars="0"/>
              <w:jc w:val="both"/>
              <w:textAlignment w:val="auto"/>
              <w:rPr>
                <w:rFonts w:hint="default" w:ascii="Times New Roman" w:hAnsi="Times New Roman" w:eastAsia="宋体" w:cs="Times New Roman"/>
                <w:b w:val="0"/>
                <w:bCs w:val="0"/>
                <w:color w:val="FF0000"/>
                <w:szCs w:val="21"/>
                <w:lang w:eastAsia="zh-CN"/>
              </w:rPr>
            </w:pPr>
            <w:r>
              <w:rPr>
                <w:rFonts w:hint="default" w:ascii="Times New Roman" w:hAnsi="Times New Roman" w:eastAsia="宋体" w:cs="Times New Roman"/>
                <w:b w:val="0"/>
                <w:bCs w:val="0"/>
                <w:color w:val="FF0000"/>
                <w:szCs w:val="21"/>
                <w:lang w:eastAsia="zh-CN"/>
              </w:rPr>
              <w:t>（</w:t>
            </w:r>
            <w:r>
              <w:rPr>
                <w:rFonts w:hint="default" w:ascii="Times New Roman" w:hAnsi="Times New Roman" w:eastAsia="宋体" w:cs="Times New Roman"/>
                <w:b w:val="0"/>
                <w:bCs w:val="0"/>
                <w:color w:val="FF0000"/>
                <w:szCs w:val="21"/>
                <w:lang w:val="en-US" w:eastAsia="zh-CN"/>
              </w:rPr>
              <w:t>2</w:t>
            </w:r>
            <w:r>
              <w:rPr>
                <w:rFonts w:hint="default" w:ascii="Times New Roman" w:hAnsi="Times New Roman" w:eastAsia="宋体" w:cs="Times New Roman"/>
                <w:b w:val="0"/>
                <w:bCs w:val="0"/>
                <w:color w:val="FF0000"/>
                <w:szCs w:val="21"/>
                <w:lang w:eastAsia="zh-CN"/>
              </w:rPr>
              <w:t>）圆形料仓</w:t>
            </w:r>
          </w:p>
        </w:tc>
        <w:tc>
          <w:tcPr>
            <w:tcW w:w="1420" w:type="pct"/>
            <w:vMerge w:val="continue"/>
            <w:tcBorders>
              <w:tl2br w:val="nil"/>
              <w:tr2bl w:val="nil"/>
            </w:tcBorders>
            <w:noWrap w:val="0"/>
            <w:vAlign w:val="center"/>
          </w:tcPr>
          <w:p w14:paraId="0B2C02A7">
            <w:pPr>
              <w:keepNext w:val="0"/>
              <w:keepLines w:val="0"/>
              <w:pageBreakBefore w:val="0"/>
              <w:kinsoku/>
              <w:wordWrap/>
              <w:overflowPunct/>
              <w:topLinePunct w:val="0"/>
              <w:autoSpaceDE w:val="0"/>
              <w:autoSpaceDN w:val="0"/>
              <w:bidi w:val="0"/>
              <w:adjustRightInd w:val="0"/>
              <w:snapToGrid w:val="0"/>
              <w:spacing w:line="240" w:lineRule="auto"/>
              <w:ind w:left="-108" w:leftChars="-45" w:right="-113" w:firstLine="0" w:firstLineChars="0"/>
              <w:jc w:val="center"/>
              <w:textAlignment w:val="auto"/>
              <w:rPr>
                <w:rFonts w:hint="default" w:ascii="Times New Roman" w:hAnsi="Times New Roman" w:cs="Times New Roman"/>
                <w:b w:val="0"/>
                <w:bCs w:val="0"/>
                <w:color w:val="FF0000"/>
                <w:szCs w:val="21"/>
              </w:rPr>
            </w:pPr>
          </w:p>
        </w:tc>
        <w:tc>
          <w:tcPr>
            <w:tcW w:w="485" w:type="pct"/>
            <w:vMerge w:val="continue"/>
            <w:tcBorders>
              <w:tl2br w:val="nil"/>
              <w:tr2bl w:val="nil"/>
            </w:tcBorders>
            <w:noWrap w:val="0"/>
            <w:vAlign w:val="center"/>
          </w:tcPr>
          <w:p w14:paraId="70224A03">
            <w:pPr>
              <w:keepNext w:val="0"/>
              <w:keepLines w:val="0"/>
              <w:pageBreakBefore w:val="0"/>
              <w:kinsoku/>
              <w:wordWrap/>
              <w:overflowPunct/>
              <w:topLinePunct w:val="0"/>
              <w:autoSpaceDE w:val="0"/>
              <w:autoSpaceDN w:val="0"/>
              <w:bidi w:val="0"/>
              <w:adjustRightInd w:val="0"/>
              <w:snapToGrid w:val="0"/>
              <w:spacing w:line="240" w:lineRule="auto"/>
              <w:ind w:left="-108" w:leftChars="-45" w:right="-113" w:firstLine="0" w:firstLineChars="0"/>
              <w:jc w:val="center"/>
              <w:textAlignment w:val="auto"/>
              <w:rPr>
                <w:rFonts w:hint="default" w:ascii="Times New Roman" w:hAnsi="Times New Roman" w:cs="Times New Roman"/>
                <w:b w:val="0"/>
                <w:bCs w:val="0"/>
                <w:color w:val="FF0000"/>
                <w:szCs w:val="21"/>
              </w:rPr>
            </w:pPr>
          </w:p>
        </w:tc>
      </w:tr>
      <w:tr w14:paraId="69E13BBA">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794" w:type="pct"/>
            <w:vMerge w:val="continue"/>
            <w:tcBorders>
              <w:tl2br w:val="nil"/>
              <w:tr2bl w:val="nil"/>
            </w:tcBorders>
            <w:noWrap w:val="0"/>
            <w:vAlign w:val="center"/>
          </w:tcPr>
          <w:p w14:paraId="27274748">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FF0000"/>
                <w:lang w:val="en-US" w:eastAsia="zh-CN"/>
              </w:rPr>
            </w:pPr>
          </w:p>
        </w:tc>
        <w:tc>
          <w:tcPr>
            <w:tcW w:w="2299" w:type="pct"/>
            <w:tcBorders>
              <w:tl2br w:val="nil"/>
              <w:tr2bl w:val="nil"/>
            </w:tcBorders>
            <w:noWrap w:val="0"/>
            <w:vAlign w:val="center"/>
          </w:tcPr>
          <w:p w14:paraId="2ACAB35D">
            <w:pPr>
              <w:keepNext w:val="0"/>
              <w:keepLines w:val="0"/>
              <w:pageBreakBefore w:val="0"/>
              <w:widowControl/>
              <w:kinsoku/>
              <w:wordWrap/>
              <w:overflowPunct/>
              <w:topLinePunct w:val="0"/>
              <w:autoSpaceDE w:val="0"/>
              <w:autoSpaceDN w:val="0"/>
              <w:bidi w:val="0"/>
              <w:adjustRightInd w:val="0"/>
              <w:spacing w:line="240" w:lineRule="auto"/>
              <w:ind w:firstLine="0" w:firstLineChars="0"/>
              <w:jc w:val="both"/>
              <w:textAlignment w:val="auto"/>
              <w:rPr>
                <w:rFonts w:hint="default" w:ascii="Times New Roman" w:hAnsi="Times New Roman" w:eastAsia="宋体" w:cs="Times New Roman"/>
                <w:b w:val="0"/>
                <w:bCs w:val="0"/>
                <w:color w:val="FF0000"/>
                <w:szCs w:val="21"/>
                <w:lang w:val="en-US" w:eastAsia="zh-CN"/>
              </w:rPr>
            </w:pPr>
            <w:r>
              <w:rPr>
                <w:rFonts w:hint="default" w:ascii="Times New Roman" w:hAnsi="Times New Roman" w:eastAsia="宋体" w:cs="Times New Roman"/>
                <w:b w:val="0"/>
                <w:bCs w:val="0"/>
                <w:color w:val="FF0000"/>
                <w:szCs w:val="21"/>
                <w:lang w:eastAsia="zh-CN"/>
              </w:rPr>
              <w:t>（</w:t>
            </w:r>
            <w:r>
              <w:rPr>
                <w:rFonts w:hint="default" w:ascii="Times New Roman" w:hAnsi="Times New Roman" w:eastAsia="宋体" w:cs="Times New Roman"/>
                <w:b w:val="0"/>
                <w:bCs w:val="0"/>
                <w:color w:val="FF0000"/>
                <w:szCs w:val="21"/>
                <w:lang w:val="en-US" w:eastAsia="zh-CN"/>
              </w:rPr>
              <w:t>3</w:t>
            </w:r>
            <w:r>
              <w:rPr>
                <w:rFonts w:hint="default" w:ascii="Times New Roman" w:hAnsi="Times New Roman" w:eastAsia="宋体" w:cs="Times New Roman"/>
                <w:b w:val="0"/>
                <w:bCs w:val="0"/>
                <w:color w:val="FF0000"/>
                <w:szCs w:val="21"/>
                <w:lang w:eastAsia="zh-CN"/>
              </w:rPr>
              <w:t>）其它全封闭性仓库</w:t>
            </w:r>
          </w:p>
        </w:tc>
        <w:tc>
          <w:tcPr>
            <w:tcW w:w="1420" w:type="pct"/>
            <w:vMerge w:val="continue"/>
            <w:tcBorders>
              <w:tl2br w:val="nil"/>
              <w:tr2bl w:val="nil"/>
            </w:tcBorders>
            <w:noWrap w:val="0"/>
            <w:vAlign w:val="center"/>
          </w:tcPr>
          <w:p w14:paraId="03815714">
            <w:pPr>
              <w:keepNext w:val="0"/>
              <w:keepLines w:val="0"/>
              <w:pageBreakBefore w:val="0"/>
              <w:kinsoku/>
              <w:wordWrap/>
              <w:overflowPunct/>
              <w:topLinePunct w:val="0"/>
              <w:autoSpaceDE w:val="0"/>
              <w:autoSpaceDN w:val="0"/>
              <w:bidi w:val="0"/>
              <w:adjustRightInd w:val="0"/>
              <w:snapToGrid w:val="0"/>
              <w:spacing w:line="240" w:lineRule="auto"/>
              <w:ind w:left="-108" w:leftChars="-45" w:right="-113" w:firstLine="0" w:firstLineChars="0"/>
              <w:jc w:val="center"/>
              <w:textAlignment w:val="auto"/>
              <w:rPr>
                <w:rFonts w:hint="default" w:ascii="Times New Roman" w:hAnsi="Times New Roman" w:cs="Times New Roman"/>
                <w:b w:val="0"/>
                <w:bCs w:val="0"/>
                <w:color w:val="FF0000"/>
                <w:szCs w:val="21"/>
              </w:rPr>
            </w:pPr>
          </w:p>
        </w:tc>
        <w:tc>
          <w:tcPr>
            <w:tcW w:w="485" w:type="pct"/>
            <w:vMerge w:val="continue"/>
            <w:tcBorders>
              <w:tl2br w:val="nil"/>
              <w:tr2bl w:val="nil"/>
            </w:tcBorders>
            <w:noWrap w:val="0"/>
            <w:vAlign w:val="center"/>
          </w:tcPr>
          <w:p w14:paraId="2180F6C6">
            <w:pPr>
              <w:keepNext w:val="0"/>
              <w:keepLines w:val="0"/>
              <w:pageBreakBefore w:val="0"/>
              <w:kinsoku/>
              <w:wordWrap/>
              <w:overflowPunct/>
              <w:topLinePunct w:val="0"/>
              <w:autoSpaceDE w:val="0"/>
              <w:autoSpaceDN w:val="0"/>
              <w:bidi w:val="0"/>
              <w:adjustRightInd w:val="0"/>
              <w:snapToGrid w:val="0"/>
              <w:spacing w:line="240" w:lineRule="auto"/>
              <w:ind w:left="-108" w:leftChars="-45" w:right="-113" w:firstLine="0" w:firstLineChars="0"/>
              <w:jc w:val="center"/>
              <w:textAlignment w:val="auto"/>
              <w:rPr>
                <w:rFonts w:hint="default" w:ascii="Times New Roman" w:hAnsi="Times New Roman" w:cs="Times New Roman"/>
                <w:b w:val="0"/>
                <w:bCs w:val="0"/>
                <w:color w:val="FF0000"/>
                <w:szCs w:val="21"/>
              </w:rPr>
            </w:pPr>
          </w:p>
        </w:tc>
      </w:tr>
    </w:tbl>
    <w:p w14:paraId="2544C8EA">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right="0" w:rightChars="0" w:firstLine="480" w:firstLineChars="200"/>
        <w:jc w:val="both"/>
        <w:textAlignment w:val="auto"/>
        <w:outlineLvl w:val="9"/>
        <w:rPr>
          <w:rFonts w:hint="default" w:ascii="Times New Roman" w:hAnsi="Times New Roman" w:eastAsia="宋体" w:cs="Times New Roman"/>
          <w:color w:val="FF0000"/>
          <w:lang w:val="en-US" w:eastAsia="zh-CN"/>
        </w:rPr>
      </w:pPr>
      <w:r>
        <w:rPr>
          <w:rFonts w:hint="default" w:ascii="Times New Roman" w:hAnsi="Times New Roman" w:eastAsia="宋体" w:cs="Times New Roman"/>
          <w:color w:val="FF0000"/>
          <w:lang w:val="en-US" w:eastAsia="zh-CN"/>
        </w:rPr>
        <w:t>由上表可知，项目采取防尘治理措施符合《</w:t>
      </w:r>
      <w:r>
        <w:rPr>
          <w:rFonts w:hint="eastAsia" w:ascii="Times New Roman" w:hAnsi="Times New Roman" w:eastAsia="宋体" w:cs="Times New Roman"/>
          <w:color w:val="FF0000"/>
          <w:lang w:val="en-US" w:eastAsia="zh-CN"/>
        </w:rPr>
        <w:t>工业料堆场扬尘整治规范</w:t>
      </w:r>
      <w:r>
        <w:rPr>
          <w:rFonts w:hint="default" w:ascii="Times New Roman" w:hAnsi="Times New Roman" w:eastAsia="宋体" w:cs="Times New Roman"/>
          <w:color w:val="FF0000"/>
          <w:lang w:val="en-US" w:eastAsia="zh-CN"/>
        </w:rPr>
        <w:t>》（DB65/T4061-2017）相关的规定和要求。</w:t>
      </w:r>
    </w:p>
    <w:p w14:paraId="2D7ACEA0">
      <w:pPr>
        <w:pStyle w:val="5"/>
        <w:bidi w:val="0"/>
        <w:rPr>
          <w:rFonts w:hint="default"/>
        </w:rPr>
      </w:pPr>
      <w:r>
        <w:rPr>
          <w:rFonts w:hint="default"/>
        </w:rPr>
        <w:t>与《中华人民共和国矿产资源法》符合性分析</w:t>
      </w:r>
    </w:p>
    <w:p w14:paraId="2491655D">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中华人民共和国矿产资源法》，“开采矿产资源，必须采取合理的开采顺序、开采方法和选矿工艺。矿山企业的开采回采率、采矿贫化率和选矿回收率应当达到设计要求；开采矿产资源，应当节约用地。耕地、草原、林地因采矿受到破坏的，矿山企业应当因地制宜地采取复垦利用、植树种草或者其他利用措施；在建设铁路、工厂、水库、输油管道、输电线路和各种大型建筑物或者建筑群之前，建设单位必须向所在省、自治区、直辖市地质矿产主管部门了解拟建工程所在地区的矿产资源分布和开采情况。非经国务院授权的部门批准，不得压覆重要矿床；集体矿山企业和个体采矿应当提高技术水平，提高矿产资源回收率。禁止乱挖滥采，破坏矿产资源；超越批准的矿区范围采矿的，责令退回本矿区范围内开采、赔偿损失，没收越界开采的矿产品和违法所得，可以并处罚款；拒不退回本矿区范围内开采，造成矿产资源破坏的，吊销采矿许可证，依照刑法有关规定对直接责任人员追究刑事责任。”</w:t>
      </w:r>
    </w:p>
    <w:p w14:paraId="3DE0C045">
      <w:pPr>
        <w:spacing w:beforeLines="0" w:afterLines="0"/>
        <w:rPr>
          <w:rFonts w:hint="default" w:ascii="Times New Roman" w:hAnsi="Times New Roman" w:cs="Times New Roman"/>
          <w:color w:val="auto"/>
          <w:spacing w:val="-10"/>
          <w:sz w:val="24"/>
          <w:szCs w:val="24"/>
          <w:highlight w:val="none"/>
        </w:rPr>
      </w:pPr>
      <w:r>
        <w:rPr>
          <w:rFonts w:hint="default" w:ascii="Times New Roman" w:hAnsi="Times New Roman" w:cs="Times New Roman"/>
          <w:color w:val="auto"/>
          <w:sz w:val="24"/>
          <w:szCs w:val="24"/>
          <w:highlight w:val="none"/>
        </w:rPr>
        <w:t>本项目开采方法为自上而下水平分层、台阶式采矿方法；开采方法和顺序均合理。开采回采率也可达到设计要求；本项目严格控制占地，占地为天然牧草地；项目开采后将按照矿产资源开发利用与生态保护修复方案因地制宜开展生态恢复；本项目符合昌吉州及阜康市矿产资源规划；项目已取得昌</w:t>
      </w:r>
      <w:r>
        <w:rPr>
          <w:rFonts w:hint="default" w:ascii="Times New Roman" w:hAnsi="Times New Roman" w:cs="Times New Roman"/>
          <w:color w:val="auto"/>
          <w:spacing w:val="-5"/>
          <w:sz w:val="24"/>
          <w:szCs w:val="24"/>
          <w:highlight w:val="none"/>
        </w:rPr>
        <w:t>吉州自然资源</w:t>
      </w:r>
      <w:r>
        <w:rPr>
          <w:rFonts w:hint="default" w:ascii="Times New Roman" w:hAnsi="Times New Roman" w:cs="Times New Roman"/>
          <w:color w:val="auto"/>
          <w:spacing w:val="-5"/>
          <w:sz w:val="24"/>
          <w:szCs w:val="24"/>
          <w:highlight w:val="none"/>
          <w:lang w:val="en-US" w:eastAsia="zh-CN"/>
        </w:rPr>
        <w:t>局</w:t>
      </w:r>
      <w:r>
        <w:rPr>
          <w:rFonts w:hint="default" w:ascii="Times New Roman" w:hAnsi="Times New Roman" w:cs="Times New Roman"/>
          <w:color w:val="auto"/>
          <w:spacing w:val="-5"/>
          <w:sz w:val="24"/>
          <w:szCs w:val="24"/>
          <w:highlight w:val="none"/>
        </w:rPr>
        <w:t>出具的</w:t>
      </w:r>
      <w:r>
        <w:rPr>
          <w:rFonts w:hint="default" w:ascii="Times New Roman" w:hAnsi="Times New Roman" w:cs="Times New Roman"/>
          <w:color w:val="auto"/>
          <w:spacing w:val="-5"/>
          <w:sz w:val="24"/>
          <w:szCs w:val="24"/>
          <w:highlight w:val="none"/>
          <w:lang w:val="en-US" w:eastAsia="zh-CN"/>
        </w:rPr>
        <w:t>采矿许可证（证书编号：C6523002025067110158535）</w:t>
      </w:r>
      <w:r>
        <w:rPr>
          <w:rFonts w:hint="default" w:ascii="Times New Roman" w:hAnsi="Times New Roman" w:cs="Times New Roman"/>
          <w:color w:val="auto"/>
          <w:spacing w:val="-4"/>
          <w:sz w:val="24"/>
          <w:szCs w:val="24"/>
          <w:highlight w:val="none"/>
        </w:rPr>
        <w:t>，将严格按照矿区范围采矿，不涉及越界开采。故本项目符合《中</w:t>
      </w:r>
      <w:r>
        <w:rPr>
          <w:rFonts w:hint="default" w:ascii="Times New Roman" w:hAnsi="Times New Roman" w:cs="Times New Roman"/>
          <w:color w:val="auto"/>
          <w:spacing w:val="-117"/>
          <w:sz w:val="24"/>
          <w:szCs w:val="24"/>
          <w:highlight w:val="none"/>
        </w:rPr>
        <w:t xml:space="preserve"> </w:t>
      </w:r>
      <w:r>
        <w:rPr>
          <w:rFonts w:hint="default" w:ascii="Times New Roman" w:hAnsi="Times New Roman" w:cs="Times New Roman"/>
          <w:color w:val="auto"/>
          <w:spacing w:val="-10"/>
          <w:sz w:val="24"/>
          <w:szCs w:val="24"/>
          <w:highlight w:val="none"/>
        </w:rPr>
        <w:t>华人民共和国矿产资源法》。</w:t>
      </w:r>
    </w:p>
    <w:p w14:paraId="5807581A">
      <w:pPr>
        <w:pStyle w:val="5"/>
        <w:bidi w:val="0"/>
        <w:rPr>
          <w:rFonts w:hint="default"/>
        </w:rPr>
      </w:pPr>
      <w:r>
        <w:rPr>
          <w:rFonts w:hint="default"/>
        </w:rPr>
        <w:t>与《新疆维吾尔自治区矿产资源管理条例》的符合性分析</w:t>
      </w:r>
    </w:p>
    <w:p w14:paraId="583E5A0E">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新疆维吾尔自治区矿产资源管理条例》，勘查、开采矿产资源，应当加强水土保持、土地复垦和环境保护工作、加强地质环境保护、监测和地质灾害的整治工作；勘查、开采矿产资源，应当依照国家和自治区有关规定申请登记，依法取得探矿权或者采矿权；勘查作业结束后，应当采取措施，防止水土流失，保护生态环境。开采矿产资源造成矿山地质环境、生态环境破坏的，应当治理恢复。</w:t>
      </w:r>
    </w:p>
    <w:p w14:paraId="5E07D779">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本项目须做好土地复垦工作，并做到“边开采、边复垦”。对于水土流失，主要通过修建截、排水沟，修建拦挡，加强生态恢复等措施，尽可能减少水土流失量；项目已取得昌</w:t>
      </w:r>
      <w:r>
        <w:rPr>
          <w:rFonts w:hint="default" w:ascii="Times New Roman" w:hAnsi="Times New Roman" w:cs="Times New Roman"/>
          <w:color w:val="auto"/>
          <w:spacing w:val="-5"/>
          <w:sz w:val="24"/>
          <w:szCs w:val="24"/>
          <w:highlight w:val="none"/>
        </w:rPr>
        <w:t>吉州自然资源</w:t>
      </w:r>
      <w:r>
        <w:rPr>
          <w:rFonts w:hint="default" w:ascii="Times New Roman" w:hAnsi="Times New Roman" w:cs="Times New Roman"/>
          <w:color w:val="auto"/>
          <w:spacing w:val="-5"/>
          <w:sz w:val="24"/>
          <w:szCs w:val="24"/>
          <w:highlight w:val="none"/>
          <w:lang w:val="en-US" w:eastAsia="zh-CN"/>
        </w:rPr>
        <w:t>局</w:t>
      </w:r>
      <w:r>
        <w:rPr>
          <w:rFonts w:hint="default" w:ascii="Times New Roman" w:hAnsi="Times New Roman" w:cs="Times New Roman"/>
          <w:color w:val="auto"/>
          <w:spacing w:val="-5"/>
          <w:sz w:val="24"/>
          <w:szCs w:val="24"/>
          <w:highlight w:val="none"/>
        </w:rPr>
        <w:t>出具的</w:t>
      </w:r>
      <w:r>
        <w:rPr>
          <w:rFonts w:hint="default" w:ascii="Times New Roman" w:hAnsi="Times New Roman" w:cs="Times New Roman"/>
          <w:color w:val="auto"/>
          <w:spacing w:val="-5"/>
          <w:sz w:val="24"/>
          <w:szCs w:val="24"/>
          <w:highlight w:val="none"/>
          <w:lang w:val="en-US" w:eastAsia="zh-CN"/>
        </w:rPr>
        <w:t>采矿许可证（证书编号：C6523002025067110158535）。</w:t>
      </w:r>
      <w:r>
        <w:rPr>
          <w:rFonts w:hint="default" w:ascii="Times New Roman" w:hAnsi="Times New Roman" w:cs="Times New Roman"/>
          <w:color w:val="auto"/>
          <w:sz w:val="24"/>
          <w:szCs w:val="24"/>
          <w:highlight w:val="none"/>
        </w:rPr>
        <w:t>项目符合《新疆维吾尔自治区矿产资源管理条例》相关要求。</w:t>
      </w:r>
    </w:p>
    <w:p w14:paraId="10E81011">
      <w:pPr>
        <w:pStyle w:val="5"/>
        <w:bidi w:val="0"/>
        <w:rPr>
          <w:rFonts w:hint="default"/>
        </w:rPr>
      </w:pPr>
      <w:bookmarkStart w:id="36" w:name="1.4.3.12与《关于加快推进露天矿山综合整治工作实施意见的函》符合性分析"/>
      <w:bookmarkEnd w:id="36"/>
      <w:bookmarkStart w:id="37" w:name="1.4.3.11与《新疆维吾尔自治区大气污染防治行动计划实施方案》符合性分析"/>
      <w:bookmarkEnd w:id="37"/>
      <w:bookmarkStart w:id="38" w:name="1.4.3.14与《关于“十四五”大宗固废综合利用的指导意见》符合性分析"/>
      <w:bookmarkEnd w:id="38"/>
      <w:bookmarkStart w:id="39" w:name="1.4.3.13与《工业料场堆场扬尘整治规范》符合性分析"/>
      <w:bookmarkEnd w:id="39"/>
      <w:bookmarkStart w:id="40" w:name="1.4.3.10与《矿山生态环境保护与污染防治技术政策》符合性分析"/>
      <w:bookmarkEnd w:id="40"/>
      <w:r>
        <w:rPr>
          <w:rFonts w:hint="default"/>
        </w:rPr>
        <w:t>与《关于“十四五”大宗固废综合利用的指导意见》符合性分析</w:t>
      </w:r>
    </w:p>
    <w:p w14:paraId="6B1855CF">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关于“十四五”大宗固废综合利用的指导意见》，“五.主要目标：到2025年，煤矸石、粉煤灰、尾矿（共伴生矿）、冶炼渣、工业副产石膏、建筑垃圾、农作物秸秆等大宗固废的综合利用能力显著提升，利用规模不断扩大，新增大宗固废综合利用率达到60%，存量大宗固废有序减少。大宗固废综合利用水平不断提高，综合利用产业体系不断完善；关键瓶颈技术取得突破，大宗固废综合利用技术创新体系逐步建立；政策法规、标准和统计体系逐步健全，大宗固废综合利用制度基本完善；产业间融合共生、区域间协同发展模式不断创新；集约高效的产业基地和骨干企业示范引领作用显著增强，大宗固废综合利用产业高质量发展新格局基本形成。”</w:t>
      </w:r>
    </w:p>
    <w:p w14:paraId="5E3483F7">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关于“十四五”大宗固废综合利用的指导意见》对大宗固废的要求，新增大宗固废综合利用率达到60%，本项目大宗固废为矿石筛分过程中产生的生产废料，废料集中堆存至废料堆场，后期根据生产计划逐步回填采坑；闭矿期，做到废料100%回填，并按《矿产资源开发利用与生态保护修复方案》要求，开展生态恢复。故本项目符合《关于“十四五”大宗固废综合利用的指导意见》要求。</w:t>
      </w:r>
    </w:p>
    <w:p w14:paraId="29914617">
      <w:pPr>
        <w:pStyle w:val="5"/>
        <w:bidi w:val="0"/>
        <w:rPr>
          <w:rFonts w:hint="default"/>
        </w:rPr>
      </w:pPr>
      <w:bookmarkStart w:id="41" w:name="1.4.3.15与《矿山生态环境保护与恢复治理技术规范（试行）》符合性分析"/>
      <w:bookmarkEnd w:id="41"/>
      <w:r>
        <w:rPr>
          <w:rFonts w:hint="default"/>
        </w:rPr>
        <w:t>与《矿山生态环境保护与恢复治理技术规范（试行）》符合性分析</w:t>
      </w:r>
    </w:p>
    <w:p w14:paraId="33DC36D2">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本项目与《矿山生态环境保护与恢复治理技术规范（试行）》的符合性分析详见下表。</w:t>
      </w:r>
    </w:p>
    <w:p w14:paraId="2F402008">
      <w:pPr>
        <w:pStyle w:val="45"/>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表1.4-</w:t>
      </w:r>
      <w:r>
        <w:rPr>
          <w:rFonts w:hint="eastAsia" w:ascii="Times New Roman" w:hAnsi="Times New Roman" w:cs="Times New Roman"/>
          <w:color w:val="auto"/>
          <w:sz w:val="24"/>
          <w:szCs w:val="24"/>
          <w:highlight w:val="none"/>
          <w:lang w:val="en-US" w:eastAsia="zh-CN"/>
        </w:rPr>
        <w:t xml:space="preserve">11  </w:t>
      </w: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rPr>
        <w:t>与《矿山生态环境保护与恢复治理技术规范（试行）》的符合性分析</w:t>
      </w:r>
      <w:r>
        <w:rPr>
          <w:rFonts w:hint="default" w:ascii="Times New Roman" w:hAnsi="Times New Roman" w:cs="Times New Roman"/>
          <w:color w:val="auto"/>
          <w:sz w:val="24"/>
          <w:szCs w:val="24"/>
          <w:highlight w:val="none"/>
          <w:lang w:val="en-US" w:eastAsia="zh-CN"/>
        </w:rPr>
        <w:t>一览表</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6"/>
        <w:gridCol w:w="3610"/>
        <w:gridCol w:w="3311"/>
        <w:gridCol w:w="1339"/>
      </w:tblGrid>
      <w:tr w14:paraId="7F032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B6C7D4C">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序号</w:t>
            </w:r>
          </w:p>
        </w:tc>
        <w:tc>
          <w:tcPr>
            <w:tcW w:w="3774" w:type="dxa"/>
            <w:tcBorders>
              <w:top w:val="single" w:color="auto" w:sz="4" w:space="0"/>
              <w:left w:val="single" w:color="auto" w:sz="4" w:space="0"/>
              <w:bottom w:val="single" w:color="auto" w:sz="4" w:space="0"/>
              <w:right w:val="single" w:color="auto" w:sz="4" w:space="0"/>
              <w:tl2br w:val="nil"/>
              <w:tr2bl w:val="nil"/>
            </w:tcBorders>
            <w:noWrap w:val="0"/>
            <w:vAlign w:val="top"/>
          </w:tcPr>
          <w:p w14:paraId="7846DBE5">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相关条款</w:t>
            </w:r>
          </w:p>
        </w:tc>
        <w:tc>
          <w:tcPr>
            <w:tcW w:w="3445" w:type="dxa"/>
            <w:tcBorders>
              <w:top w:val="single" w:color="auto" w:sz="4" w:space="0"/>
              <w:left w:val="single" w:color="auto" w:sz="4" w:space="0"/>
              <w:bottom w:val="single" w:color="auto" w:sz="4" w:space="0"/>
              <w:right w:val="single" w:color="auto" w:sz="4" w:space="0"/>
              <w:tl2br w:val="nil"/>
              <w:tr2bl w:val="nil"/>
            </w:tcBorders>
            <w:noWrap w:val="0"/>
            <w:vAlign w:val="top"/>
          </w:tcPr>
          <w:p w14:paraId="4B7D2494">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w:t>
            </w:r>
          </w:p>
        </w:tc>
        <w:tc>
          <w:tcPr>
            <w:tcW w:w="138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CB310F0">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符合性</w:t>
            </w:r>
          </w:p>
        </w:tc>
      </w:tr>
      <w:tr w14:paraId="4DAEF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55F13A0">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1</w:t>
            </w:r>
          </w:p>
        </w:tc>
        <w:tc>
          <w:tcPr>
            <w:tcW w:w="377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4C83132">
            <w:pPr>
              <w:pStyle w:val="48"/>
              <w:spacing w:beforeLines="0" w:afterLines="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4.1</w:t>
            </w:r>
            <w:r>
              <w:rPr>
                <w:rFonts w:hint="default" w:ascii="Times New Roman" w:hAnsi="Times New Roman" w:cs="Times New Roman"/>
                <w:color w:val="auto"/>
                <w:sz w:val="24"/>
                <w:szCs w:val="24"/>
                <w:highlight w:val="none"/>
              </w:rPr>
              <w:t>禁止在依法划定的自然保护区、风景名胜区、森林公园、饮用水水源保护区、文物古迹所在地、地质遗迹保护区、基本农田保护区等重要生态保护地以及其他法律法规规定的禁采区域内采矿。禁止在重要道路、航道两侧及重要生态环境敏感目标可视范围内进行对景观破坏明显的露天开</w:t>
            </w:r>
          </w:p>
          <w:p w14:paraId="634052BD">
            <w:pPr>
              <w:pStyle w:val="48"/>
              <w:spacing w:beforeLines="0" w:afterLines="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采。</w:t>
            </w:r>
          </w:p>
        </w:tc>
        <w:tc>
          <w:tcPr>
            <w:tcW w:w="3445" w:type="dxa"/>
            <w:tcBorders>
              <w:top w:val="single" w:color="auto" w:sz="4" w:space="0"/>
              <w:left w:val="single" w:color="auto" w:sz="4" w:space="0"/>
              <w:bottom w:val="single" w:color="auto" w:sz="4" w:space="0"/>
              <w:right w:val="single" w:color="auto" w:sz="4" w:space="0"/>
              <w:tl2br w:val="nil"/>
              <w:tr2bl w:val="nil"/>
            </w:tcBorders>
            <w:noWrap w:val="0"/>
            <w:vAlign w:val="top"/>
          </w:tcPr>
          <w:p w14:paraId="1360CEB8">
            <w:pPr>
              <w:pStyle w:val="48"/>
              <w:spacing w:beforeLines="0" w:afterLines="0"/>
              <w:jc w:val="left"/>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rPr>
              <w:t>本项目不涉及在自然保护区、风景名胜区、森林公园、饮用水水源保护区、文物古迹所在地、地质遗迹保护区、基本农田保护区等重要生态保护地以及其他法律法规规定的禁采区域内采矿；不涉及在重要道路、航道及重要生态环境敏感目标</w:t>
            </w:r>
            <w:r>
              <w:rPr>
                <w:rFonts w:hint="default" w:ascii="Times New Roman" w:hAnsi="Times New Roman" w:cs="Times New Roman"/>
                <w:color w:val="auto"/>
                <w:sz w:val="24"/>
                <w:szCs w:val="24"/>
                <w:highlight w:val="none"/>
                <w:lang w:eastAsia="zh-CN"/>
              </w:rPr>
              <w:t>。</w:t>
            </w:r>
          </w:p>
        </w:tc>
        <w:tc>
          <w:tcPr>
            <w:tcW w:w="138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162CF61">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符合</w:t>
            </w:r>
          </w:p>
        </w:tc>
      </w:tr>
      <w:tr w14:paraId="46295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8A4AF6C">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2</w:t>
            </w:r>
          </w:p>
        </w:tc>
        <w:tc>
          <w:tcPr>
            <w:tcW w:w="377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C31256A">
            <w:pPr>
              <w:pStyle w:val="48"/>
              <w:spacing w:beforeLines="0" w:afterLines="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4.2矿产资源开发活动应符合国家和区域主体功能区规划、生态功能区划、生态环境保护规划的要求，采取有效预防和保护措施，避免或减轻矿产资源开发活动造成的生态破坏和环境污染。</w:t>
            </w:r>
          </w:p>
        </w:tc>
        <w:tc>
          <w:tcPr>
            <w:tcW w:w="3445" w:type="dxa"/>
            <w:tcBorders>
              <w:top w:val="single" w:color="auto" w:sz="4" w:space="0"/>
              <w:left w:val="single" w:color="auto" w:sz="4" w:space="0"/>
              <w:bottom w:val="single" w:color="auto" w:sz="4" w:space="0"/>
              <w:right w:val="single" w:color="auto" w:sz="4" w:space="0"/>
              <w:tl2br w:val="nil"/>
              <w:tr2bl w:val="nil"/>
            </w:tcBorders>
            <w:noWrap w:val="0"/>
            <w:vAlign w:val="top"/>
          </w:tcPr>
          <w:p w14:paraId="63BDFC98">
            <w:pPr>
              <w:pStyle w:val="48"/>
              <w:spacing w:beforeLines="0" w:afterLines="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本项目符合国家和区域主体功能区规划、生态功能区划、生态环境保护规划的要求，针对生态保护和环境污染采取了有效的预防和保护措施。</w:t>
            </w:r>
          </w:p>
        </w:tc>
        <w:tc>
          <w:tcPr>
            <w:tcW w:w="138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0EFD587">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符合</w:t>
            </w:r>
          </w:p>
        </w:tc>
      </w:tr>
      <w:tr w14:paraId="55C01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F27C16C">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3</w:t>
            </w:r>
          </w:p>
        </w:tc>
        <w:tc>
          <w:tcPr>
            <w:tcW w:w="377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61EC918">
            <w:pPr>
              <w:pStyle w:val="48"/>
              <w:spacing w:beforeLines="0" w:afterLines="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4.3 坚持“预防为主、防治结合、过程控制”的原则，将矿山生态环境保护与恢复治理贯穿矿产资源开采的全过程。根据矿山生态环境保护与恢复治理的重点任务，合理确定矿山生态保护与恢复治理分区，优化矿区生产与生活空间格局。采用新技术、新方法、新工艺提高矿山生态环境保护和恢复治理水平。</w:t>
            </w:r>
          </w:p>
        </w:tc>
        <w:tc>
          <w:tcPr>
            <w:tcW w:w="3445" w:type="dxa"/>
            <w:tcBorders>
              <w:top w:val="single" w:color="auto" w:sz="4" w:space="0"/>
              <w:left w:val="single" w:color="auto" w:sz="4" w:space="0"/>
              <w:bottom w:val="single" w:color="auto" w:sz="4" w:space="0"/>
              <w:right w:val="single" w:color="auto" w:sz="4" w:space="0"/>
              <w:tl2br w:val="nil"/>
              <w:tr2bl w:val="nil"/>
            </w:tcBorders>
            <w:noWrap w:val="0"/>
            <w:vAlign w:val="top"/>
          </w:tcPr>
          <w:p w14:paraId="062F23D0">
            <w:pPr>
              <w:pStyle w:val="48"/>
              <w:spacing w:beforeLines="0" w:afterLines="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本项目已编制《</w:t>
            </w:r>
            <w:r>
              <w:rPr>
                <w:rFonts w:hint="default" w:ascii="Times New Roman" w:hAnsi="Times New Roman" w:cs="Times New Roman"/>
                <w:color w:val="auto"/>
                <w:kern w:val="2"/>
                <w:sz w:val="24"/>
                <w:szCs w:val="22"/>
                <w:highlight w:val="none"/>
                <w:lang w:val="en-US" w:eastAsia="zh-CN" w:bidi="ar-SA"/>
              </w:rPr>
              <w:t>新疆采虹矿业投资有限公司新疆阜康市北部沙漠天然石英砂矿（压裂用）外围</w:t>
            </w:r>
            <w:r>
              <w:rPr>
                <w:rFonts w:hint="default" w:ascii="Times New Roman" w:hAnsi="Times New Roman" w:cs="Times New Roman"/>
                <w:color w:val="auto"/>
                <w:sz w:val="24"/>
                <w:szCs w:val="24"/>
                <w:highlight w:val="none"/>
              </w:rPr>
              <w:t>矿产资源开发利用与生态保护修复方案》，并取得了评审意见书，方案中明确了矿山生态保护与恢复治理分区；项目采用的治理方法、工艺能够提高矿山保护和恢复治理水平。</w:t>
            </w:r>
          </w:p>
        </w:tc>
        <w:tc>
          <w:tcPr>
            <w:tcW w:w="138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13C8DAB">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符合</w:t>
            </w:r>
          </w:p>
        </w:tc>
      </w:tr>
      <w:tr w14:paraId="70083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4EF0F1B">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4</w:t>
            </w:r>
          </w:p>
        </w:tc>
        <w:tc>
          <w:tcPr>
            <w:tcW w:w="377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15229DC">
            <w:pPr>
              <w:pStyle w:val="48"/>
              <w:spacing w:beforeLines="0" w:afterLines="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4.4所有矿山企业均应对照本标准各项要求，编制实施矿山生态环境保护与恢复治理方案。</w:t>
            </w:r>
          </w:p>
        </w:tc>
        <w:tc>
          <w:tcPr>
            <w:tcW w:w="3445" w:type="dxa"/>
            <w:tcBorders>
              <w:top w:val="single" w:color="auto" w:sz="4" w:space="0"/>
              <w:left w:val="single" w:color="auto" w:sz="4" w:space="0"/>
              <w:bottom w:val="single" w:color="auto" w:sz="4" w:space="0"/>
              <w:right w:val="single" w:color="auto" w:sz="4" w:space="0"/>
              <w:tl2br w:val="nil"/>
              <w:tr2bl w:val="nil"/>
            </w:tcBorders>
            <w:noWrap w:val="0"/>
            <w:vAlign w:val="top"/>
          </w:tcPr>
          <w:p w14:paraId="4A2DE11A">
            <w:pPr>
              <w:pStyle w:val="48"/>
              <w:spacing w:beforeLines="0" w:afterLines="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本项目矿山已编制完成《</w:t>
            </w:r>
            <w:r>
              <w:rPr>
                <w:rFonts w:hint="default" w:ascii="Times New Roman" w:hAnsi="Times New Roman" w:cs="Times New Roman"/>
                <w:color w:val="auto"/>
                <w:kern w:val="2"/>
                <w:sz w:val="24"/>
                <w:szCs w:val="22"/>
                <w:highlight w:val="none"/>
                <w:lang w:val="en-US" w:eastAsia="zh-CN" w:bidi="ar-SA"/>
              </w:rPr>
              <w:t>新疆采虹矿业投资有限公司新疆阜康市北部沙漠天然石英砂矿（压裂用）外围</w:t>
            </w:r>
            <w:r>
              <w:rPr>
                <w:rFonts w:hint="default" w:ascii="Times New Roman" w:hAnsi="Times New Roman" w:cs="Times New Roman"/>
                <w:color w:val="auto"/>
                <w:sz w:val="24"/>
                <w:szCs w:val="24"/>
                <w:highlight w:val="none"/>
              </w:rPr>
              <w:t>矿产资源开发利用与生态保护修复方案》，并取得了评审意见书，后期将严格落实该方案。</w:t>
            </w:r>
          </w:p>
        </w:tc>
        <w:tc>
          <w:tcPr>
            <w:tcW w:w="138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87B20DA">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符合</w:t>
            </w:r>
          </w:p>
        </w:tc>
      </w:tr>
      <w:tr w14:paraId="34793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5D645A1">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5</w:t>
            </w:r>
          </w:p>
        </w:tc>
        <w:tc>
          <w:tcPr>
            <w:tcW w:w="377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0FC3FE9">
            <w:pPr>
              <w:pStyle w:val="48"/>
              <w:spacing w:beforeLines="0" w:afterLines="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4.5恢复治理后的各类场地应实现:安全稳定，对人类和动植物不造成威胁;对周边环境不产生污染;与周边自然环境和景观相协调:恢复土地基本功能，因地制宜实现土地可持续利用;区域整体生态功能得到保护和恢复。</w:t>
            </w:r>
          </w:p>
        </w:tc>
        <w:tc>
          <w:tcPr>
            <w:tcW w:w="3445" w:type="dxa"/>
            <w:tcBorders>
              <w:top w:val="single" w:color="auto" w:sz="4" w:space="0"/>
              <w:left w:val="single" w:color="auto" w:sz="4" w:space="0"/>
              <w:bottom w:val="single" w:color="auto" w:sz="4" w:space="0"/>
              <w:right w:val="single" w:color="auto" w:sz="4" w:space="0"/>
              <w:tl2br w:val="nil"/>
              <w:tr2bl w:val="nil"/>
            </w:tcBorders>
            <w:noWrap w:val="0"/>
            <w:vAlign w:val="top"/>
          </w:tcPr>
          <w:p w14:paraId="0A3FCC17">
            <w:pPr>
              <w:pStyle w:val="48"/>
              <w:spacing w:beforeLines="0" w:afterLines="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通过落实本项目《矿产资源开发利用与生态保护修复方案》，可实现各场地安全稳定；对人类和动植物不造成威胁；对周边环境不产生污染；与周边自然环境和景观相协调；可恢复土地基本功能；整体生态功能可得到保护和恢复。</w:t>
            </w:r>
          </w:p>
        </w:tc>
        <w:tc>
          <w:tcPr>
            <w:tcW w:w="138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F5E28E6">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符合</w:t>
            </w:r>
          </w:p>
        </w:tc>
      </w:tr>
    </w:tbl>
    <w:p w14:paraId="6A289DD2">
      <w:pPr>
        <w:pStyle w:val="4"/>
        <w:bidi w:val="0"/>
        <w:rPr>
          <w:rFonts w:hint="default"/>
        </w:rPr>
      </w:pPr>
      <w:bookmarkStart w:id="42" w:name="1.4.3.16与《中华人民共和国矿产资源法》符合性分析"/>
      <w:bookmarkEnd w:id="42"/>
      <w:bookmarkStart w:id="43" w:name="1.4.4选址合理性分析"/>
      <w:bookmarkEnd w:id="43"/>
      <w:r>
        <w:rPr>
          <w:rFonts w:hint="default"/>
        </w:rPr>
        <w:t>选址合理性分析</w:t>
      </w:r>
    </w:p>
    <w:p w14:paraId="3D911039">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w:t>
      </w:r>
      <w:r>
        <w:rPr>
          <w:rFonts w:hint="default" w:ascii="Times New Roman" w:hAnsi="Times New Roman" w:cs="Times New Roman"/>
          <w:color w:val="auto"/>
          <w:sz w:val="24"/>
          <w:szCs w:val="24"/>
          <w:highlight w:val="none"/>
          <w:lang w:val="en-US" w:eastAsia="zh-CN"/>
        </w:rPr>
        <w:t>工业广场</w:t>
      </w:r>
      <w:r>
        <w:rPr>
          <w:rFonts w:hint="default" w:ascii="Times New Roman" w:hAnsi="Times New Roman" w:cs="Times New Roman"/>
          <w:color w:val="auto"/>
          <w:sz w:val="24"/>
          <w:szCs w:val="24"/>
          <w:highlight w:val="none"/>
        </w:rPr>
        <w:t>选址合理性分析</w:t>
      </w:r>
    </w:p>
    <w:p w14:paraId="5EDC8084">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w:t>
      </w:r>
      <w:r>
        <w:rPr>
          <w:rFonts w:hint="default" w:ascii="Times New Roman" w:hAnsi="Times New Roman" w:cs="Times New Roman"/>
          <w:color w:val="auto"/>
          <w:sz w:val="24"/>
          <w:szCs w:val="24"/>
          <w:highlight w:val="none"/>
          <w:lang w:val="en-US" w:eastAsia="zh-CN"/>
        </w:rPr>
        <w:t>工业广场</w:t>
      </w:r>
      <w:r>
        <w:rPr>
          <w:rFonts w:hint="default" w:ascii="Times New Roman" w:hAnsi="Times New Roman" w:cs="Times New Roman"/>
          <w:color w:val="auto"/>
          <w:sz w:val="24"/>
          <w:szCs w:val="24"/>
          <w:highlight w:val="none"/>
        </w:rPr>
        <w:t>布置在矿区</w:t>
      </w:r>
      <w:r>
        <w:rPr>
          <w:rFonts w:hint="default" w:ascii="Times New Roman" w:hAnsi="Times New Roman" w:cs="Times New Roman"/>
          <w:color w:val="auto"/>
          <w:sz w:val="24"/>
          <w:szCs w:val="24"/>
          <w:highlight w:val="none"/>
          <w:lang w:val="en-US" w:eastAsia="zh-CN"/>
        </w:rPr>
        <w:t>西南侧</w:t>
      </w:r>
      <w:r>
        <w:rPr>
          <w:rFonts w:hint="default" w:ascii="Times New Roman" w:hAnsi="Times New Roman" w:cs="Times New Roman"/>
          <w:color w:val="auto"/>
          <w:sz w:val="24"/>
          <w:szCs w:val="24"/>
          <w:highlight w:val="none"/>
        </w:rPr>
        <w:t>，占地面积</w:t>
      </w:r>
      <w:r>
        <w:rPr>
          <w:rFonts w:hint="default"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hm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占地性质为天然牧草地，不涉及基本草原；占地区域地势平坦，建设条件良好，不占用基本农田，不在自然保护区、世界自然遗产地、风景名胜区、森林公园、地质公园、重要湿地、饮用水水源保护区等重点保护区域内及其它法律法规禁止的区域，选址基本合理。</w:t>
      </w:r>
    </w:p>
    <w:p w14:paraId="78229BC3">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（2）办公生活区选址合理性分析</w:t>
      </w:r>
    </w:p>
    <w:p w14:paraId="61FDD631">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办公生活区布置在</w:t>
      </w:r>
      <w:r>
        <w:rPr>
          <w:rFonts w:hint="default" w:ascii="Times New Roman" w:hAnsi="Times New Roman" w:cs="Times New Roman"/>
          <w:color w:val="auto"/>
          <w:sz w:val="24"/>
          <w:szCs w:val="24"/>
          <w:highlight w:val="none"/>
          <w:lang w:val="en-US" w:eastAsia="zh-CN"/>
        </w:rPr>
        <w:t>矿区</w:t>
      </w:r>
      <w:r>
        <w:rPr>
          <w:rFonts w:hint="default" w:ascii="Times New Roman" w:hAnsi="Times New Roman" w:cs="Times New Roman"/>
          <w:color w:val="auto"/>
          <w:sz w:val="24"/>
          <w:szCs w:val="24"/>
          <w:highlight w:val="none"/>
        </w:rPr>
        <w:t>东部</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周边地势较为平坦，占地性质为天然牧草地；同时位于</w:t>
      </w:r>
      <w:r>
        <w:rPr>
          <w:rFonts w:hint="default" w:ascii="Times New Roman" w:hAnsi="Times New Roman" w:cs="Times New Roman"/>
          <w:color w:val="auto"/>
          <w:sz w:val="24"/>
          <w:szCs w:val="24"/>
          <w:highlight w:val="none"/>
          <w:lang w:val="en-US" w:eastAsia="zh-CN"/>
        </w:rPr>
        <w:t>工业广场的</w:t>
      </w:r>
      <w:r>
        <w:rPr>
          <w:rFonts w:hint="default" w:ascii="Times New Roman" w:hAnsi="Times New Roman" w:cs="Times New Roman"/>
          <w:color w:val="auto"/>
          <w:sz w:val="24"/>
          <w:szCs w:val="24"/>
          <w:highlight w:val="none"/>
        </w:rPr>
        <w:t>侧风向，建设条件良好，该办公生活区选址基本合理。</w:t>
      </w:r>
    </w:p>
    <w:p w14:paraId="0DB5CE76">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（3）堆场选址合理性分析</w:t>
      </w:r>
    </w:p>
    <w:p w14:paraId="2D8E353E">
      <w:pPr>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rPr>
        <w:t>本项目</w:t>
      </w:r>
      <w:r>
        <w:rPr>
          <w:rFonts w:hint="default" w:ascii="Times New Roman" w:hAnsi="Times New Roman" w:cs="Times New Roman"/>
          <w:color w:val="auto"/>
          <w:sz w:val="24"/>
          <w:szCs w:val="24"/>
          <w:highlight w:val="none"/>
          <w:lang w:val="en-US" w:eastAsia="zh-CN"/>
        </w:rPr>
        <w:t>生产</w:t>
      </w:r>
      <w:r>
        <w:rPr>
          <w:rFonts w:hint="default" w:ascii="Times New Roman" w:hAnsi="Times New Roman" w:cs="Times New Roman"/>
          <w:color w:val="auto"/>
          <w:sz w:val="24"/>
          <w:szCs w:val="24"/>
          <w:highlight w:val="none"/>
        </w:rPr>
        <w:t>规模为</w:t>
      </w:r>
      <w:r>
        <w:rPr>
          <w:rFonts w:hint="default" w:ascii="Times New Roman" w:hAnsi="Times New Roman" w:cs="Times New Roman"/>
          <w:color w:val="auto"/>
          <w:sz w:val="24"/>
          <w:szCs w:val="24"/>
          <w:highlight w:val="none"/>
          <w:lang w:val="en-US" w:eastAsia="zh-CN"/>
        </w:rPr>
        <w:t>80</w:t>
      </w:r>
      <w:r>
        <w:rPr>
          <w:rFonts w:hint="default" w:ascii="Times New Roman" w:hAnsi="Times New Roman" w:cs="Times New Roman"/>
          <w:color w:val="auto"/>
          <w:sz w:val="24"/>
          <w:szCs w:val="24"/>
          <w:highlight w:val="none"/>
        </w:rPr>
        <w:t>万t/a，</w:t>
      </w:r>
      <w:r>
        <w:rPr>
          <w:rFonts w:hint="default" w:ascii="Times New Roman" w:hAnsi="Times New Roman" w:cs="Times New Roman"/>
          <w:color w:val="auto"/>
          <w:sz w:val="24"/>
          <w:szCs w:val="24"/>
          <w:highlight w:val="none"/>
          <w:lang w:val="en-US" w:eastAsia="zh-CN"/>
        </w:rPr>
        <w:t>依据筛分实验，本矿山矿石占比共计42.5%，70</w:t>
      </w:r>
      <w:r>
        <w:rPr>
          <w:rFonts w:hint="default" w:ascii="Times New Roman" w:hAnsi="Times New Roman" w:cs="Times New Roman"/>
          <w:color w:val="auto"/>
          <w:sz w:val="24"/>
          <w:szCs w:val="24"/>
          <w:highlight w:val="none"/>
        </w:rPr>
        <w:t>目</w:t>
      </w:r>
      <w:r>
        <w:rPr>
          <w:rFonts w:hint="default" w:ascii="Times New Roman" w:hAnsi="Times New Roman" w:cs="Times New Roman"/>
          <w:color w:val="auto"/>
          <w:sz w:val="24"/>
          <w:szCs w:val="24"/>
          <w:highlight w:val="none"/>
          <w:lang w:val="en-US" w:eastAsia="zh-CN"/>
        </w:rPr>
        <w:t>以上的废料占比44.41%，废土量13.09%，故共产生废料废土合计46万t/a</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本项目在开采初期，不具备</w:t>
      </w:r>
      <w:r>
        <w:rPr>
          <w:rFonts w:hint="default" w:ascii="Times New Roman" w:hAnsi="Times New Roman" w:cs="Times New Roman"/>
          <w:color w:val="auto"/>
          <w:sz w:val="24"/>
          <w:szCs w:val="24"/>
          <w:highlight w:val="none"/>
        </w:rPr>
        <w:t>内排条件，</w:t>
      </w:r>
      <w:r>
        <w:rPr>
          <w:rFonts w:hint="default" w:ascii="Times New Roman" w:hAnsi="Times New Roman" w:cs="Times New Roman"/>
          <w:color w:val="auto"/>
          <w:sz w:val="24"/>
          <w:szCs w:val="24"/>
          <w:highlight w:val="none"/>
          <w:lang w:val="en-US" w:eastAsia="zh-CN"/>
        </w:rPr>
        <w:t>由于筛分的废土和</w:t>
      </w:r>
      <w:r>
        <w:rPr>
          <w:rFonts w:hint="default" w:ascii="Times New Roman" w:hAnsi="Times New Roman" w:eastAsia="宋体" w:cs="Times New Roman"/>
          <w:color w:val="auto"/>
          <w:sz w:val="24"/>
          <w:szCs w:val="24"/>
          <w:highlight w:val="none"/>
          <w:lang w:val="en-US" w:eastAsia="zh-CN"/>
        </w:rPr>
        <w:t>废料量较大，结合开发剖面，矿体开采至595台阶时，可实现废土和废料内排，矿体开采至595台阶时筛分废土量为8.26万m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vertAlign w:val="baseline"/>
          <w:lang w:val="en-US" w:eastAsia="zh-CN"/>
        </w:rPr>
        <w:t>，</w:t>
      </w:r>
      <w:r>
        <w:rPr>
          <w:rFonts w:hint="default" w:ascii="Times New Roman" w:hAnsi="Times New Roman" w:eastAsia="宋体" w:cs="Times New Roman"/>
          <w:color w:val="auto"/>
          <w:sz w:val="24"/>
          <w:szCs w:val="24"/>
          <w:highlight w:val="none"/>
          <w:lang w:val="en-US" w:eastAsia="zh-CN"/>
        </w:rPr>
        <w:t>筛分废料量为</w:t>
      </w:r>
      <w:r>
        <w:rPr>
          <w:rFonts w:hint="default" w:ascii="Times New Roman" w:hAnsi="Times New Roman" w:cs="Times New Roman"/>
          <w:color w:val="auto"/>
          <w:sz w:val="24"/>
          <w:highlight w:val="none"/>
          <w:lang w:val="en-US" w:eastAsia="zh-CN"/>
        </w:rPr>
        <w:t>31.52</w:t>
      </w:r>
      <w:r>
        <w:rPr>
          <w:rFonts w:hint="default" w:ascii="Times New Roman" w:hAnsi="Times New Roman" w:eastAsia="宋体" w:cs="Times New Roman"/>
          <w:color w:val="auto"/>
          <w:sz w:val="24"/>
          <w:szCs w:val="24"/>
          <w:highlight w:val="none"/>
          <w:lang w:val="en-US" w:eastAsia="zh-CN"/>
        </w:rPr>
        <w:t>万m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vertAlign w:val="baseline"/>
          <w:lang w:val="en-US" w:eastAsia="zh-CN"/>
        </w:rPr>
        <w:t>，合计</w:t>
      </w:r>
      <w:r>
        <w:rPr>
          <w:rFonts w:hint="default" w:ascii="Times New Roman" w:hAnsi="Times New Roman" w:cs="Times New Roman"/>
          <w:color w:val="auto"/>
          <w:sz w:val="24"/>
          <w:highlight w:val="none"/>
          <w:lang w:val="en-US" w:eastAsia="zh-CN"/>
        </w:rPr>
        <w:t>39.78</w:t>
      </w:r>
      <w:r>
        <w:rPr>
          <w:rFonts w:hint="default" w:ascii="Times New Roman" w:hAnsi="Times New Roman" w:eastAsia="宋体" w:cs="Times New Roman"/>
          <w:color w:val="auto"/>
          <w:sz w:val="24"/>
          <w:szCs w:val="24"/>
          <w:highlight w:val="none"/>
          <w:lang w:val="en-US" w:eastAsia="zh-CN"/>
        </w:rPr>
        <w:t>万m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rPr>
        <w:t>本项目集中设置1个</w:t>
      </w:r>
      <w:r>
        <w:rPr>
          <w:rFonts w:hint="default" w:ascii="Times New Roman" w:hAnsi="Times New Roman" w:cs="Times New Roman"/>
          <w:color w:val="auto"/>
          <w:sz w:val="24"/>
          <w:szCs w:val="24"/>
          <w:highlight w:val="none"/>
          <w:lang w:val="en-US" w:eastAsia="zh-CN"/>
        </w:rPr>
        <w:t>排土场</w:t>
      </w:r>
      <w:r>
        <w:rPr>
          <w:rFonts w:hint="default" w:ascii="Times New Roman" w:hAnsi="Times New Roman" w:cs="Times New Roman"/>
          <w:color w:val="auto"/>
          <w:sz w:val="24"/>
          <w:szCs w:val="24"/>
          <w:highlight w:val="none"/>
        </w:rPr>
        <w:t>废料堆场，</w:t>
      </w:r>
      <w:r>
        <w:rPr>
          <w:rFonts w:hint="default" w:ascii="Times New Roman" w:hAnsi="Times New Roman" w:cs="Times New Roman"/>
          <w:color w:val="auto"/>
          <w:sz w:val="24"/>
          <w:szCs w:val="24"/>
          <w:highlight w:val="none"/>
          <w:lang w:val="en-US" w:eastAsia="zh-CN"/>
        </w:rPr>
        <w:t>主要堆放工业广场筛分产生的废料及弃土，排土场设置在矿区的东南侧，</w:t>
      </w:r>
      <w:r>
        <w:rPr>
          <w:rFonts w:hint="default" w:ascii="Times New Roman" w:hAnsi="Times New Roman" w:cs="Times New Roman"/>
          <w:color w:val="auto"/>
          <w:sz w:val="24"/>
          <w:szCs w:val="24"/>
          <w:highlight w:val="none"/>
        </w:rPr>
        <w:t>占地为天然牧草地</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占地面积4.58hm</w:t>
      </w:r>
      <w:r>
        <w:rPr>
          <w:rFonts w:hint="default" w:ascii="Times New Roman" w:hAnsi="Times New Roman" w:cs="Times New Roman"/>
          <w:color w:val="auto"/>
          <w:sz w:val="24"/>
          <w:szCs w:val="24"/>
          <w:highlight w:val="none"/>
          <w:vertAlign w:val="superscript"/>
          <w:lang w:val="en-US" w:eastAsia="zh-CN"/>
        </w:rPr>
        <w:t>2</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最大堆置高度</w:t>
      </w:r>
      <w:r>
        <w:rPr>
          <w:rFonts w:hint="default" w:ascii="Times New Roman" w:hAnsi="Times New Roman" w:cs="Times New Roman"/>
          <w:color w:val="auto"/>
          <w:sz w:val="24"/>
          <w:szCs w:val="24"/>
          <w:highlight w:val="none"/>
          <w:lang w:val="en-US" w:eastAsia="zh-CN"/>
        </w:rPr>
        <w:t>10</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lang w:val="en-US" w:eastAsia="zh-CN"/>
        </w:rPr>
        <w:t>表土采用分层排放，层高5米，边坡角不大于30°，排土场容积约40.63万m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，排土场可满足矿山筛分废土堆放需求。堆放过程中严禁超过设计最大高度堆放，保证人员安全。</w:t>
      </w:r>
      <w:r>
        <w:rPr>
          <w:rFonts w:hint="default" w:ascii="Times New Roman" w:hAnsi="Times New Roman" w:cs="Times New Roman"/>
          <w:color w:val="auto"/>
          <w:kern w:val="144"/>
          <w:sz w:val="24"/>
          <w:szCs w:val="24"/>
          <w:highlight w:val="none"/>
        </w:rPr>
        <w:t>经计算，</w:t>
      </w:r>
      <w:r>
        <w:rPr>
          <w:rFonts w:hint="default" w:ascii="Times New Roman" w:hAnsi="Times New Roman" w:cs="Times New Roman"/>
          <w:color w:val="auto"/>
          <w:sz w:val="24"/>
          <w:szCs w:val="24"/>
          <w:highlight w:val="none"/>
          <w:lang w:eastAsia="zh-CN"/>
        </w:rPr>
        <w:t>排土场</w:t>
      </w:r>
      <w:r>
        <w:rPr>
          <w:rFonts w:hint="default" w:ascii="Times New Roman" w:hAnsi="Times New Roman" w:cs="Times New Roman"/>
          <w:color w:val="auto"/>
          <w:sz w:val="24"/>
          <w:szCs w:val="24"/>
          <w:highlight w:val="none"/>
        </w:rPr>
        <w:t>满足废石</w:t>
      </w:r>
      <w:r>
        <w:rPr>
          <w:rFonts w:hint="default" w:ascii="Times New Roman" w:hAnsi="Times New Roman" w:cs="Times New Roman"/>
          <w:color w:val="auto"/>
          <w:sz w:val="24"/>
          <w:szCs w:val="24"/>
          <w:highlight w:val="none"/>
          <w:lang w:val="en-US" w:eastAsia="zh-CN"/>
        </w:rPr>
        <w:t>及表土</w:t>
      </w:r>
      <w:r>
        <w:rPr>
          <w:rFonts w:hint="default" w:ascii="Times New Roman" w:hAnsi="Times New Roman" w:cs="Times New Roman"/>
          <w:color w:val="auto"/>
          <w:sz w:val="24"/>
          <w:szCs w:val="24"/>
          <w:highlight w:val="none"/>
        </w:rPr>
        <w:t>堆放需求。</w:t>
      </w:r>
      <w:r>
        <w:rPr>
          <w:rFonts w:hint="default" w:ascii="Times New Roman" w:hAnsi="Times New Roman" w:cs="Times New Roman"/>
          <w:color w:val="auto"/>
          <w:sz w:val="24"/>
          <w:szCs w:val="24"/>
          <w:highlight w:val="none"/>
          <w:lang w:val="en-US" w:eastAsia="zh-CN"/>
        </w:rPr>
        <w:t>排土场处地类天然牧草地。</w:t>
      </w:r>
    </w:p>
    <w:p w14:paraId="31B5AA73">
      <w:pPr>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选址合理性如下：</w:t>
      </w:r>
    </w:p>
    <w:p w14:paraId="3321BFBE">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①废料堆场、表土堆场距采场距离近，运输距离适中，运输成本较低，投资相对也较少，从运距上满足要求。</w:t>
      </w:r>
    </w:p>
    <w:p w14:paraId="74718561">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②从大气环境及噪声影响预测结果表明，堆场对周边环境的影响均在国家相关标准限值范围内，且影响程度轻微。</w:t>
      </w:r>
    </w:p>
    <w:p w14:paraId="797F7F4B">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③堆场占地范围内无国家及地方保护野生动植物，项目区西侧</w:t>
      </w:r>
      <w:r>
        <w:rPr>
          <w:rFonts w:hint="default" w:ascii="Times New Roman" w:hAnsi="Times New Roman" w:cs="Times New Roman"/>
          <w:color w:val="auto"/>
          <w:sz w:val="24"/>
          <w:szCs w:val="24"/>
          <w:highlight w:val="none"/>
          <w:lang w:val="en-US" w:eastAsia="zh-CN"/>
        </w:rPr>
        <w:t>900m处为</w:t>
      </w:r>
      <w:r>
        <w:rPr>
          <w:rFonts w:hint="default" w:ascii="Times New Roman" w:hAnsi="Times New Roman" w:cs="Times New Roman"/>
          <w:color w:val="auto"/>
          <w:sz w:val="24"/>
          <w:szCs w:val="24"/>
          <w:highlight w:val="none"/>
        </w:rPr>
        <w:t>新疆阜康市彩南国家沙化土地封禁保护区，本项目已采取避让措施，周边无其它环境敏感目标。</w:t>
      </w:r>
    </w:p>
    <w:p w14:paraId="54F9C23F">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④本项目堆场处于塌陷区、泥石流等潜在不良地质环境之外，且不存在压矿问题。</w:t>
      </w:r>
    </w:p>
    <w:p w14:paraId="32070E0F">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⑤矿区内无地表水系和地下水露头，仅在夏季暴雨季节时会在地形低洼处形成暂时性积水。堆场外</w:t>
      </w:r>
      <w:r>
        <w:rPr>
          <w:rFonts w:hint="default" w:ascii="Times New Roman" w:hAnsi="Times New Roman" w:cs="Times New Roman"/>
          <w:color w:val="auto"/>
          <w:sz w:val="24"/>
          <w:szCs w:val="24"/>
          <w:highlight w:val="none"/>
          <w:lang w:val="en-US" w:eastAsia="zh-CN"/>
        </w:rPr>
        <w:t>围</w:t>
      </w:r>
      <w:r>
        <w:rPr>
          <w:rFonts w:hint="default" w:ascii="Times New Roman" w:hAnsi="Times New Roman" w:cs="Times New Roman"/>
          <w:color w:val="auto"/>
          <w:sz w:val="24"/>
          <w:szCs w:val="24"/>
          <w:highlight w:val="none"/>
        </w:rPr>
        <w:t>设置截水沟，防止地表径流汇入场内浸泡、冲刷边坡。</w:t>
      </w:r>
    </w:p>
    <w:p w14:paraId="4F1FF9C7">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⑥堆场边界距办公生活区</w:t>
      </w:r>
      <w:r>
        <w:rPr>
          <w:rFonts w:hint="default" w:ascii="Times New Roman" w:hAnsi="Times New Roman" w:cs="Times New Roman"/>
          <w:color w:val="auto"/>
          <w:sz w:val="24"/>
          <w:szCs w:val="24"/>
          <w:highlight w:val="none"/>
          <w:lang w:val="en-US" w:eastAsia="zh-CN"/>
        </w:rPr>
        <w:t>200</w:t>
      </w:r>
      <w:r>
        <w:rPr>
          <w:rFonts w:hint="default" w:ascii="Times New Roman" w:hAnsi="Times New Roman" w:cs="Times New Roman"/>
          <w:color w:val="auto"/>
          <w:sz w:val="24"/>
          <w:szCs w:val="24"/>
          <w:highlight w:val="none"/>
        </w:rPr>
        <w:t>m，位于</w:t>
      </w:r>
      <w:r>
        <w:rPr>
          <w:rFonts w:hint="default" w:ascii="Times New Roman" w:hAnsi="Times New Roman" w:cs="Times New Roman"/>
          <w:color w:val="auto"/>
          <w:sz w:val="24"/>
          <w:szCs w:val="24"/>
          <w:highlight w:val="none"/>
          <w:lang w:val="en-US" w:eastAsia="zh-CN"/>
        </w:rPr>
        <w:t>工业广场的</w:t>
      </w:r>
      <w:r>
        <w:rPr>
          <w:rFonts w:hint="default" w:ascii="Times New Roman" w:hAnsi="Times New Roman" w:cs="Times New Roman"/>
          <w:color w:val="auto"/>
          <w:sz w:val="24"/>
          <w:szCs w:val="24"/>
          <w:highlight w:val="none"/>
        </w:rPr>
        <w:t>侧风向，总体上堆场对办公生活区的影响较小。</w:t>
      </w:r>
    </w:p>
    <w:p w14:paraId="4014A930">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综上所述，</w:t>
      </w:r>
      <w:r>
        <w:rPr>
          <w:rFonts w:hint="default" w:ascii="Times New Roman" w:hAnsi="Times New Roman" w:cs="Times New Roman"/>
          <w:color w:val="auto"/>
          <w:sz w:val="24"/>
          <w:szCs w:val="24"/>
          <w:highlight w:val="none"/>
          <w:lang w:val="en-US" w:eastAsia="zh-CN"/>
        </w:rPr>
        <w:t>本项目生活区、工业广场、排土场及表土堆场</w:t>
      </w:r>
      <w:r>
        <w:rPr>
          <w:rFonts w:hint="default" w:ascii="Times New Roman" w:hAnsi="Times New Roman" w:cs="Times New Roman"/>
          <w:color w:val="auto"/>
          <w:sz w:val="24"/>
          <w:szCs w:val="24"/>
          <w:highlight w:val="none"/>
        </w:rPr>
        <w:t>选址是合理的。</w:t>
      </w:r>
    </w:p>
    <w:p w14:paraId="4C040AD4">
      <w:pPr>
        <w:pStyle w:val="4"/>
        <w:bidi w:val="0"/>
        <w:rPr>
          <w:rFonts w:hint="default"/>
        </w:rPr>
      </w:pPr>
      <w:bookmarkStart w:id="44" w:name="1.4.5区域敏感性分析"/>
      <w:bookmarkEnd w:id="44"/>
      <w:r>
        <w:rPr>
          <w:rFonts w:hint="default"/>
        </w:rPr>
        <w:t>区域敏感性分析</w:t>
      </w:r>
    </w:p>
    <w:p w14:paraId="2D85155F">
      <w:pPr>
        <w:spacing w:beforeLines="0" w:afterLines="0"/>
        <w:rPr>
          <w:rFonts w:hint="default" w:ascii="Times New Roman" w:hAnsi="Times New Roman" w:cs="Times New Roman"/>
          <w:color w:val="auto"/>
          <w:spacing w:val="-5"/>
          <w:sz w:val="24"/>
          <w:szCs w:val="24"/>
          <w:highlight w:val="none"/>
        </w:rPr>
      </w:pPr>
      <w:r>
        <w:rPr>
          <w:rFonts w:hint="default" w:ascii="Times New Roman" w:hAnsi="Times New Roman" w:cs="Times New Roman"/>
          <w:color w:val="auto"/>
          <w:sz w:val="24"/>
          <w:szCs w:val="24"/>
          <w:highlight w:val="none"/>
        </w:rPr>
        <w:t>本项目位于阜康市</w:t>
      </w:r>
      <w:r>
        <w:rPr>
          <w:rFonts w:hint="default" w:ascii="Times New Roman" w:hAnsi="Times New Roman" w:cs="Times New Roman"/>
          <w:color w:val="auto"/>
          <w:sz w:val="24"/>
          <w:szCs w:val="24"/>
          <w:highlight w:val="none"/>
          <w:lang w:val="en-US" w:eastAsia="zh-CN"/>
        </w:rPr>
        <w:t>20</w:t>
      </w:r>
      <w:r>
        <w:rPr>
          <w:rFonts w:hint="default" w:ascii="Times New Roman" w:hAnsi="Times New Roman" w:cs="Times New Roman"/>
          <w:color w:val="auto"/>
          <w:sz w:val="24"/>
          <w:szCs w:val="24"/>
          <w:highlight w:val="none"/>
        </w:rPr>
        <w:t>°方位，直线距离</w:t>
      </w:r>
      <w:r>
        <w:rPr>
          <w:rFonts w:hint="default" w:ascii="Times New Roman" w:hAnsi="Times New Roman" w:cs="Times New Roman"/>
          <w:color w:val="auto"/>
          <w:sz w:val="24"/>
          <w:szCs w:val="24"/>
          <w:highlight w:val="none"/>
          <w:lang w:val="en-US" w:eastAsia="zh-CN"/>
        </w:rPr>
        <w:t>6</w:t>
      </w:r>
      <w:r>
        <w:rPr>
          <w:rFonts w:hint="default" w:ascii="Times New Roman" w:hAnsi="Times New Roman" w:cs="Times New Roman"/>
          <w:color w:val="auto"/>
          <w:sz w:val="24"/>
          <w:szCs w:val="24"/>
          <w:highlight w:val="none"/>
        </w:rPr>
        <w:t>0km处，项目西侧邻新疆阜康市彩南国家沙化土地封禁保护区，本项目已采取了避让措施，矿区全部划定在保护区外，不占用该保护区范围，距离该保护区边界最近距离</w:t>
      </w:r>
      <w:r>
        <w:rPr>
          <w:rFonts w:hint="default" w:ascii="Times New Roman" w:hAnsi="Times New Roman" w:cs="Times New Roman"/>
          <w:color w:val="auto"/>
          <w:sz w:val="24"/>
          <w:szCs w:val="24"/>
          <w:highlight w:val="none"/>
          <w:lang w:val="en-US" w:eastAsia="zh-CN"/>
        </w:rPr>
        <w:t>900</w:t>
      </w:r>
      <w:r>
        <w:rPr>
          <w:rFonts w:hint="default" w:ascii="Times New Roman" w:hAnsi="Times New Roman" w:cs="Times New Roman"/>
          <w:color w:val="auto"/>
          <w:sz w:val="24"/>
          <w:szCs w:val="24"/>
          <w:highlight w:val="none"/>
        </w:rPr>
        <w:t>m。矿区周边无居民区，矿区范围内无河流，无其它自然保护区、风景名胜区、国家地质公园、世界自然遗产地、森林公园、冰川、雪山和水源涵养区、饮用水水源保护区等敏感保护目标。矿区无重要的野生动植物分布，无珍稀、濒危野生植物分布。本项目大气污染、水污染、噪声污染对</w:t>
      </w:r>
      <w:r>
        <w:rPr>
          <w:rFonts w:hint="default" w:ascii="Times New Roman" w:hAnsi="Times New Roman" w:cs="Times New Roman"/>
          <w:color w:val="auto"/>
          <w:spacing w:val="-5"/>
          <w:sz w:val="24"/>
          <w:szCs w:val="24"/>
          <w:highlight w:val="none"/>
        </w:rPr>
        <w:t>周边环境影响较小。本项目符合《新疆维吾尔自治区重点行业环境准入条件（</w:t>
      </w:r>
      <w:r>
        <w:rPr>
          <w:rFonts w:hint="default" w:ascii="Times New Roman" w:hAnsi="Times New Roman" w:cs="Times New Roman"/>
          <w:color w:val="auto"/>
          <w:spacing w:val="-5"/>
          <w:sz w:val="24"/>
          <w:szCs w:val="24"/>
          <w:highlight w:val="none"/>
          <w:lang w:val="en-US" w:eastAsia="zh-CN"/>
        </w:rPr>
        <w:t>2024年本</w:t>
      </w:r>
      <w:r>
        <w:rPr>
          <w:rFonts w:hint="default" w:ascii="Times New Roman" w:hAnsi="Times New Roman" w:cs="Times New Roman"/>
          <w:color w:val="auto"/>
          <w:spacing w:val="-5"/>
          <w:sz w:val="24"/>
          <w:szCs w:val="24"/>
          <w:highlight w:val="none"/>
        </w:rPr>
        <w:t>）》</w:t>
      </w:r>
      <w:r>
        <w:rPr>
          <w:rFonts w:hint="default" w:ascii="Times New Roman" w:hAnsi="Times New Roman" w:cs="Times New Roman"/>
          <w:color w:val="auto"/>
          <w:spacing w:val="-5"/>
          <w:sz w:val="24"/>
          <w:szCs w:val="24"/>
          <w:highlight w:val="none"/>
          <w:lang w:val="en-US" w:eastAsia="zh-CN"/>
        </w:rPr>
        <w:t>等政策的</w:t>
      </w:r>
      <w:r>
        <w:rPr>
          <w:rFonts w:hint="default" w:ascii="Times New Roman" w:hAnsi="Times New Roman" w:cs="Times New Roman"/>
          <w:color w:val="auto"/>
          <w:spacing w:val="-5"/>
          <w:sz w:val="24"/>
          <w:szCs w:val="24"/>
          <w:highlight w:val="none"/>
        </w:rPr>
        <w:t>相关要求。</w:t>
      </w:r>
    </w:p>
    <w:p w14:paraId="55FF1D25">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根据《全国生态功能区划（修编版）》，项目所在区域属准噶尔盆地东部生物多样性保护与防风固沙重要区，该区主要生态环境问题为：区域以荒漠植被为主，生态环境非常脆弱，一旦遭到人为破坏就很难恢复。</w:t>
      </w:r>
    </w:p>
    <w:p w14:paraId="64832F8C">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新疆生态功能区划》，本项目位于古尔班通古特沙漠化敏感及植被保护生态功能区，区域生态环境问题为：人为干扰范围扩大、工程建设引起沙漠植被破坏、鼠害严重、植被退化、沙漠化构成对南缘绿洲的威胁。</w:t>
      </w:r>
    </w:p>
    <w:p w14:paraId="02BC734D">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本项目建设会对区域生态造成一定程度的影响。项目在生产活动中，采矿、装卸及运输过程中，会造</w:t>
      </w:r>
      <w:r>
        <w:rPr>
          <w:rFonts w:hint="default" w:ascii="Times New Roman" w:hAnsi="Times New Roman" w:cs="Times New Roman"/>
          <w:color w:val="auto"/>
          <w:sz w:val="24"/>
          <w:szCs w:val="24"/>
          <w:highlight w:val="none"/>
          <w:lang w:val="en-US" w:eastAsia="zh-CN"/>
        </w:rPr>
        <w:t>成</w:t>
      </w:r>
      <w:r>
        <w:rPr>
          <w:rFonts w:hint="default" w:ascii="Times New Roman" w:hAnsi="Times New Roman" w:cs="Times New Roman"/>
          <w:color w:val="auto"/>
          <w:sz w:val="24"/>
          <w:szCs w:val="24"/>
          <w:highlight w:val="none"/>
        </w:rPr>
        <w:t>粉尘污染、</w:t>
      </w:r>
      <w:r>
        <w:rPr>
          <w:rFonts w:hint="default" w:ascii="Times New Roman" w:hAnsi="Times New Roman" w:cs="Times New Roman"/>
          <w:color w:val="auto"/>
          <w:sz w:val="24"/>
          <w:szCs w:val="24"/>
          <w:highlight w:val="none"/>
          <w:lang w:val="en-US" w:eastAsia="zh-CN"/>
        </w:rPr>
        <w:t>工业广场构筑物建设会</w:t>
      </w:r>
      <w:r>
        <w:rPr>
          <w:rFonts w:hint="default" w:ascii="Times New Roman" w:hAnsi="Times New Roman" w:cs="Times New Roman"/>
          <w:color w:val="auto"/>
          <w:sz w:val="24"/>
          <w:szCs w:val="24"/>
          <w:highlight w:val="none"/>
        </w:rPr>
        <w:t>破坏地表植被、加剧水土流失等，本项目针对上述问题采取了相应的粉尘控制措施；项目开采前，将表土剥离并集中堆放在表土堆场，后期用于生态恢复；项目开工前修建排水沟、截洪沟，以减轻水土流失的影响；生产期间，各环节定期洒水降尘，闭矿后，废料及时回填</w:t>
      </w:r>
      <w:r>
        <w:rPr>
          <w:rFonts w:hint="default" w:ascii="Times New Roman" w:hAnsi="Times New Roman" w:cs="Times New Roman"/>
          <w:color w:val="auto"/>
          <w:sz w:val="24"/>
          <w:szCs w:val="24"/>
          <w:highlight w:val="none"/>
          <w:lang w:val="en-US" w:eastAsia="zh-CN"/>
        </w:rPr>
        <w:t>矿坑</w:t>
      </w:r>
      <w:r>
        <w:rPr>
          <w:rFonts w:hint="default" w:ascii="Times New Roman" w:hAnsi="Times New Roman" w:cs="Times New Roman"/>
          <w:color w:val="auto"/>
          <w:sz w:val="24"/>
          <w:szCs w:val="24"/>
          <w:highlight w:val="none"/>
        </w:rPr>
        <w:t>，使项目区场地趋于平缓，控制水土流失影响；加强对员工的管理以及对区域动植物的保护，维护区域生物多样性；综上，经采取上述措施，本项目对区域生态环境的影响在可接受范围内。</w:t>
      </w:r>
    </w:p>
    <w:p w14:paraId="7C312468">
      <w:pPr>
        <w:pStyle w:val="3"/>
        <w:bidi w:val="0"/>
        <w:rPr>
          <w:rFonts w:hint="default"/>
        </w:rPr>
      </w:pPr>
      <w:bookmarkStart w:id="45" w:name="1.5关注的主要环境问题及环境影响"/>
      <w:bookmarkEnd w:id="45"/>
      <w:bookmarkStart w:id="46" w:name="bookmark5"/>
      <w:bookmarkEnd w:id="46"/>
      <w:bookmarkStart w:id="47" w:name="_Toc12846"/>
      <w:bookmarkStart w:id="48" w:name="_Toc19283"/>
      <w:r>
        <w:rPr>
          <w:rFonts w:hint="default"/>
        </w:rPr>
        <w:t>关注的主要环境问题及环境影响</w:t>
      </w:r>
      <w:bookmarkEnd w:id="47"/>
      <w:bookmarkEnd w:id="48"/>
    </w:p>
    <w:p w14:paraId="48D363E1">
      <w:pPr>
        <w:numPr>
          <w:ilvl w:val="0"/>
          <w:numId w:val="8"/>
        </w:numPr>
        <w:spacing w:beforeLines="0" w:afterLines="0"/>
        <w:ind w:firstLine="5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生态环境影响</w:t>
      </w:r>
    </w:p>
    <w:p w14:paraId="17AD0334">
      <w:pPr>
        <w:numPr>
          <w:ilvl w:val="0"/>
          <w:numId w:val="0"/>
        </w:numPr>
        <w:spacing w:beforeLines="0" w:afterLines="0"/>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运营期生态环境重点是针对区域现有生态环境问题及本项目的建设对区域生态环境的影响</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项目需将废料集中堆存至废料堆场，底部采用土袋围挡，上部采用</w:t>
      </w:r>
      <w:r>
        <w:rPr>
          <w:rFonts w:hint="default" w:ascii="Times New Roman" w:hAnsi="Times New Roman" w:cs="Times New Roman"/>
          <w:color w:val="auto"/>
          <w:sz w:val="24"/>
          <w:szCs w:val="24"/>
          <w:highlight w:val="none"/>
          <w:lang w:val="en-US" w:eastAsia="zh-CN"/>
        </w:rPr>
        <w:t>篷布</w:t>
      </w:r>
      <w:r>
        <w:rPr>
          <w:rFonts w:hint="default" w:ascii="Times New Roman" w:hAnsi="Times New Roman" w:cs="Times New Roman"/>
          <w:color w:val="auto"/>
          <w:sz w:val="24"/>
          <w:szCs w:val="24"/>
          <w:highlight w:val="none"/>
        </w:rPr>
        <w:t>遮盖并定期洒水，以达到防风固沙效果；设置截洪沟、排水沟防止水土流失；闭矿后及时采取生态恢复措施，</w:t>
      </w:r>
      <w:r>
        <w:rPr>
          <w:rFonts w:hint="default" w:ascii="Times New Roman" w:hAnsi="Times New Roman" w:cs="Times New Roman"/>
          <w:color w:val="auto"/>
          <w:sz w:val="24"/>
          <w:szCs w:val="24"/>
          <w:highlight w:val="none"/>
          <w:lang w:val="en-US" w:eastAsia="zh-CN"/>
        </w:rPr>
        <w:t>表土回填，撒草籽</w:t>
      </w:r>
      <w:r>
        <w:rPr>
          <w:rFonts w:hint="default" w:ascii="Times New Roman" w:hAnsi="Times New Roman" w:cs="Times New Roman"/>
          <w:color w:val="auto"/>
          <w:sz w:val="24"/>
          <w:szCs w:val="24"/>
          <w:highlight w:val="none"/>
        </w:rPr>
        <w:t>恢复原有</w:t>
      </w:r>
      <w:r>
        <w:rPr>
          <w:rFonts w:hint="default" w:ascii="Times New Roman" w:hAnsi="Times New Roman" w:cs="Times New Roman"/>
          <w:color w:val="auto"/>
          <w:sz w:val="24"/>
          <w:szCs w:val="24"/>
          <w:highlight w:val="none"/>
          <w:lang w:val="en-US" w:eastAsia="zh-CN"/>
        </w:rPr>
        <w:t>自然</w:t>
      </w:r>
      <w:r>
        <w:rPr>
          <w:rFonts w:hint="default" w:ascii="Times New Roman" w:hAnsi="Times New Roman" w:cs="Times New Roman"/>
          <w:color w:val="auto"/>
          <w:sz w:val="24"/>
          <w:szCs w:val="24"/>
          <w:highlight w:val="none"/>
        </w:rPr>
        <w:t>植被；注意植被及土壤保护、严格按开发利用方案进行开采、恢复现有不合理地形地貌、控制矿界范围、禁止人员越界活动。施工运营期对西侧封禁保护区的保护及闭矿期矿山生态恢复是本项目生态保护重点。</w:t>
      </w:r>
    </w:p>
    <w:p w14:paraId="21A20ADD">
      <w:pPr>
        <w:numPr>
          <w:ilvl w:val="0"/>
          <w:numId w:val="8"/>
        </w:numPr>
        <w:spacing w:beforeLines="0" w:afterLines="0"/>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大气环境问题</w:t>
      </w:r>
    </w:p>
    <w:p w14:paraId="450455E2">
      <w:pPr>
        <w:numPr>
          <w:ilvl w:val="0"/>
          <w:numId w:val="0"/>
        </w:numPr>
        <w:spacing w:beforeLines="0" w:afterLines="0"/>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关注采装、运输、装卸</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筛分、</w:t>
      </w:r>
      <w:r>
        <w:rPr>
          <w:rFonts w:hint="default" w:ascii="Times New Roman" w:hAnsi="Times New Roman" w:cs="Times New Roman"/>
          <w:color w:val="auto"/>
          <w:sz w:val="24"/>
          <w:szCs w:val="24"/>
          <w:highlight w:val="none"/>
          <w:lang w:val="en-US" w:eastAsia="zh-CN"/>
        </w:rPr>
        <w:t>烘干</w:t>
      </w:r>
      <w:r>
        <w:rPr>
          <w:rFonts w:hint="default" w:ascii="Times New Roman" w:hAnsi="Times New Roman" w:cs="Times New Roman"/>
          <w:color w:val="auto"/>
          <w:sz w:val="24"/>
          <w:szCs w:val="24"/>
          <w:highlight w:val="none"/>
        </w:rPr>
        <w:t>过程中的粉尘污染的环境影响及污染控制措施。</w:t>
      </w:r>
    </w:p>
    <w:p w14:paraId="61EEC759">
      <w:pPr>
        <w:numPr>
          <w:ilvl w:val="0"/>
          <w:numId w:val="8"/>
        </w:numPr>
        <w:spacing w:beforeLines="0" w:afterLines="0"/>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水环境影响</w:t>
      </w:r>
    </w:p>
    <w:p w14:paraId="032C4F8F">
      <w:pPr>
        <w:numPr>
          <w:ilvl w:val="0"/>
          <w:numId w:val="0"/>
        </w:numPr>
        <w:spacing w:beforeLines="0" w:afterLines="0"/>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项目区内</w:t>
      </w:r>
      <w:r>
        <w:rPr>
          <w:rFonts w:hint="default" w:ascii="Times New Roman" w:hAnsi="Times New Roman" w:cs="Times New Roman"/>
          <w:color w:val="auto"/>
          <w:sz w:val="24"/>
          <w:szCs w:val="24"/>
          <w:highlight w:val="none"/>
          <w:lang w:val="en-US" w:eastAsia="zh-CN"/>
        </w:rPr>
        <w:t>节约生产用水，循环使用，生活污水采用地埋式一体化</w:t>
      </w:r>
      <w:r>
        <w:rPr>
          <w:rFonts w:hint="default" w:ascii="Times New Roman" w:hAnsi="Times New Roman" w:cs="Times New Roman"/>
          <w:color w:val="auto"/>
          <w:sz w:val="24"/>
          <w:szCs w:val="24"/>
          <w:highlight w:val="none"/>
        </w:rPr>
        <w:t>污水处理设施</w:t>
      </w:r>
      <w:r>
        <w:rPr>
          <w:rFonts w:hint="default" w:ascii="Times New Roman" w:hAnsi="Times New Roman" w:cs="Times New Roman"/>
          <w:color w:val="auto"/>
          <w:sz w:val="24"/>
          <w:szCs w:val="24"/>
          <w:highlight w:val="none"/>
          <w:lang w:val="en-US" w:eastAsia="zh-CN"/>
        </w:rPr>
        <w:t>处理后用作降尘，污水处理设施</w:t>
      </w:r>
      <w:r>
        <w:rPr>
          <w:rFonts w:hint="default" w:ascii="Times New Roman" w:hAnsi="Times New Roman" w:cs="Times New Roman"/>
          <w:color w:val="auto"/>
          <w:sz w:val="24"/>
          <w:szCs w:val="24"/>
          <w:highlight w:val="none"/>
        </w:rPr>
        <w:t>须按要求采取防渗措施，杜绝对区域环境造成明显不利影响。</w:t>
      </w:r>
    </w:p>
    <w:p w14:paraId="3C2B6446">
      <w:pPr>
        <w:numPr>
          <w:ilvl w:val="0"/>
          <w:numId w:val="8"/>
        </w:numPr>
        <w:spacing w:beforeLines="0" w:afterLines="0"/>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声环境影响</w:t>
      </w:r>
    </w:p>
    <w:p w14:paraId="617B8E19">
      <w:pPr>
        <w:numPr>
          <w:ilvl w:val="0"/>
          <w:numId w:val="0"/>
        </w:numPr>
        <w:spacing w:beforeLines="0" w:afterLines="0"/>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关注设备噪声对区域声环境的影响，提出有效控制噪声措施。</w:t>
      </w:r>
    </w:p>
    <w:p w14:paraId="0339E73C">
      <w:pPr>
        <w:numPr>
          <w:ilvl w:val="0"/>
          <w:numId w:val="8"/>
        </w:numPr>
        <w:spacing w:beforeLines="0" w:afterLines="0"/>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固废环境影响</w:t>
      </w:r>
    </w:p>
    <w:p w14:paraId="39E7076C">
      <w:pPr>
        <w:numPr>
          <w:ilvl w:val="0"/>
          <w:numId w:val="0"/>
        </w:numPr>
        <w:spacing w:beforeLines="0" w:afterLines="0"/>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关注矿区</w:t>
      </w:r>
      <w:r>
        <w:rPr>
          <w:rFonts w:hint="default" w:ascii="Times New Roman" w:hAnsi="Times New Roman" w:cs="Times New Roman"/>
          <w:color w:val="auto"/>
          <w:sz w:val="24"/>
          <w:szCs w:val="24"/>
          <w:highlight w:val="none"/>
          <w:lang w:val="en-US" w:eastAsia="zh-CN"/>
        </w:rPr>
        <w:t>排土场的大气</w:t>
      </w:r>
      <w:r>
        <w:rPr>
          <w:rFonts w:hint="default" w:ascii="Times New Roman" w:hAnsi="Times New Roman" w:cs="Times New Roman"/>
          <w:color w:val="auto"/>
          <w:sz w:val="24"/>
          <w:szCs w:val="24"/>
          <w:highlight w:val="none"/>
        </w:rPr>
        <w:t>污染</w:t>
      </w:r>
      <w:r>
        <w:rPr>
          <w:rFonts w:hint="default" w:ascii="Times New Roman" w:hAnsi="Times New Roman" w:cs="Times New Roman"/>
          <w:color w:val="auto"/>
          <w:sz w:val="24"/>
          <w:szCs w:val="24"/>
          <w:highlight w:val="none"/>
          <w:lang w:val="en-US" w:eastAsia="zh-CN"/>
        </w:rPr>
        <w:t>影响</w:t>
      </w:r>
      <w:r>
        <w:rPr>
          <w:rFonts w:hint="default" w:ascii="Times New Roman" w:hAnsi="Times New Roman" w:cs="Times New Roman"/>
          <w:color w:val="auto"/>
          <w:sz w:val="24"/>
          <w:szCs w:val="24"/>
          <w:highlight w:val="none"/>
        </w:rPr>
        <w:t>、生态影响，提出有效防尘及生态保护措施；生活垃圾拉运至生活垃圾填埋场妥善处置；剥离表土集中堆放在表土堆场；沉淀</w:t>
      </w:r>
      <w:r>
        <w:rPr>
          <w:rFonts w:hint="default" w:ascii="Times New Roman" w:hAnsi="Times New Roman" w:cs="Times New Roman"/>
          <w:color w:val="auto"/>
          <w:sz w:val="24"/>
          <w:szCs w:val="24"/>
          <w:highlight w:val="none"/>
          <w:lang w:val="en-US" w:eastAsia="zh-CN"/>
        </w:rPr>
        <w:t>池</w:t>
      </w:r>
      <w:r>
        <w:rPr>
          <w:rFonts w:hint="default" w:ascii="Times New Roman" w:hAnsi="Times New Roman" w:cs="Times New Roman"/>
          <w:color w:val="auto"/>
          <w:sz w:val="24"/>
          <w:szCs w:val="24"/>
          <w:highlight w:val="none"/>
        </w:rPr>
        <w:t>中沉渣定期清运至</w:t>
      </w:r>
      <w:r>
        <w:rPr>
          <w:rFonts w:hint="default" w:ascii="Times New Roman" w:hAnsi="Times New Roman" w:cs="Times New Roman"/>
          <w:color w:val="auto"/>
          <w:sz w:val="24"/>
          <w:szCs w:val="24"/>
          <w:highlight w:val="none"/>
          <w:lang w:val="en-US" w:eastAsia="zh-CN"/>
        </w:rPr>
        <w:t>排土场；机修废矿物油在贮存点暂存，委托资质单位定期处置</w:t>
      </w:r>
      <w:r>
        <w:rPr>
          <w:rFonts w:hint="default" w:ascii="Times New Roman" w:hAnsi="Times New Roman" w:cs="Times New Roman"/>
          <w:color w:val="auto"/>
          <w:sz w:val="24"/>
          <w:szCs w:val="24"/>
          <w:highlight w:val="none"/>
        </w:rPr>
        <w:t>。</w:t>
      </w:r>
    </w:p>
    <w:p w14:paraId="78D6758A">
      <w:pPr>
        <w:pStyle w:val="3"/>
        <w:bidi w:val="0"/>
        <w:rPr>
          <w:rFonts w:hint="default"/>
        </w:rPr>
      </w:pPr>
      <w:bookmarkStart w:id="49" w:name="bookmark6"/>
      <w:bookmarkEnd w:id="49"/>
      <w:bookmarkStart w:id="50" w:name="1.6环境影响报告的主要结论"/>
      <w:bookmarkEnd w:id="50"/>
      <w:bookmarkStart w:id="51" w:name="_Toc7710"/>
      <w:bookmarkStart w:id="52" w:name="_Toc864"/>
      <w:r>
        <w:rPr>
          <w:rFonts w:hint="default"/>
        </w:rPr>
        <w:t>环境影响报告的主要结论</w:t>
      </w:r>
      <w:bookmarkEnd w:id="51"/>
      <w:bookmarkEnd w:id="52"/>
    </w:p>
    <w:p w14:paraId="01B51761">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本项目的建设符合国家、自治区以及地方当前产业政策及产业发展规划</w:t>
      </w:r>
      <w:r>
        <w:rPr>
          <w:rFonts w:hint="default" w:ascii="Times New Roman" w:hAnsi="Times New Roman" w:cs="Times New Roman"/>
          <w:color w:val="FF0000"/>
          <w:sz w:val="24"/>
          <w:szCs w:val="24"/>
          <w:highlight w:val="none"/>
        </w:rPr>
        <w:t>，符合</w:t>
      </w:r>
      <w:r>
        <w:rPr>
          <w:rFonts w:hint="default" w:ascii="Times New Roman" w:hAnsi="Times New Roman" w:cs="Times New Roman"/>
          <w:color w:val="FF0000"/>
          <w:sz w:val="24"/>
          <w:szCs w:val="24"/>
          <w:highlight w:val="none"/>
          <w:lang w:val="en-US" w:eastAsia="zh-CN"/>
        </w:rPr>
        <w:t>《新疆维吾尔自治区重点行业生态环境准入条件（2024年）》</w:t>
      </w:r>
      <w:r>
        <w:rPr>
          <w:rFonts w:hint="default" w:ascii="Times New Roman" w:hAnsi="Times New Roman" w:cs="Times New Roman"/>
          <w:color w:val="FF0000"/>
          <w:sz w:val="24"/>
          <w:szCs w:val="24"/>
          <w:highlight w:val="none"/>
        </w:rPr>
        <w:t>要求，</w:t>
      </w:r>
      <w:r>
        <w:rPr>
          <w:rFonts w:hint="default" w:ascii="Times New Roman" w:hAnsi="Times New Roman" w:cs="Times New Roman"/>
          <w:color w:val="auto"/>
          <w:sz w:val="24"/>
          <w:szCs w:val="24"/>
          <w:highlight w:val="none"/>
        </w:rPr>
        <w:t>符合《新疆维吾尔自治区矿产资源总体规划（2021-2025）》、《新疆维吾尔自治区昌吉回族自治州矿产资源总体规划（2021-2025）》、《新疆维吾尔自治区阜康市矿产资源总体规划（2021-2025年）》；本项目用地合法，选址及总平面布局合理可行。</w:t>
      </w:r>
    </w:p>
    <w:p w14:paraId="5FED17AD">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切实落实各项生态环境保护和污染防治措施后，造成的生态环境影响在可接受范围内，废气、废水、噪声达标排放，固体废物妥善处置，符合区域环境功能区划要求，总体不会对区域环境及人群造成明显不利影响，从环保角度考虑，本项目建设可行。</w:t>
      </w:r>
    </w:p>
    <w:p w14:paraId="3CF9A9A7">
      <w:pPr>
        <w:pStyle w:val="14"/>
        <w:kinsoku w:val="0"/>
        <w:overflowPunct w:val="0"/>
        <w:spacing w:before="4" w:beforeLines="0" w:afterLines="0"/>
        <w:ind w:left="0"/>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szCs w:val="24"/>
          <w:highlight w:val="none"/>
        </w:rPr>
        <w:br w:type="page"/>
      </w:r>
    </w:p>
    <w:p w14:paraId="7AE3EBD7">
      <w:pPr>
        <w:pStyle w:val="2"/>
        <w:bidi w:val="0"/>
        <w:rPr>
          <w:rFonts w:hint="default"/>
          <w:color w:val="FF0000"/>
        </w:rPr>
      </w:pPr>
      <w:bookmarkStart w:id="53" w:name="bookmark7"/>
      <w:bookmarkEnd w:id="53"/>
      <w:bookmarkStart w:id="54" w:name="2总则"/>
      <w:bookmarkEnd w:id="54"/>
      <w:bookmarkStart w:id="55" w:name="_Toc7653"/>
      <w:bookmarkStart w:id="56" w:name="_Toc17897"/>
      <w:r>
        <w:rPr>
          <w:rFonts w:hint="default"/>
        </w:rPr>
        <w:t>总则</w:t>
      </w:r>
      <w:bookmarkEnd w:id="55"/>
      <w:bookmarkEnd w:id="56"/>
    </w:p>
    <w:p w14:paraId="4702A022">
      <w:pPr>
        <w:pStyle w:val="3"/>
        <w:bidi w:val="0"/>
        <w:rPr>
          <w:rFonts w:hint="default"/>
          <w:color w:val="FF0000"/>
        </w:rPr>
      </w:pPr>
      <w:bookmarkStart w:id="57" w:name="2.1编制依据"/>
      <w:bookmarkEnd w:id="57"/>
      <w:bookmarkStart w:id="58" w:name="bookmark8"/>
      <w:bookmarkEnd w:id="58"/>
      <w:bookmarkStart w:id="59" w:name="_Toc13113"/>
      <w:bookmarkStart w:id="60" w:name="_Toc21045"/>
      <w:r>
        <w:rPr>
          <w:rFonts w:hint="default"/>
          <w:color w:val="FF0000"/>
        </w:rPr>
        <w:t>编制依据</w:t>
      </w:r>
      <w:bookmarkEnd w:id="59"/>
      <w:bookmarkEnd w:id="60"/>
    </w:p>
    <w:p w14:paraId="6BB30961">
      <w:pPr>
        <w:pStyle w:val="4"/>
        <w:bidi w:val="0"/>
        <w:rPr>
          <w:rFonts w:hint="default"/>
          <w:color w:val="FF0000"/>
        </w:rPr>
      </w:pPr>
      <w:bookmarkStart w:id="61" w:name="2.1.1国家相关法律法规"/>
      <w:bookmarkEnd w:id="61"/>
      <w:r>
        <w:rPr>
          <w:rFonts w:hint="default"/>
          <w:color w:val="FF0000"/>
        </w:rPr>
        <w:t>国家相关法律法规</w:t>
      </w:r>
    </w:p>
    <w:p w14:paraId="7DB35AA1">
      <w:pPr>
        <w:numPr>
          <w:ilvl w:val="0"/>
          <w:numId w:val="9"/>
        </w:numPr>
        <w:tabs>
          <w:tab w:val="left" w:pos="840"/>
          <w:tab w:val="clear" w:pos="0"/>
        </w:tabs>
        <w:spacing w:beforeLines="0" w:afterLines="0"/>
        <w:ind w:firstLineChars="0"/>
        <w:rPr>
          <w:rFonts w:hint="default" w:ascii="Times New Roman" w:hAnsi="Times New Roman" w:cs="Times New Roman"/>
          <w:color w:val="FF0000"/>
          <w:sz w:val="24"/>
          <w:szCs w:val="24"/>
          <w:highlight w:val="none"/>
        </w:rPr>
      </w:pPr>
      <w:r>
        <w:rPr>
          <w:rFonts w:hint="default" w:ascii="Times New Roman" w:hAnsi="Times New Roman" w:cs="Times New Roman"/>
          <w:color w:val="FF0000"/>
          <w:sz w:val="24"/>
          <w:szCs w:val="24"/>
          <w:highlight w:val="none"/>
        </w:rPr>
        <w:t>《中华人民共和国环境保护法》（2015年1月1日起实施）；</w:t>
      </w:r>
    </w:p>
    <w:p w14:paraId="027C8496">
      <w:pPr>
        <w:numPr>
          <w:ilvl w:val="0"/>
          <w:numId w:val="9"/>
        </w:numPr>
        <w:tabs>
          <w:tab w:val="left" w:pos="840"/>
          <w:tab w:val="clear" w:pos="0"/>
        </w:tabs>
        <w:spacing w:beforeLines="0" w:afterLines="0"/>
        <w:ind w:firstLineChars="0"/>
        <w:rPr>
          <w:rFonts w:hint="default" w:ascii="Times New Roman" w:hAnsi="Times New Roman" w:cs="Times New Roman"/>
          <w:color w:val="FF0000"/>
          <w:sz w:val="24"/>
          <w:szCs w:val="24"/>
          <w:highlight w:val="none"/>
        </w:rPr>
      </w:pPr>
      <w:r>
        <w:rPr>
          <w:rFonts w:hint="default" w:ascii="Times New Roman" w:hAnsi="Times New Roman" w:cs="Times New Roman"/>
          <w:color w:val="FF0000"/>
          <w:sz w:val="24"/>
          <w:szCs w:val="24"/>
          <w:highlight w:val="none"/>
        </w:rPr>
        <w:t>《中华人民共和国环境影响评价法》（2018年12月29日起修正）；</w:t>
      </w:r>
    </w:p>
    <w:p w14:paraId="37CA0F0E">
      <w:pPr>
        <w:numPr>
          <w:ilvl w:val="0"/>
          <w:numId w:val="9"/>
        </w:numPr>
        <w:tabs>
          <w:tab w:val="left" w:pos="840"/>
          <w:tab w:val="clear" w:pos="0"/>
        </w:tabs>
        <w:spacing w:beforeLines="0" w:afterLines="0"/>
        <w:ind w:firstLineChars="0"/>
        <w:rPr>
          <w:rFonts w:hint="default" w:ascii="Times New Roman" w:hAnsi="Times New Roman" w:cs="Times New Roman"/>
          <w:color w:val="FF0000"/>
          <w:sz w:val="24"/>
          <w:szCs w:val="24"/>
          <w:highlight w:val="none"/>
        </w:rPr>
      </w:pPr>
      <w:r>
        <w:rPr>
          <w:rFonts w:hint="default" w:ascii="Times New Roman" w:hAnsi="Times New Roman" w:cs="Times New Roman"/>
          <w:color w:val="FF0000"/>
          <w:sz w:val="24"/>
          <w:szCs w:val="24"/>
          <w:highlight w:val="none"/>
        </w:rPr>
        <w:t>《中华人民共和国大气污染防治法》（2018年10月26日起实施）；</w:t>
      </w:r>
    </w:p>
    <w:p w14:paraId="2F6E29B3">
      <w:pPr>
        <w:numPr>
          <w:ilvl w:val="0"/>
          <w:numId w:val="9"/>
        </w:numPr>
        <w:tabs>
          <w:tab w:val="left" w:pos="840"/>
          <w:tab w:val="clear" w:pos="0"/>
        </w:tabs>
        <w:spacing w:beforeLines="0" w:afterLines="0"/>
        <w:ind w:firstLineChars="0"/>
        <w:rPr>
          <w:rFonts w:hint="default" w:ascii="Times New Roman" w:hAnsi="Times New Roman" w:cs="Times New Roman"/>
          <w:color w:val="FF0000"/>
          <w:sz w:val="24"/>
          <w:szCs w:val="24"/>
          <w:highlight w:val="none"/>
        </w:rPr>
      </w:pPr>
      <w:r>
        <w:rPr>
          <w:rFonts w:hint="default" w:ascii="Times New Roman" w:hAnsi="Times New Roman" w:cs="Times New Roman"/>
          <w:color w:val="FF0000"/>
          <w:sz w:val="24"/>
          <w:szCs w:val="24"/>
          <w:highlight w:val="none"/>
        </w:rPr>
        <w:t>《中华人民共和国水污染防治法》（2018年1月1日起实施）；</w:t>
      </w:r>
    </w:p>
    <w:p w14:paraId="35322B3F">
      <w:pPr>
        <w:numPr>
          <w:ilvl w:val="0"/>
          <w:numId w:val="9"/>
        </w:numPr>
        <w:tabs>
          <w:tab w:val="left" w:pos="840"/>
          <w:tab w:val="clear" w:pos="0"/>
        </w:tabs>
        <w:spacing w:beforeLines="0" w:afterLines="0"/>
        <w:ind w:firstLineChars="0"/>
        <w:rPr>
          <w:rFonts w:hint="default" w:ascii="Times New Roman" w:hAnsi="Times New Roman" w:cs="Times New Roman"/>
          <w:color w:val="FF0000"/>
          <w:sz w:val="24"/>
          <w:szCs w:val="24"/>
          <w:highlight w:val="none"/>
        </w:rPr>
      </w:pPr>
      <w:r>
        <w:rPr>
          <w:rFonts w:hint="default" w:ascii="Times New Roman" w:hAnsi="Times New Roman" w:cs="Times New Roman"/>
          <w:color w:val="FF0000"/>
          <w:sz w:val="24"/>
          <w:szCs w:val="24"/>
          <w:highlight w:val="none"/>
        </w:rPr>
        <w:t>《中华人民共和国噪声污染防治法》（2022年6月5日修正）；</w:t>
      </w:r>
    </w:p>
    <w:p w14:paraId="4C5BD833">
      <w:pPr>
        <w:numPr>
          <w:ilvl w:val="0"/>
          <w:numId w:val="9"/>
        </w:numPr>
        <w:tabs>
          <w:tab w:val="left" w:pos="840"/>
          <w:tab w:val="clear" w:pos="0"/>
        </w:tabs>
        <w:spacing w:beforeLines="0" w:afterLines="0"/>
        <w:ind w:firstLineChars="0"/>
        <w:rPr>
          <w:rFonts w:hint="default" w:ascii="Times New Roman" w:hAnsi="Times New Roman" w:cs="Times New Roman"/>
          <w:color w:val="FF0000"/>
          <w:sz w:val="24"/>
          <w:szCs w:val="24"/>
          <w:highlight w:val="none"/>
        </w:rPr>
      </w:pPr>
      <w:r>
        <w:rPr>
          <w:rFonts w:hint="default" w:ascii="Times New Roman" w:hAnsi="Times New Roman" w:cs="Times New Roman"/>
          <w:color w:val="FF0000"/>
          <w:sz w:val="24"/>
          <w:szCs w:val="24"/>
          <w:highlight w:val="none"/>
        </w:rPr>
        <w:t>《中华人民共和国固体废物污染环境防治法》（2020年4月29日修订，自2020年9月1日起施行）；</w:t>
      </w:r>
    </w:p>
    <w:p w14:paraId="369A45F8">
      <w:pPr>
        <w:numPr>
          <w:ilvl w:val="0"/>
          <w:numId w:val="9"/>
        </w:numPr>
        <w:tabs>
          <w:tab w:val="left" w:pos="840"/>
          <w:tab w:val="clear" w:pos="0"/>
        </w:tabs>
        <w:spacing w:beforeLines="0" w:afterLines="0"/>
        <w:ind w:firstLineChars="0"/>
        <w:rPr>
          <w:rFonts w:hint="default" w:ascii="Times New Roman" w:hAnsi="Times New Roman" w:cs="Times New Roman"/>
          <w:color w:val="FF0000"/>
          <w:sz w:val="24"/>
          <w:szCs w:val="24"/>
          <w:highlight w:val="none"/>
        </w:rPr>
      </w:pPr>
      <w:r>
        <w:rPr>
          <w:rFonts w:hint="default" w:ascii="Times New Roman" w:hAnsi="Times New Roman" w:cs="Times New Roman"/>
          <w:color w:val="FF0000"/>
          <w:sz w:val="24"/>
          <w:szCs w:val="24"/>
          <w:highlight w:val="none"/>
        </w:rPr>
        <w:t>《中华人民共和国土壤污染防治法》（2019年1月1日实施）；</w:t>
      </w:r>
    </w:p>
    <w:p w14:paraId="2A701C8C">
      <w:pPr>
        <w:numPr>
          <w:ilvl w:val="0"/>
          <w:numId w:val="9"/>
        </w:numPr>
        <w:tabs>
          <w:tab w:val="left" w:pos="840"/>
          <w:tab w:val="clear" w:pos="0"/>
        </w:tabs>
        <w:spacing w:beforeLines="0" w:afterLines="0"/>
        <w:ind w:firstLineChars="0"/>
        <w:rPr>
          <w:rFonts w:hint="default" w:ascii="Times New Roman" w:hAnsi="Times New Roman" w:cs="Times New Roman"/>
          <w:color w:val="FF0000"/>
          <w:sz w:val="24"/>
          <w:szCs w:val="24"/>
          <w:highlight w:val="none"/>
        </w:rPr>
      </w:pPr>
      <w:r>
        <w:rPr>
          <w:rFonts w:hint="default" w:ascii="Times New Roman" w:hAnsi="Times New Roman" w:cs="Times New Roman"/>
          <w:color w:val="FF0000"/>
          <w:sz w:val="24"/>
          <w:szCs w:val="24"/>
          <w:highlight w:val="none"/>
        </w:rPr>
        <w:t>《中华人民共和国循环经济促进法》（2018年10月26日修正）；</w:t>
      </w:r>
    </w:p>
    <w:p w14:paraId="05827A57">
      <w:pPr>
        <w:numPr>
          <w:ilvl w:val="0"/>
          <w:numId w:val="9"/>
        </w:numPr>
        <w:tabs>
          <w:tab w:val="left" w:pos="840"/>
          <w:tab w:val="clear" w:pos="0"/>
        </w:tabs>
        <w:spacing w:beforeLines="0" w:afterLines="0"/>
        <w:ind w:firstLineChars="0"/>
        <w:rPr>
          <w:rFonts w:hint="default" w:ascii="Times New Roman" w:hAnsi="Times New Roman" w:cs="Times New Roman"/>
          <w:color w:val="FF0000"/>
          <w:sz w:val="24"/>
          <w:szCs w:val="24"/>
          <w:highlight w:val="none"/>
        </w:rPr>
      </w:pPr>
      <w:r>
        <w:rPr>
          <w:rFonts w:hint="default" w:ascii="Times New Roman" w:hAnsi="Times New Roman" w:cs="Times New Roman"/>
          <w:color w:val="FF0000"/>
          <w:sz w:val="24"/>
          <w:szCs w:val="24"/>
          <w:highlight w:val="none"/>
        </w:rPr>
        <w:t>《中华人民共和国清洁生产促进法》（2012年7月1日实施）；</w:t>
      </w:r>
    </w:p>
    <w:p w14:paraId="363EDE85">
      <w:pPr>
        <w:numPr>
          <w:ilvl w:val="0"/>
          <w:numId w:val="9"/>
        </w:numPr>
        <w:tabs>
          <w:tab w:val="left" w:pos="840"/>
          <w:tab w:val="clear" w:pos="0"/>
        </w:tabs>
        <w:spacing w:beforeLines="0" w:afterLines="0"/>
        <w:ind w:firstLineChars="0"/>
        <w:rPr>
          <w:rFonts w:hint="default" w:ascii="Times New Roman" w:hAnsi="Times New Roman" w:cs="Times New Roman"/>
          <w:color w:val="FF0000"/>
          <w:sz w:val="24"/>
          <w:szCs w:val="24"/>
          <w:highlight w:val="none"/>
        </w:rPr>
      </w:pPr>
      <w:r>
        <w:rPr>
          <w:rFonts w:hint="default" w:ascii="Times New Roman" w:hAnsi="Times New Roman" w:cs="Times New Roman"/>
          <w:color w:val="FF0000"/>
          <w:sz w:val="24"/>
          <w:szCs w:val="24"/>
          <w:highlight w:val="none"/>
        </w:rPr>
        <w:t>《中华人民共和国节约能源法》（2018年10月26日修正）；</w:t>
      </w:r>
    </w:p>
    <w:p w14:paraId="1E1270F9">
      <w:pPr>
        <w:numPr>
          <w:ilvl w:val="0"/>
          <w:numId w:val="9"/>
        </w:numPr>
        <w:tabs>
          <w:tab w:val="left" w:pos="840"/>
          <w:tab w:val="clear" w:pos="0"/>
        </w:tabs>
        <w:spacing w:beforeLines="0" w:afterLines="0"/>
        <w:ind w:firstLineChars="0"/>
        <w:rPr>
          <w:rFonts w:hint="default" w:ascii="Times New Roman" w:hAnsi="Times New Roman" w:cs="Times New Roman"/>
          <w:color w:val="FF0000"/>
          <w:sz w:val="24"/>
          <w:szCs w:val="24"/>
          <w:highlight w:val="none"/>
        </w:rPr>
      </w:pPr>
      <w:r>
        <w:rPr>
          <w:rFonts w:hint="default" w:ascii="Times New Roman" w:hAnsi="Times New Roman" w:cs="Times New Roman"/>
          <w:color w:val="FF0000"/>
          <w:sz w:val="24"/>
          <w:szCs w:val="24"/>
          <w:highlight w:val="none"/>
        </w:rPr>
        <w:t>《中华人民共和国矿产资源法》（2009年8月27日）；</w:t>
      </w:r>
    </w:p>
    <w:p w14:paraId="051C0897">
      <w:pPr>
        <w:numPr>
          <w:ilvl w:val="0"/>
          <w:numId w:val="9"/>
        </w:numPr>
        <w:tabs>
          <w:tab w:val="left" w:pos="840"/>
          <w:tab w:val="clear" w:pos="0"/>
        </w:tabs>
        <w:spacing w:beforeLines="0" w:afterLines="0"/>
        <w:ind w:firstLineChars="0"/>
        <w:rPr>
          <w:rFonts w:hint="default" w:ascii="Times New Roman" w:hAnsi="Times New Roman" w:cs="Times New Roman"/>
          <w:color w:val="FF0000"/>
          <w:sz w:val="24"/>
          <w:szCs w:val="24"/>
          <w:highlight w:val="none"/>
        </w:rPr>
      </w:pPr>
      <w:r>
        <w:rPr>
          <w:rFonts w:hint="default" w:ascii="Times New Roman" w:hAnsi="Times New Roman" w:cs="Times New Roman"/>
          <w:color w:val="FF0000"/>
          <w:sz w:val="24"/>
          <w:szCs w:val="24"/>
          <w:highlight w:val="none"/>
        </w:rPr>
        <w:t>《中华人民共和国矿山安全法》（2009年修订）；</w:t>
      </w:r>
    </w:p>
    <w:p w14:paraId="2FC408D4">
      <w:pPr>
        <w:numPr>
          <w:ilvl w:val="0"/>
          <w:numId w:val="9"/>
        </w:numPr>
        <w:tabs>
          <w:tab w:val="left" w:pos="840"/>
          <w:tab w:val="clear" w:pos="0"/>
        </w:tabs>
        <w:spacing w:beforeLines="0" w:afterLines="0"/>
        <w:ind w:firstLineChars="0"/>
        <w:rPr>
          <w:rFonts w:hint="default" w:ascii="Times New Roman" w:hAnsi="Times New Roman" w:cs="Times New Roman"/>
          <w:color w:val="FF0000"/>
          <w:sz w:val="24"/>
          <w:szCs w:val="24"/>
          <w:highlight w:val="none"/>
        </w:rPr>
      </w:pPr>
      <w:r>
        <w:rPr>
          <w:rFonts w:hint="default" w:ascii="Times New Roman" w:hAnsi="Times New Roman" w:cs="Times New Roman"/>
          <w:color w:val="FF0000"/>
          <w:sz w:val="24"/>
          <w:szCs w:val="24"/>
          <w:highlight w:val="none"/>
        </w:rPr>
        <w:t>《中华人民共和国土地管理法》（2019年8月26日修订）；</w:t>
      </w:r>
    </w:p>
    <w:p w14:paraId="5608D050">
      <w:pPr>
        <w:numPr>
          <w:ilvl w:val="0"/>
          <w:numId w:val="9"/>
        </w:numPr>
        <w:tabs>
          <w:tab w:val="left" w:pos="840"/>
          <w:tab w:val="clear" w:pos="0"/>
        </w:tabs>
        <w:spacing w:beforeLines="0" w:afterLines="0"/>
        <w:ind w:firstLineChars="0"/>
        <w:rPr>
          <w:rFonts w:hint="default" w:ascii="Times New Roman" w:hAnsi="Times New Roman" w:cs="Times New Roman"/>
          <w:color w:val="FF0000"/>
          <w:sz w:val="24"/>
          <w:szCs w:val="24"/>
          <w:highlight w:val="none"/>
        </w:rPr>
      </w:pPr>
      <w:r>
        <w:rPr>
          <w:rFonts w:hint="default" w:ascii="Times New Roman" w:hAnsi="Times New Roman" w:cs="Times New Roman"/>
          <w:color w:val="FF0000"/>
          <w:sz w:val="24"/>
          <w:szCs w:val="24"/>
          <w:highlight w:val="none"/>
        </w:rPr>
        <w:t>《中华人民共和国草原法》（2021年4月29日修订）。</w:t>
      </w:r>
    </w:p>
    <w:p w14:paraId="70708328">
      <w:pPr>
        <w:pStyle w:val="4"/>
        <w:bidi w:val="0"/>
        <w:rPr>
          <w:rFonts w:hint="default"/>
          <w:color w:val="FF0000"/>
        </w:rPr>
      </w:pPr>
      <w:bookmarkStart w:id="62" w:name="2.1.2环境保护法规及部门规章"/>
      <w:bookmarkEnd w:id="62"/>
      <w:r>
        <w:rPr>
          <w:rFonts w:hint="default"/>
          <w:color w:val="FF0000"/>
        </w:rPr>
        <w:t>环境保护法规及部门规章</w:t>
      </w:r>
    </w:p>
    <w:p w14:paraId="0343956C">
      <w:pPr>
        <w:numPr>
          <w:ilvl w:val="0"/>
          <w:numId w:val="10"/>
        </w:numPr>
        <w:tabs>
          <w:tab w:val="left" w:pos="840"/>
          <w:tab w:val="clear" w:pos="0"/>
        </w:tabs>
        <w:spacing w:beforeLines="0" w:afterLines="0"/>
        <w:ind w:firstLineChars="0"/>
        <w:rPr>
          <w:rFonts w:hint="default" w:ascii="Times New Roman" w:hAnsi="Times New Roman" w:cs="Times New Roman"/>
          <w:color w:val="FF0000"/>
          <w:sz w:val="24"/>
          <w:szCs w:val="24"/>
          <w:highlight w:val="none"/>
        </w:rPr>
      </w:pPr>
      <w:r>
        <w:rPr>
          <w:rFonts w:hint="default" w:ascii="Times New Roman" w:hAnsi="Times New Roman" w:cs="Times New Roman"/>
          <w:color w:val="FF0000"/>
          <w:sz w:val="24"/>
          <w:szCs w:val="24"/>
          <w:highlight w:val="none"/>
        </w:rPr>
        <w:t>《建设项目环境保护管理条例》（2017年10月1日）；</w:t>
      </w:r>
    </w:p>
    <w:p w14:paraId="2660536C">
      <w:pPr>
        <w:numPr>
          <w:ilvl w:val="0"/>
          <w:numId w:val="10"/>
        </w:numPr>
        <w:tabs>
          <w:tab w:val="left" w:pos="840"/>
          <w:tab w:val="clear" w:pos="0"/>
        </w:tabs>
        <w:spacing w:beforeLines="0" w:afterLines="0"/>
        <w:ind w:firstLineChars="0"/>
        <w:rPr>
          <w:rFonts w:hint="default" w:ascii="Times New Roman" w:hAnsi="Times New Roman" w:cs="Times New Roman"/>
          <w:color w:val="FF0000"/>
          <w:sz w:val="24"/>
          <w:szCs w:val="24"/>
          <w:highlight w:val="none"/>
        </w:rPr>
      </w:pPr>
      <w:r>
        <w:rPr>
          <w:rFonts w:hint="default" w:ascii="Times New Roman" w:hAnsi="Times New Roman" w:cs="Times New Roman"/>
          <w:color w:val="FF0000"/>
          <w:sz w:val="24"/>
          <w:szCs w:val="24"/>
          <w:highlight w:val="none"/>
        </w:rPr>
        <w:t>《建设项目环境影响评价分类管理名录》（环境保护部令第16号，2021年1月1日）；</w:t>
      </w:r>
    </w:p>
    <w:p w14:paraId="5003A59C">
      <w:pPr>
        <w:numPr>
          <w:ilvl w:val="0"/>
          <w:numId w:val="10"/>
        </w:numPr>
        <w:tabs>
          <w:tab w:val="left" w:pos="840"/>
          <w:tab w:val="clear" w:pos="0"/>
        </w:tabs>
        <w:spacing w:beforeLines="0" w:afterLines="0"/>
        <w:ind w:firstLineChars="0"/>
        <w:rPr>
          <w:rFonts w:hint="default" w:ascii="Times New Roman" w:hAnsi="Times New Roman" w:cs="Times New Roman"/>
          <w:color w:val="FF0000"/>
          <w:sz w:val="24"/>
          <w:szCs w:val="24"/>
          <w:highlight w:val="none"/>
        </w:rPr>
      </w:pPr>
      <w:r>
        <w:rPr>
          <w:rFonts w:hint="default" w:ascii="Times New Roman" w:hAnsi="Times New Roman" w:cs="Times New Roman"/>
          <w:color w:val="FF0000"/>
          <w:sz w:val="24"/>
          <w:szCs w:val="24"/>
          <w:highlight w:val="none"/>
        </w:rPr>
        <w:t>《产业结构调整指导目录（20</w:t>
      </w:r>
      <w:r>
        <w:rPr>
          <w:rFonts w:hint="default" w:ascii="Times New Roman" w:hAnsi="Times New Roman" w:cs="Times New Roman"/>
          <w:color w:val="FF0000"/>
          <w:sz w:val="24"/>
          <w:szCs w:val="24"/>
          <w:highlight w:val="none"/>
          <w:lang w:val="en-US" w:eastAsia="zh-CN"/>
        </w:rPr>
        <w:t>24年本</w:t>
      </w:r>
      <w:r>
        <w:rPr>
          <w:rFonts w:hint="default" w:ascii="Times New Roman" w:hAnsi="Times New Roman" w:cs="Times New Roman"/>
          <w:color w:val="FF0000"/>
          <w:sz w:val="24"/>
          <w:szCs w:val="24"/>
          <w:highlight w:val="none"/>
        </w:rPr>
        <w:t>）》（中华人民共和国国家发展和改革委员会令第</w:t>
      </w:r>
      <w:r>
        <w:rPr>
          <w:rFonts w:hint="default" w:ascii="Times New Roman" w:hAnsi="Times New Roman" w:cs="Times New Roman"/>
          <w:color w:val="FF0000"/>
          <w:sz w:val="24"/>
          <w:szCs w:val="24"/>
          <w:highlight w:val="none"/>
          <w:lang w:val="en-US" w:eastAsia="zh-CN"/>
        </w:rPr>
        <w:t>7</w:t>
      </w:r>
      <w:r>
        <w:rPr>
          <w:rFonts w:hint="default" w:ascii="Times New Roman" w:hAnsi="Times New Roman" w:cs="Times New Roman"/>
          <w:color w:val="FF0000"/>
          <w:sz w:val="24"/>
          <w:szCs w:val="24"/>
          <w:highlight w:val="none"/>
        </w:rPr>
        <w:t>号，202</w:t>
      </w:r>
      <w:r>
        <w:rPr>
          <w:rFonts w:hint="default" w:ascii="Times New Roman" w:hAnsi="Times New Roman" w:cs="Times New Roman"/>
          <w:color w:val="FF0000"/>
          <w:sz w:val="24"/>
          <w:szCs w:val="24"/>
          <w:highlight w:val="none"/>
          <w:lang w:val="en-US" w:eastAsia="zh-CN"/>
        </w:rPr>
        <w:t>3</w:t>
      </w:r>
      <w:r>
        <w:rPr>
          <w:rFonts w:hint="default" w:ascii="Times New Roman" w:hAnsi="Times New Roman" w:cs="Times New Roman"/>
          <w:color w:val="FF0000"/>
          <w:sz w:val="24"/>
          <w:szCs w:val="24"/>
          <w:highlight w:val="none"/>
        </w:rPr>
        <w:t>年12月</w:t>
      </w:r>
      <w:r>
        <w:rPr>
          <w:rFonts w:hint="default" w:ascii="Times New Roman" w:hAnsi="Times New Roman" w:cs="Times New Roman"/>
          <w:color w:val="FF0000"/>
          <w:sz w:val="24"/>
          <w:szCs w:val="24"/>
          <w:highlight w:val="none"/>
          <w:lang w:val="en-US" w:eastAsia="zh-CN"/>
        </w:rPr>
        <w:t>27</w:t>
      </w:r>
      <w:r>
        <w:rPr>
          <w:rFonts w:hint="default" w:ascii="Times New Roman" w:hAnsi="Times New Roman" w:cs="Times New Roman"/>
          <w:color w:val="FF0000"/>
          <w:sz w:val="24"/>
          <w:szCs w:val="24"/>
          <w:highlight w:val="none"/>
        </w:rPr>
        <w:t>日）；</w:t>
      </w:r>
    </w:p>
    <w:p w14:paraId="0BB20E32">
      <w:pPr>
        <w:numPr>
          <w:ilvl w:val="0"/>
          <w:numId w:val="10"/>
        </w:numPr>
        <w:tabs>
          <w:tab w:val="left" w:pos="840"/>
          <w:tab w:val="clear" w:pos="0"/>
        </w:tabs>
        <w:spacing w:beforeLines="0" w:afterLines="0"/>
        <w:ind w:firstLineChars="0"/>
        <w:rPr>
          <w:rFonts w:hint="default" w:ascii="Times New Roman" w:hAnsi="Times New Roman" w:cs="Times New Roman"/>
          <w:color w:val="FF0000"/>
          <w:sz w:val="24"/>
          <w:szCs w:val="24"/>
          <w:highlight w:val="none"/>
        </w:rPr>
      </w:pPr>
      <w:r>
        <w:rPr>
          <w:rFonts w:hint="default" w:ascii="Times New Roman" w:hAnsi="Times New Roman" w:cs="Times New Roman"/>
          <w:color w:val="FF0000"/>
          <w:sz w:val="24"/>
          <w:szCs w:val="24"/>
          <w:highlight w:val="none"/>
        </w:rPr>
        <w:t>中共中央办公厅国务院办公厅《关于划定并严守生态保护红线的若干意见》（2017年2月7日）；</w:t>
      </w:r>
    </w:p>
    <w:p w14:paraId="61227263">
      <w:pPr>
        <w:numPr>
          <w:ilvl w:val="0"/>
          <w:numId w:val="10"/>
        </w:numPr>
        <w:tabs>
          <w:tab w:val="left" w:pos="840"/>
          <w:tab w:val="clear" w:pos="0"/>
        </w:tabs>
        <w:spacing w:beforeLines="0" w:afterLines="0"/>
        <w:ind w:firstLineChars="0"/>
        <w:rPr>
          <w:rFonts w:hint="default" w:ascii="Times New Roman" w:hAnsi="Times New Roman" w:cs="Times New Roman"/>
          <w:color w:val="FF0000"/>
          <w:sz w:val="24"/>
          <w:szCs w:val="24"/>
          <w:highlight w:val="none"/>
        </w:rPr>
      </w:pPr>
      <w:r>
        <w:rPr>
          <w:rFonts w:hint="default" w:ascii="Times New Roman" w:hAnsi="Times New Roman" w:cs="Times New Roman"/>
          <w:color w:val="FF0000"/>
          <w:sz w:val="24"/>
          <w:szCs w:val="24"/>
          <w:highlight w:val="none"/>
        </w:rPr>
        <w:t>《国务院关于印发水污染防治行动计划的通知》（国发[2015]17号，2015年4月2日）；</w:t>
      </w:r>
    </w:p>
    <w:p w14:paraId="7FB78B26">
      <w:pPr>
        <w:numPr>
          <w:ilvl w:val="0"/>
          <w:numId w:val="10"/>
        </w:numPr>
        <w:tabs>
          <w:tab w:val="left" w:pos="840"/>
          <w:tab w:val="clear" w:pos="0"/>
        </w:tabs>
        <w:spacing w:beforeLines="0" w:afterLines="0"/>
        <w:ind w:firstLineChars="0"/>
        <w:rPr>
          <w:rFonts w:hint="default" w:ascii="Times New Roman" w:hAnsi="Times New Roman" w:cs="Times New Roman"/>
          <w:color w:val="FF0000"/>
          <w:sz w:val="24"/>
          <w:szCs w:val="24"/>
          <w:highlight w:val="none"/>
        </w:rPr>
      </w:pPr>
      <w:r>
        <w:rPr>
          <w:rFonts w:hint="default" w:ascii="Times New Roman" w:hAnsi="Times New Roman" w:cs="Times New Roman"/>
          <w:color w:val="FF0000"/>
          <w:sz w:val="24"/>
          <w:szCs w:val="24"/>
          <w:highlight w:val="none"/>
        </w:rPr>
        <w:t>《国务院关于印发土壤污染防治行动计划的通知》（国发〔2016〕31号，2016</w:t>
      </w:r>
      <w:r>
        <w:rPr>
          <w:rFonts w:hint="default" w:ascii="Times New Roman" w:hAnsi="Times New Roman" w:cs="Times New Roman"/>
          <w:color w:val="FF0000"/>
          <w:sz w:val="24"/>
          <w:szCs w:val="24"/>
          <w:highlight w:val="none"/>
          <w:lang w:val="en-US" w:eastAsia="zh-CN"/>
        </w:rPr>
        <w:t>年</w:t>
      </w:r>
      <w:r>
        <w:rPr>
          <w:rFonts w:hint="default" w:ascii="Times New Roman" w:hAnsi="Times New Roman" w:cs="Times New Roman"/>
          <w:color w:val="FF0000"/>
          <w:sz w:val="24"/>
          <w:szCs w:val="24"/>
          <w:highlight w:val="none"/>
        </w:rPr>
        <w:t>5月28日）；</w:t>
      </w:r>
    </w:p>
    <w:p w14:paraId="762B1DC2">
      <w:pPr>
        <w:numPr>
          <w:ilvl w:val="0"/>
          <w:numId w:val="10"/>
        </w:numPr>
        <w:tabs>
          <w:tab w:val="left" w:pos="840"/>
          <w:tab w:val="clear" w:pos="0"/>
        </w:tabs>
        <w:spacing w:beforeLines="0" w:afterLines="0"/>
        <w:ind w:firstLineChars="0"/>
        <w:rPr>
          <w:rFonts w:hint="default" w:ascii="Times New Roman" w:hAnsi="Times New Roman" w:cs="Times New Roman"/>
          <w:color w:val="FF0000"/>
          <w:sz w:val="24"/>
          <w:szCs w:val="24"/>
          <w:highlight w:val="none"/>
        </w:rPr>
      </w:pPr>
      <w:r>
        <w:rPr>
          <w:rFonts w:hint="default" w:ascii="Times New Roman" w:hAnsi="Times New Roman" w:cs="Times New Roman"/>
          <w:color w:val="FF0000"/>
          <w:sz w:val="24"/>
          <w:szCs w:val="24"/>
          <w:highlight w:val="none"/>
        </w:rPr>
        <w:t>《环境影响评价公众参与办法》（生态环境部令第4号，2019年1月1日）；</w:t>
      </w:r>
    </w:p>
    <w:p w14:paraId="62BAFFB4">
      <w:pPr>
        <w:numPr>
          <w:ilvl w:val="0"/>
          <w:numId w:val="10"/>
        </w:numPr>
        <w:tabs>
          <w:tab w:val="left" w:pos="840"/>
          <w:tab w:val="clear" w:pos="0"/>
        </w:tabs>
        <w:spacing w:beforeLines="0" w:afterLines="0"/>
        <w:ind w:firstLineChars="0"/>
        <w:rPr>
          <w:rFonts w:hint="default" w:ascii="Times New Roman" w:hAnsi="Times New Roman" w:cs="Times New Roman"/>
          <w:color w:val="FF0000"/>
          <w:sz w:val="24"/>
          <w:szCs w:val="24"/>
          <w:highlight w:val="none"/>
        </w:rPr>
      </w:pPr>
      <w:r>
        <w:rPr>
          <w:rFonts w:hint="default" w:ascii="Times New Roman" w:hAnsi="Times New Roman" w:cs="Times New Roman"/>
          <w:color w:val="FF0000"/>
          <w:sz w:val="24"/>
          <w:szCs w:val="24"/>
          <w:highlight w:val="none"/>
        </w:rPr>
        <w:t>《中华人民共和国野生植物保护条例》（国务院令第687号，2017年10月7日）；</w:t>
      </w:r>
    </w:p>
    <w:p w14:paraId="01B3F3CC">
      <w:pPr>
        <w:numPr>
          <w:ilvl w:val="0"/>
          <w:numId w:val="10"/>
        </w:numPr>
        <w:tabs>
          <w:tab w:val="left" w:pos="840"/>
          <w:tab w:val="clear" w:pos="0"/>
        </w:tabs>
        <w:spacing w:beforeLines="0" w:afterLines="0"/>
        <w:ind w:firstLineChars="0"/>
        <w:rPr>
          <w:rFonts w:hint="default" w:ascii="Times New Roman" w:hAnsi="Times New Roman" w:cs="Times New Roman"/>
          <w:color w:val="FF0000"/>
          <w:sz w:val="24"/>
          <w:szCs w:val="24"/>
          <w:highlight w:val="none"/>
        </w:rPr>
      </w:pPr>
      <w:r>
        <w:rPr>
          <w:rFonts w:hint="default" w:ascii="Times New Roman" w:hAnsi="Times New Roman" w:cs="Times New Roman"/>
          <w:color w:val="FF0000"/>
          <w:sz w:val="24"/>
          <w:szCs w:val="24"/>
          <w:highlight w:val="none"/>
        </w:rPr>
        <w:t>《突发环境事件应急管理办法》（环境保护部令第34号，2015年4月16</w:t>
      </w:r>
      <w:r>
        <w:rPr>
          <w:rFonts w:hint="default" w:ascii="Times New Roman" w:hAnsi="Times New Roman" w:cs="Times New Roman"/>
          <w:color w:val="FF0000"/>
          <w:sz w:val="24"/>
          <w:szCs w:val="24"/>
          <w:highlight w:val="none"/>
          <w:lang w:val="en-US" w:eastAsia="zh-CN"/>
        </w:rPr>
        <w:t>日</w:t>
      </w:r>
      <w:r>
        <w:rPr>
          <w:rFonts w:hint="default" w:ascii="Times New Roman" w:hAnsi="Times New Roman" w:cs="Times New Roman"/>
          <w:color w:val="FF0000"/>
          <w:sz w:val="24"/>
          <w:szCs w:val="24"/>
          <w:highlight w:val="none"/>
        </w:rPr>
        <w:t>）；</w:t>
      </w:r>
    </w:p>
    <w:p w14:paraId="4DD225A2">
      <w:pPr>
        <w:numPr>
          <w:ilvl w:val="0"/>
          <w:numId w:val="10"/>
        </w:numPr>
        <w:tabs>
          <w:tab w:val="left" w:pos="840"/>
          <w:tab w:val="clear" w:pos="0"/>
        </w:tabs>
        <w:spacing w:beforeLines="0" w:afterLines="0"/>
        <w:ind w:firstLineChars="0"/>
        <w:rPr>
          <w:rFonts w:hint="default" w:ascii="Times New Roman" w:hAnsi="Times New Roman" w:cs="Times New Roman"/>
          <w:color w:val="FF0000"/>
          <w:sz w:val="24"/>
          <w:szCs w:val="24"/>
          <w:highlight w:val="none"/>
        </w:rPr>
      </w:pPr>
      <w:r>
        <w:rPr>
          <w:rFonts w:hint="default" w:ascii="Times New Roman" w:hAnsi="Times New Roman" w:cs="Times New Roman"/>
          <w:color w:val="FF0000"/>
          <w:sz w:val="24"/>
          <w:szCs w:val="24"/>
          <w:highlight w:val="none"/>
        </w:rPr>
        <w:t>《关于切实加强风险防范严格环境影响评价管理的通知》（环发[2012]98号，2012年8月8日）；</w:t>
      </w:r>
    </w:p>
    <w:p w14:paraId="64952285">
      <w:pPr>
        <w:numPr>
          <w:ilvl w:val="0"/>
          <w:numId w:val="10"/>
        </w:numPr>
        <w:tabs>
          <w:tab w:val="left" w:pos="840"/>
          <w:tab w:val="clear" w:pos="0"/>
        </w:tabs>
        <w:spacing w:beforeLines="0" w:afterLines="0"/>
        <w:ind w:firstLineChars="0"/>
        <w:rPr>
          <w:rFonts w:hint="default" w:ascii="Times New Roman" w:hAnsi="Times New Roman" w:cs="Times New Roman"/>
          <w:color w:val="FF0000"/>
          <w:sz w:val="24"/>
          <w:szCs w:val="24"/>
          <w:highlight w:val="none"/>
        </w:rPr>
      </w:pPr>
      <w:r>
        <w:rPr>
          <w:rFonts w:hint="default" w:ascii="Times New Roman" w:hAnsi="Times New Roman" w:cs="Times New Roman"/>
          <w:color w:val="FF0000"/>
          <w:sz w:val="24"/>
          <w:szCs w:val="24"/>
          <w:highlight w:val="none"/>
        </w:rPr>
        <w:t>《非金属矿行业绿色矿山建设规范》（DZ/T 0312-2018）</w:t>
      </w:r>
      <w:r>
        <w:rPr>
          <w:rFonts w:hint="default" w:ascii="Times New Roman" w:hAnsi="Times New Roman" w:cs="Times New Roman"/>
          <w:color w:val="FF0000"/>
          <w:sz w:val="24"/>
          <w:szCs w:val="24"/>
          <w:highlight w:val="none"/>
          <w:lang w:eastAsia="zh-CN"/>
        </w:rPr>
        <w:t>；</w:t>
      </w:r>
    </w:p>
    <w:p w14:paraId="7DCB191F">
      <w:pPr>
        <w:numPr>
          <w:ilvl w:val="0"/>
          <w:numId w:val="10"/>
        </w:numPr>
        <w:tabs>
          <w:tab w:val="left" w:pos="840"/>
          <w:tab w:val="clear" w:pos="0"/>
        </w:tabs>
        <w:spacing w:beforeLines="0" w:afterLines="0"/>
        <w:ind w:firstLineChars="0"/>
        <w:rPr>
          <w:rFonts w:hint="default" w:ascii="Times New Roman" w:hAnsi="Times New Roman" w:cs="Times New Roman"/>
          <w:color w:val="FF0000"/>
          <w:sz w:val="24"/>
          <w:szCs w:val="24"/>
          <w:highlight w:val="none"/>
        </w:rPr>
      </w:pPr>
      <w:r>
        <w:rPr>
          <w:rFonts w:hint="default" w:ascii="Times New Roman" w:hAnsi="Times New Roman" w:cs="Times New Roman"/>
          <w:color w:val="FF0000"/>
          <w:sz w:val="24"/>
          <w:szCs w:val="24"/>
          <w:highlight w:val="none"/>
          <w:lang w:val="en-US" w:eastAsia="zh-CN"/>
        </w:rPr>
        <w:t>《关于进一步加强绿色矿山建设的通知》</w:t>
      </w:r>
      <w:r>
        <w:rPr>
          <w:rFonts w:hint="default" w:ascii="Times New Roman" w:hAnsi="Times New Roman" w:cs="Times New Roman"/>
          <w:color w:val="FF0000"/>
          <w:sz w:val="24"/>
          <w:szCs w:val="24"/>
          <w:highlight w:val="none"/>
        </w:rPr>
        <w:t>自然资规〔2024〕1号</w:t>
      </w:r>
      <w:r>
        <w:rPr>
          <w:rFonts w:hint="default" w:ascii="Times New Roman" w:hAnsi="Times New Roman" w:cs="Times New Roman"/>
          <w:color w:val="FF0000"/>
          <w:sz w:val="24"/>
          <w:szCs w:val="24"/>
          <w:highlight w:val="none"/>
          <w:lang w:val="en-US" w:eastAsia="zh-CN"/>
        </w:rPr>
        <w:t>（2024年4月）</w:t>
      </w:r>
    </w:p>
    <w:p w14:paraId="52ABECCE">
      <w:pPr>
        <w:pStyle w:val="4"/>
        <w:bidi w:val="0"/>
        <w:rPr>
          <w:rFonts w:hint="default"/>
          <w:color w:val="FF0000"/>
        </w:rPr>
      </w:pPr>
      <w:bookmarkStart w:id="63" w:name="2.1.3地方法规、文件"/>
      <w:bookmarkEnd w:id="63"/>
      <w:r>
        <w:rPr>
          <w:rFonts w:hint="default"/>
          <w:color w:val="FF0000"/>
        </w:rPr>
        <w:t>地方法规、文件</w:t>
      </w:r>
    </w:p>
    <w:p w14:paraId="536DA0F8">
      <w:pPr>
        <w:numPr>
          <w:ilvl w:val="0"/>
          <w:numId w:val="11"/>
        </w:numPr>
        <w:tabs>
          <w:tab w:val="left" w:pos="840"/>
          <w:tab w:val="clear" w:pos="0"/>
        </w:tabs>
        <w:spacing w:beforeLines="0" w:afterLines="0"/>
        <w:ind w:firstLineChars="0"/>
        <w:rPr>
          <w:rFonts w:hint="default" w:ascii="Times New Roman" w:hAnsi="Times New Roman" w:cs="Times New Roman"/>
          <w:color w:val="FF0000"/>
          <w:sz w:val="24"/>
          <w:szCs w:val="24"/>
          <w:highlight w:val="none"/>
          <w:lang w:val="en-US" w:eastAsia="zh-CN"/>
        </w:rPr>
      </w:pPr>
      <w:r>
        <w:rPr>
          <w:rFonts w:hint="default" w:ascii="Times New Roman" w:hAnsi="Times New Roman" w:cs="Times New Roman"/>
          <w:color w:val="FF0000"/>
          <w:sz w:val="24"/>
          <w:szCs w:val="24"/>
          <w:highlight w:val="none"/>
          <w:lang w:val="en-US" w:eastAsia="zh-CN"/>
        </w:rPr>
        <w:t>《新疆维吾尔自治区环境保护条例》（2018年9月21日修订）；</w:t>
      </w:r>
    </w:p>
    <w:p w14:paraId="1E87AB14">
      <w:pPr>
        <w:numPr>
          <w:ilvl w:val="0"/>
          <w:numId w:val="11"/>
        </w:numPr>
        <w:tabs>
          <w:tab w:val="left" w:pos="840"/>
          <w:tab w:val="clear" w:pos="0"/>
        </w:tabs>
        <w:spacing w:beforeLines="0" w:afterLines="0"/>
        <w:ind w:firstLineChars="0"/>
        <w:rPr>
          <w:rFonts w:hint="default" w:ascii="Times New Roman" w:hAnsi="Times New Roman" w:cs="Times New Roman"/>
          <w:color w:val="FF0000"/>
          <w:sz w:val="24"/>
          <w:szCs w:val="24"/>
          <w:highlight w:val="none"/>
          <w:lang w:val="en-US" w:eastAsia="zh-CN"/>
        </w:rPr>
      </w:pPr>
      <w:r>
        <w:rPr>
          <w:rFonts w:hint="default" w:ascii="Times New Roman" w:hAnsi="Times New Roman" w:cs="Times New Roman"/>
          <w:color w:val="FF0000"/>
          <w:sz w:val="24"/>
          <w:szCs w:val="24"/>
          <w:highlight w:val="none"/>
          <w:lang w:val="en-US" w:eastAsia="zh-CN"/>
        </w:rPr>
        <w:t>《新疆维吾尔自治区野生植物保护条例》（2018年9月21日）；</w:t>
      </w:r>
    </w:p>
    <w:p w14:paraId="5DB9510A">
      <w:pPr>
        <w:numPr>
          <w:ilvl w:val="0"/>
          <w:numId w:val="11"/>
        </w:numPr>
        <w:tabs>
          <w:tab w:val="left" w:pos="840"/>
          <w:tab w:val="clear" w:pos="0"/>
        </w:tabs>
        <w:spacing w:beforeLines="0" w:afterLines="0"/>
        <w:ind w:firstLineChars="0"/>
        <w:rPr>
          <w:rFonts w:hint="default" w:ascii="Times New Roman" w:hAnsi="Times New Roman" w:cs="Times New Roman"/>
          <w:color w:val="FF0000"/>
          <w:sz w:val="24"/>
          <w:szCs w:val="24"/>
          <w:highlight w:val="none"/>
          <w:lang w:val="en-US" w:eastAsia="zh-CN"/>
        </w:rPr>
      </w:pPr>
      <w:r>
        <w:rPr>
          <w:rFonts w:hint="default" w:ascii="Times New Roman" w:hAnsi="Times New Roman" w:cs="Times New Roman"/>
          <w:color w:val="FF0000"/>
          <w:sz w:val="24"/>
          <w:szCs w:val="24"/>
          <w:highlight w:val="none"/>
          <w:lang w:val="en-US" w:eastAsia="zh-CN"/>
        </w:rPr>
        <w:t>《新疆维吾尔自治区自然保护区管理条例》（2018年9月21日）；</w:t>
      </w:r>
    </w:p>
    <w:p w14:paraId="78F6855E">
      <w:pPr>
        <w:numPr>
          <w:ilvl w:val="0"/>
          <w:numId w:val="11"/>
        </w:numPr>
        <w:tabs>
          <w:tab w:val="left" w:pos="840"/>
          <w:tab w:val="clear" w:pos="0"/>
        </w:tabs>
        <w:spacing w:beforeLines="0" w:afterLines="0"/>
        <w:ind w:firstLineChars="0"/>
        <w:rPr>
          <w:rFonts w:hint="default" w:ascii="Times New Roman" w:hAnsi="Times New Roman" w:cs="Times New Roman"/>
          <w:color w:val="FF0000"/>
          <w:sz w:val="24"/>
          <w:szCs w:val="24"/>
          <w:highlight w:val="none"/>
          <w:lang w:val="en-US" w:eastAsia="zh-CN"/>
        </w:rPr>
      </w:pPr>
      <w:r>
        <w:rPr>
          <w:rFonts w:hint="default" w:ascii="Times New Roman" w:hAnsi="Times New Roman" w:cs="Times New Roman"/>
          <w:color w:val="FF0000"/>
          <w:sz w:val="24"/>
          <w:szCs w:val="24"/>
          <w:highlight w:val="none"/>
          <w:lang w:val="en-US" w:eastAsia="zh-CN"/>
        </w:rPr>
        <w:t>《新疆维吾尔自治区水环境功能区划》（新政函[2002]194号）；</w:t>
      </w:r>
    </w:p>
    <w:p w14:paraId="6131F58F">
      <w:pPr>
        <w:numPr>
          <w:ilvl w:val="0"/>
          <w:numId w:val="11"/>
        </w:numPr>
        <w:tabs>
          <w:tab w:val="left" w:pos="840"/>
          <w:tab w:val="clear" w:pos="0"/>
        </w:tabs>
        <w:spacing w:beforeLines="0" w:afterLines="0"/>
        <w:ind w:firstLineChars="0"/>
        <w:rPr>
          <w:rFonts w:hint="default" w:ascii="Times New Roman" w:hAnsi="Times New Roman" w:cs="Times New Roman"/>
          <w:color w:val="FF0000"/>
          <w:sz w:val="24"/>
          <w:szCs w:val="24"/>
          <w:highlight w:val="none"/>
          <w:lang w:val="en-US" w:eastAsia="zh-CN"/>
        </w:rPr>
      </w:pPr>
      <w:r>
        <w:rPr>
          <w:rFonts w:hint="default" w:ascii="Times New Roman" w:hAnsi="Times New Roman" w:cs="Times New Roman"/>
          <w:color w:val="FF0000"/>
          <w:sz w:val="24"/>
          <w:szCs w:val="24"/>
          <w:highlight w:val="none"/>
          <w:lang w:val="en-US" w:eastAsia="zh-CN"/>
        </w:rPr>
        <w:t>《新疆生态功能区划》（新政函[2005]96号，2005.07.14）；</w:t>
      </w:r>
    </w:p>
    <w:p w14:paraId="01900627">
      <w:pPr>
        <w:numPr>
          <w:ilvl w:val="0"/>
          <w:numId w:val="11"/>
        </w:numPr>
        <w:tabs>
          <w:tab w:val="left" w:pos="840"/>
          <w:tab w:val="clear" w:pos="0"/>
        </w:tabs>
        <w:spacing w:beforeLines="0" w:afterLines="0"/>
        <w:ind w:firstLineChars="0"/>
        <w:rPr>
          <w:rFonts w:hint="default" w:ascii="Times New Roman" w:hAnsi="Times New Roman" w:cs="Times New Roman"/>
          <w:color w:val="FF0000"/>
          <w:sz w:val="24"/>
          <w:szCs w:val="24"/>
          <w:highlight w:val="none"/>
          <w:lang w:val="en-US" w:eastAsia="zh-CN"/>
        </w:rPr>
      </w:pPr>
      <w:r>
        <w:rPr>
          <w:rFonts w:hint="default" w:ascii="Times New Roman" w:hAnsi="Times New Roman" w:cs="Times New Roman"/>
          <w:color w:val="FF0000"/>
          <w:sz w:val="24"/>
          <w:szCs w:val="24"/>
          <w:highlight w:val="none"/>
          <w:lang w:val="en-US" w:eastAsia="zh-CN"/>
        </w:rPr>
        <w:t>关于印发《新疆国家重点保护野生植物名录》的通知（新林护字〔2022〕8号）；</w:t>
      </w:r>
    </w:p>
    <w:p w14:paraId="4769B109">
      <w:pPr>
        <w:numPr>
          <w:ilvl w:val="0"/>
          <w:numId w:val="11"/>
        </w:numPr>
        <w:tabs>
          <w:tab w:val="left" w:pos="840"/>
          <w:tab w:val="clear" w:pos="0"/>
        </w:tabs>
        <w:spacing w:beforeLines="0" w:afterLines="0"/>
        <w:ind w:firstLineChars="0"/>
        <w:rPr>
          <w:rFonts w:hint="default" w:ascii="Times New Roman" w:hAnsi="Times New Roman" w:cs="Times New Roman"/>
          <w:color w:val="FF0000"/>
          <w:sz w:val="24"/>
          <w:szCs w:val="24"/>
          <w:highlight w:val="none"/>
          <w:lang w:val="en-US" w:eastAsia="zh-CN"/>
        </w:rPr>
      </w:pPr>
      <w:r>
        <w:rPr>
          <w:rFonts w:hint="default" w:ascii="Times New Roman" w:hAnsi="Times New Roman" w:cs="Times New Roman"/>
          <w:color w:val="FF0000"/>
          <w:sz w:val="24"/>
          <w:szCs w:val="24"/>
          <w:highlight w:val="none"/>
          <w:lang w:val="en-US" w:eastAsia="zh-CN"/>
        </w:rPr>
        <w:t>《关于发布新疆维吾尔自治区重点保护野生动物名录（修订）的通知》（新政发〔2022〕75号）；</w:t>
      </w:r>
    </w:p>
    <w:p w14:paraId="00321770">
      <w:pPr>
        <w:numPr>
          <w:ilvl w:val="0"/>
          <w:numId w:val="11"/>
        </w:numPr>
        <w:tabs>
          <w:tab w:val="left" w:pos="840"/>
          <w:tab w:val="clear" w:pos="0"/>
        </w:tabs>
        <w:spacing w:beforeLines="0" w:afterLines="0"/>
        <w:ind w:firstLineChars="0"/>
        <w:rPr>
          <w:rFonts w:hint="default" w:ascii="Times New Roman" w:hAnsi="Times New Roman" w:cs="Times New Roman"/>
          <w:color w:val="FF0000"/>
          <w:sz w:val="24"/>
          <w:szCs w:val="24"/>
          <w:highlight w:val="none"/>
          <w:lang w:val="en-US" w:eastAsia="zh-CN"/>
        </w:rPr>
      </w:pPr>
      <w:r>
        <w:rPr>
          <w:rFonts w:hint="default" w:ascii="Times New Roman" w:hAnsi="Times New Roman" w:cs="Times New Roman"/>
          <w:color w:val="FF0000"/>
          <w:sz w:val="24"/>
          <w:szCs w:val="24"/>
          <w:highlight w:val="none"/>
          <w:lang w:val="en-US" w:eastAsia="zh-CN"/>
        </w:rPr>
        <w:t>《关于印发新疆维吾尔自治区水污染防治工作方案的通知》（新政发[2016]21号）；</w:t>
      </w:r>
    </w:p>
    <w:p w14:paraId="07410BB1">
      <w:pPr>
        <w:numPr>
          <w:ilvl w:val="0"/>
          <w:numId w:val="11"/>
        </w:numPr>
        <w:tabs>
          <w:tab w:val="left" w:pos="840"/>
          <w:tab w:val="clear" w:pos="0"/>
        </w:tabs>
        <w:spacing w:beforeLines="0" w:afterLines="0"/>
        <w:ind w:firstLineChars="0"/>
        <w:rPr>
          <w:rFonts w:hint="default" w:ascii="Times New Roman" w:hAnsi="Times New Roman" w:cs="Times New Roman"/>
          <w:color w:val="FF0000"/>
          <w:sz w:val="24"/>
          <w:szCs w:val="24"/>
          <w:highlight w:val="none"/>
          <w:lang w:val="en-US" w:eastAsia="zh-CN"/>
        </w:rPr>
      </w:pPr>
      <w:r>
        <w:rPr>
          <w:rFonts w:hint="default" w:ascii="Times New Roman" w:hAnsi="Times New Roman" w:cs="Times New Roman"/>
          <w:color w:val="FF0000"/>
          <w:sz w:val="24"/>
          <w:szCs w:val="24"/>
          <w:highlight w:val="none"/>
          <w:lang w:val="en-US" w:eastAsia="zh-CN"/>
        </w:rPr>
        <w:t>《关于印发新疆维吾尔自治区土壤污染防治工作方案的通知》（新政发〔2017〕25号）；</w:t>
      </w:r>
    </w:p>
    <w:p w14:paraId="1C244CC1">
      <w:pPr>
        <w:numPr>
          <w:ilvl w:val="0"/>
          <w:numId w:val="11"/>
        </w:numPr>
        <w:tabs>
          <w:tab w:val="left" w:pos="840"/>
          <w:tab w:val="clear" w:pos="0"/>
        </w:tabs>
        <w:spacing w:beforeLines="0" w:afterLines="0"/>
        <w:ind w:firstLineChars="0"/>
        <w:rPr>
          <w:rFonts w:hint="default" w:ascii="Times New Roman" w:hAnsi="Times New Roman" w:cs="Times New Roman"/>
          <w:color w:val="FF0000"/>
          <w:sz w:val="24"/>
          <w:szCs w:val="24"/>
          <w:highlight w:val="none"/>
          <w:lang w:val="en-US" w:eastAsia="zh-CN"/>
        </w:rPr>
      </w:pPr>
      <w:r>
        <w:rPr>
          <w:rFonts w:hint="default" w:ascii="Times New Roman" w:hAnsi="Times New Roman" w:cs="Times New Roman"/>
          <w:color w:val="FF0000"/>
          <w:sz w:val="24"/>
          <w:szCs w:val="24"/>
          <w:highlight w:val="none"/>
          <w:lang w:val="en-US" w:eastAsia="zh-CN"/>
        </w:rPr>
        <w:t>《新疆维吾尔自治区重点行业生态环境准入条件（2024年）》（新环环评发〔2024〕93号，2024.06.11）；</w:t>
      </w:r>
    </w:p>
    <w:p w14:paraId="5C860DEC">
      <w:pPr>
        <w:numPr>
          <w:ilvl w:val="0"/>
          <w:numId w:val="11"/>
        </w:numPr>
        <w:tabs>
          <w:tab w:val="left" w:pos="840"/>
          <w:tab w:val="clear" w:pos="0"/>
        </w:tabs>
        <w:spacing w:beforeLines="0" w:afterLines="0"/>
        <w:ind w:firstLineChars="0"/>
        <w:rPr>
          <w:rFonts w:hint="default" w:ascii="Times New Roman" w:hAnsi="Times New Roman" w:cs="Times New Roman"/>
          <w:color w:val="FF0000"/>
          <w:sz w:val="24"/>
          <w:szCs w:val="24"/>
          <w:highlight w:val="none"/>
          <w:lang w:val="en-US" w:eastAsia="zh-CN"/>
        </w:rPr>
      </w:pPr>
      <w:r>
        <w:rPr>
          <w:rFonts w:hint="default" w:ascii="Times New Roman" w:hAnsi="Times New Roman" w:cs="Times New Roman"/>
          <w:color w:val="FF0000"/>
          <w:sz w:val="24"/>
          <w:szCs w:val="24"/>
          <w:highlight w:val="none"/>
          <w:lang w:val="en-US" w:eastAsia="zh-CN"/>
        </w:rPr>
        <w:t>《新疆自然资源“十四五”规划》（新疆维吾尔自治区自然资源厅，2022.03.16）；</w:t>
      </w:r>
    </w:p>
    <w:p w14:paraId="4F9B5351">
      <w:pPr>
        <w:numPr>
          <w:ilvl w:val="0"/>
          <w:numId w:val="11"/>
        </w:numPr>
        <w:tabs>
          <w:tab w:val="left" w:pos="840"/>
          <w:tab w:val="clear" w:pos="0"/>
        </w:tabs>
        <w:spacing w:beforeLines="0" w:afterLines="0"/>
        <w:ind w:firstLineChars="0"/>
        <w:rPr>
          <w:rFonts w:hint="default" w:ascii="Times New Roman" w:hAnsi="Times New Roman" w:cs="Times New Roman"/>
          <w:color w:val="FF0000"/>
          <w:sz w:val="24"/>
          <w:szCs w:val="24"/>
          <w:highlight w:val="none"/>
          <w:lang w:val="en-US" w:eastAsia="zh-CN"/>
        </w:rPr>
      </w:pPr>
      <w:r>
        <w:rPr>
          <w:rFonts w:hint="default" w:ascii="Times New Roman" w:hAnsi="Times New Roman" w:cs="Times New Roman"/>
          <w:color w:val="FF0000"/>
          <w:sz w:val="24"/>
          <w:szCs w:val="24"/>
          <w:highlight w:val="none"/>
          <w:lang w:val="en-US" w:eastAsia="zh-CN"/>
        </w:rPr>
        <w:t>《新疆生态环境保护“十四五”规划》（新疆维吾尔自治区党委、人民政府印发，2021.12.24）；</w:t>
      </w:r>
    </w:p>
    <w:p w14:paraId="40CB5B3D">
      <w:pPr>
        <w:numPr>
          <w:ilvl w:val="0"/>
          <w:numId w:val="11"/>
        </w:numPr>
        <w:tabs>
          <w:tab w:val="left" w:pos="840"/>
          <w:tab w:val="clear" w:pos="0"/>
        </w:tabs>
        <w:spacing w:beforeLines="0" w:afterLines="0"/>
        <w:ind w:firstLineChars="0"/>
        <w:rPr>
          <w:rFonts w:hint="default" w:ascii="Times New Roman" w:hAnsi="Times New Roman" w:cs="Times New Roman"/>
          <w:color w:val="FF0000"/>
          <w:sz w:val="24"/>
          <w:szCs w:val="24"/>
          <w:highlight w:val="none"/>
          <w:lang w:val="en-US" w:eastAsia="zh-CN"/>
        </w:rPr>
      </w:pPr>
      <w:r>
        <w:rPr>
          <w:rFonts w:hint="default" w:ascii="Times New Roman" w:hAnsi="Times New Roman" w:cs="Times New Roman"/>
          <w:color w:val="FF0000"/>
          <w:sz w:val="24"/>
          <w:szCs w:val="24"/>
          <w:highlight w:val="none"/>
          <w:lang w:val="en-US" w:eastAsia="zh-CN"/>
        </w:rPr>
        <w:t>《新疆维吾尔自治区大气污染防治条例》（13届人大第7次会议，2019.01.01）；</w:t>
      </w:r>
    </w:p>
    <w:p w14:paraId="0807E7E0">
      <w:pPr>
        <w:numPr>
          <w:ilvl w:val="0"/>
          <w:numId w:val="11"/>
        </w:numPr>
        <w:tabs>
          <w:tab w:val="left" w:pos="840"/>
          <w:tab w:val="clear" w:pos="0"/>
        </w:tabs>
        <w:spacing w:beforeLines="0" w:afterLines="0"/>
        <w:ind w:firstLineChars="0"/>
        <w:rPr>
          <w:rFonts w:hint="default" w:ascii="Times New Roman" w:hAnsi="Times New Roman" w:cs="Times New Roman"/>
          <w:color w:val="FF0000"/>
          <w:sz w:val="24"/>
          <w:szCs w:val="24"/>
          <w:highlight w:val="none"/>
          <w:lang w:val="en-US" w:eastAsia="zh-CN"/>
        </w:rPr>
      </w:pPr>
      <w:r>
        <w:rPr>
          <w:rFonts w:hint="default" w:ascii="Times New Roman" w:hAnsi="Times New Roman" w:cs="Times New Roman"/>
          <w:color w:val="FF0000"/>
          <w:sz w:val="24"/>
          <w:szCs w:val="24"/>
          <w:highlight w:val="none"/>
          <w:lang w:val="en-US" w:eastAsia="zh-CN"/>
        </w:rPr>
        <w:t>《关于印发新疆自治区级水土流失重点预防区和重点治理区复核划分成果的通知》（新水水保〔2019〕4号，2019.01.21）；</w:t>
      </w:r>
    </w:p>
    <w:p w14:paraId="144F6A90">
      <w:pPr>
        <w:numPr>
          <w:ilvl w:val="0"/>
          <w:numId w:val="11"/>
        </w:numPr>
        <w:tabs>
          <w:tab w:val="left" w:pos="840"/>
          <w:tab w:val="clear" w:pos="0"/>
        </w:tabs>
        <w:spacing w:beforeLines="0" w:afterLines="0"/>
        <w:ind w:firstLineChars="0"/>
        <w:rPr>
          <w:rFonts w:hint="default" w:ascii="Times New Roman" w:hAnsi="Times New Roman" w:cs="Times New Roman"/>
          <w:color w:val="FF0000"/>
          <w:sz w:val="24"/>
          <w:szCs w:val="24"/>
          <w:highlight w:val="none"/>
          <w:lang w:val="en-US" w:eastAsia="zh-CN"/>
        </w:rPr>
      </w:pPr>
      <w:r>
        <w:rPr>
          <w:rFonts w:hint="default" w:ascii="Times New Roman" w:hAnsi="Times New Roman" w:cs="Times New Roman"/>
          <w:color w:val="FF0000"/>
          <w:sz w:val="24"/>
          <w:szCs w:val="24"/>
          <w:highlight w:val="none"/>
          <w:lang w:val="en-US" w:eastAsia="zh-CN"/>
        </w:rPr>
        <w:t>《新疆维吾尔自治区国民经济和社会发展第十四个五年规划和2035年远景目标纲要》（2021.06.04）；</w:t>
      </w:r>
    </w:p>
    <w:p w14:paraId="0F9A7401">
      <w:pPr>
        <w:numPr>
          <w:ilvl w:val="0"/>
          <w:numId w:val="11"/>
        </w:numPr>
        <w:tabs>
          <w:tab w:val="left" w:pos="840"/>
          <w:tab w:val="clear" w:pos="0"/>
        </w:tabs>
        <w:spacing w:beforeLines="0" w:afterLines="0"/>
        <w:ind w:firstLineChars="0"/>
        <w:rPr>
          <w:rFonts w:hint="default" w:ascii="Times New Roman" w:hAnsi="Times New Roman" w:cs="Times New Roman"/>
          <w:color w:val="FF0000"/>
          <w:sz w:val="24"/>
          <w:szCs w:val="24"/>
          <w:highlight w:val="none"/>
          <w:lang w:val="en-US" w:eastAsia="zh-CN"/>
        </w:rPr>
      </w:pPr>
      <w:r>
        <w:rPr>
          <w:rFonts w:hint="default" w:ascii="Times New Roman" w:hAnsi="Times New Roman" w:cs="Times New Roman"/>
          <w:color w:val="FF0000"/>
          <w:sz w:val="24"/>
          <w:szCs w:val="24"/>
          <w:highlight w:val="none"/>
          <w:lang w:val="en-US" w:eastAsia="zh-CN"/>
        </w:rPr>
        <w:t>关于印发《新疆维吾尔自治区“三线一单”生态环境分区管控方案》的通知（新政发〔2021〕18号，2021.02.22）；</w:t>
      </w:r>
    </w:p>
    <w:p w14:paraId="5FC7A117">
      <w:pPr>
        <w:numPr>
          <w:ilvl w:val="0"/>
          <w:numId w:val="11"/>
        </w:numPr>
        <w:tabs>
          <w:tab w:val="left" w:pos="840"/>
          <w:tab w:val="clear" w:pos="0"/>
        </w:tabs>
        <w:spacing w:beforeLines="0" w:afterLines="0"/>
        <w:ind w:firstLineChars="0"/>
        <w:rPr>
          <w:rFonts w:hint="default" w:ascii="Times New Roman" w:hAnsi="Times New Roman" w:cs="Times New Roman"/>
          <w:color w:val="FF0000"/>
          <w:sz w:val="24"/>
          <w:szCs w:val="24"/>
          <w:highlight w:val="none"/>
          <w:lang w:val="en-US" w:eastAsia="zh-CN"/>
        </w:rPr>
      </w:pPr>
      <w:r>
        <w:rPr>
          <w:rFonts w:hint="default" w:ascii="Times New Roman" w:hAnsi="Times New Roman" w:cs="Times New Roman"/>
          <w:color w:val="FF0000"/>
          <w:sz w:val="24"/>
          <w:szCs w:val="24"/>
          <w:highlight w:val="none"/>
          <w:lang w:val="en-US" w:eastAsia="zh-CN"/>
        </w:rPr>
        <w:t>关于印发《新疆维吾尔自治区生态环境分区管控动态更新成果》的通知（新环环评发〔2024]157号），2024年11月15日；</w:t>
      </w:r>
    </w:p>
    <w:p w14:paraId="5BDDDAE5">
      <w:pPr>
        <w:numPr>
          <w:ilvl w:val="0"/>
          <w:numId w:val="11"/>
        </w:numPr>
        <w:tabs>
          <w:tab w:val="left" w:pos="840"/>
          <w:tab w:val="clear" w:pos="0"/>
        </w:tabs>
        <w:spacing w:beforeLines="0" w:afterLines="0"/>
        <w:ind w:firstLineChars="0"/>
        <w:rPr>
          <w:rFonts w:hint="default" w:ascii="Times New Roman" w:hAnsi="Times New Roman" w:cs="Times New Roman"/>
          <w:color w:val="FF0000"/>
          <w:sz w:val="24"/>
          <w:szCs w:val="24"/>
          <w:highlight w:val="none"/>
          <w:lang w:val="en-US" w:eastAsia="zh-CN"/>
        </w:rPr>
      </w:pPr>
      <w:r>
        <w:rPr>
          <w:rFonts w:hint="default" w:ascii="Times New Roman" w:hAnsi="Times New Roman" w:cs="Times New Roman"/>
          <w:color w:val="FF0000"/>
          <w:sz w:val="24"/>
          <w:szCs w:val="24"/>
          <w:highlight w:val="none"/>
          <w:lang w:val="en-US" w:eastAsia="zh-CN"/>
        </w:rPr>
        <w:t>（关于印发《新疆维吾尔自治区七大片区“三线一单”生态环境分区管控要求》（2021年版）的通知（新环环评发〔2021〕162号，2021.07.26）；</w:t>
      </w:r>
    </w:p>
    <w:p w14:paraId="04041F28">
      <w:pPr>
        <w:numPr>
          <w:ilvl w:val="0"/>
          <w:numId w:val="11"/>
        </w:numPr>
        <w:tabs>
          <w:tab w:val="left" w:pos="840"/>
          <w:tab w:val="clear" w:pos="0"/>
        </w:tabs>
        <w:spacing w:beforeLines="0" w:afterLines="0"/>
        <w:ind w:firstLineChars="0"/>
        <w:rPr>
          <w:rFonts w:hint="default" w:ascii="Times New Roman" w:hAnsi="Times New Roman" w:cs="Times New Roman"/>
          <w:color w:val="FF0000"/>
          <w:sz w:val="24"/>
          <w:szCs w:val="24"/>
          <w:highlight w:val="none"/>
          <w:lang w:val="en-US" w:eastAsia="zh-CN"/>
        </w:rPr>
      </w:pPr>
      <w:r>
        <w:rPr>
          <w:rFonts w:hint="default" w:ascii="Times New Roman" w:hAnsi="Times New Roman" w:cs="Times New Roman"/>
          <w:color w:val="FF0000"/>
          <w:sz w:val="24"/>
          <w:szCs w:val="24"/>
          <w:highlight w:val="none"/>
          <w:lang w:val="en-US" w:eastAsia="zh-CN"/>
        </w:rPr>
        <w:t>《昌吉回族自治州“三线一单”生态环境分区管控方案及生态环境准入清单》（昌州政办发〔2021〕41号）；</w:t>
      </w:r>
    </w:p>
    <w:p w14:paraId="41C0E080">
      <w:pPr>
        <w:numPr>
          <w:ilvl w:val="0"/>
          <w:numId w:val="11"/>
        </w:numPr>
        <w:tabs>
          <w:tab w:val="left" w:pos="840"/>
          <w:tab w:val="clear" w:pos="0"/>
        </w:tabs>
        <w:spacing w:beforeLines="0" w:afterLines="0"/>
        <w:ind w:firstLineChars="0"/>
        <w:rPr>
          <w:rFonts w:hint="default" w:ascii="Times New Roman" w:hAnsi="Times New Roman" w:cs="Times New Roman"/>
          <w:color w:val="FF0000"/>
          <w:sz w:val="24"/>
          <w:szCs w:val="24"/>
          <w:highlight w:val="none"/>
          <w:lang w:val="en-US" w:eastAsia="zh-CN"/>
        </w:rPr>
      </w:pPr>
      <w:r>
        <w:rPr>
          <w:rFonts w:hint="default" w:ascii="Times New Roman" w:hAnsi="Times New Roman" w:cs="Times New Roman"/>
          <w:color w:val="FF0000"/>
          <w:sz w:val="24"/>
          <w:szCs w:val="24"/>
          <w:highlight w:val="none"/>
          <w:lang w:val="en-US" w:eastAsia="zh-CN"/>
        </w:rPr>
        <w:t>《关于发布昌吉回族自治州生态环境分区管控动态更新成果的公告》,2025年1月10日。</w:t>
      </w:r>
    </w:p>
    <w:p w14:paraId="7C0D63A9">
      <w:pPr>
        <w:numPr>
          <w:ilvl w:val="0"/>
          <w:numId w:val="11"/>
        </w:numPr>
        <w:tabs>
          <w:tab w:val="left" w:pos="840"/>
          <w:tab w:val="clear" w:pos="0"/>
        </w:tabs>
        <w:spacing w:beforeLines="0" w:afterLines="0"/>
        <w:ind w:firstLineChars="0"/>
        <w:rPr>
          <w:rFonts w:hint="default" w:ascii="Times New Roman" w:hAnsi="Times New Roman" w:cs="Times New Roman"/>
          <w:color w:val="FF0000"/>
          <w:sz w:val="24"/>
          <w:szCs w:val="24"/>
          <w:highlight w:val="none"/>
          <w:lang w:val="en-US" w:eastAsia="zh-CN"/>
        </w:rPr>
      </w:pPr>
      <w:r>
        <w:rPr>
          <w:rFonts w:hint="default" w:ascii="Times New Roman" w:hAnsi="Times New Roman" w:cs="Times New Roman"/>
          <w:color w:val="FF0000"/>
          <w:sz w:val="24"/>
          <w:szCs w:val="24"/>
          <w:highlight w:val="none"/>
          <w:lang w:val="en-US" w:eastAsia="zh-CN"/>
        </w:rPr>
        <w:t>《新疆维吾尔自治区矿产资源总体规划》（2021-2025年）；</w:t>
      </w:r>
    </w:p>
    <w:p w14:paraId="3CF274B2">
      <w:pPr>
        <w:numPr>
          <w:ilvl w:val="0"/>
          <w:numId w:val="11"/>
        </w:numPr>
        <w:tabs>
          <w:tab w:val="left" w:pos="840"/>
          <w:tab w:val="clear" w:pos="0"/>
        </w:tabs>
        <w:spacing w:beforeLines="0" w:afterLines="0"/>
        <w:ind w:firstLineChars="0"/>
        <w:rPr>
          <w:rFonts w:hint="default" w:ascii="Times New Roman" w:hAnsi="Times New Roman" w:cs="Times New Roman"/>
          <w:color w:val="FF0000"/>
          <w:sz w:val="24"/>
          <w:szCs w:val="24"/>
          <w:highlight w:val="none"/>
          <w:lang w:val="en-US" w:eastAsia="zh-CN"/>
        </w:rPr>
      </w:pPr>
      <w:r>
        <w:rPr>
          <w:rFonts w:hint="default" w:ascii="Times New Roman" w:hAnsi="Times New Roman" w:cs="Times New Roman"/>
          <w:color w:val="FF0000"/>
          <w:sz w:val="24"/>
          <w:szCs w:val="24"/>
          <w:highlight w:val="none"/>
          <w:lang w:val="en-US" w:eastAsia="zh-CN"/>
        </w:rPr>
        <w:t>《新疆维吾尔自治区矿产资源总体规划》（2021-2025年）环境影响报告书；</w:t>
      </w:r>
    </w:p>
    <w:p w14:paraId="57C64EC5">
      <w:pPr>
        <w:numPr>
          <w:ilvl w:val="0"/>
          <w:numId w:val="11"/>
        </w:numPr>
        <w:tabs>
          <w:tab w:val="left" w:pos="840"/>
          <w:tab w:val="clear" w:pos="0"/>
        </w:tabs>
        <w:spacing w:beforeLines="0" w:afterLines="0"/>
        <w:ind w:firstLineChars="0"/>
        <w:rPr>
          <w:rFonts w:hint="default" w:ascii="Times New Roman" w:hAnsi="Times New Roman" w:cs="Times New Roman"/>
          <w:color w:val="FF0000"/>
          <w:sz w:val="24"/>
          <w:szCs w:val="24"/>
          <w:highlight w:val="none"/>
          <w:lang w:val="en-US" w:eastAsia="zh-CN"/>
        </w:rPr>
      </w:pPr>
      <w:r>
        <w:rPr>
          <w:rFonts w:hint="default" w:ascii="Times New Roman" w:hAnsi="Times New Roman" w:cs="Times New Roman"/>
          <w:color w:val="FF0000"/>
          <w:sz w:val="24"/>
          <w:szCs w:val="24"/>
          <w:highlight w:val="none"/>
          <w:lang w:val="en-US" w:eastAsia="zh-CN"/>
        </w:rPr>
        <w:t>《新疆维吾尔自治区矿产资源总体规划》（2021-2025年）环境影响报告书审查意见（环审【2022】124号）；</w:t>
      </w:r>
    </w:p>
    <w:p w14:paraId="323B462D">
      <w:pPr>
        <w:numPr>
          <w:ilvl w:val="0"/>
          <w:numId w:val="11"/>
        </w:numPr>
        <w:tabs>
          <w:tab w:val="left" w:pos="840"/>
          <w:tab w:val="clear" w:pos="0"/>
        </w:tabs>
        <w:spacing w:beforeLines="0" w:afterLines="0"/>
        <w:ind w:firstLineChars="0"/>
        <w:rPr>
          <w:rFonts w:hint="default" w:ascii="Times New Roman" w:hAnsi="Times New Roman" w:cs="Times New Roman"/>
          <w:color w:val="FF0000"/>
          <w:sz w:val="24"/>
          <w:szCs w:val="24"/>
          <w:highlight w:val="none"/>
          <w:lang w:val="en-US" w:eastAsia="zh-CN"/>
        </w:rPr>
      </w:pPr>
      <w:r>
        <w:rPr>
          <w:rFonts w:hint="default" w:ascii="Times New Roman" w:hAnsi="Times New Roman" w:cs="Times New Roman"/>
          <w:color w:val="FF0000"/>
          <w:sz w:val="24"/>
          <w:szCs w:val="24"/>
          <w:highlight w:val="none"/>
          <w:lang w:val="en-US" w:eastAsia="zh-CN"/>
        </w:rPr>
        <w:t>《新疆维吾尔自治区昌吉回族自治州矿产资源总体规划》（2021-2025）；</w:t>
      </w:r>
    </w:p>
    <w:p w14:paraId="747B1BD3">
      <w:pPr>
        <w:numPr>
          <w:ilvl w:val="0"/>
          <w:numId w:val="11"/>
        </w:numPr>
        <w:tabs>
          <w:tab w:val="left" w:pos="840"/>
          <w:tab w:val="clear" w:pos="0"/>
        </w:tabs>
        <w:spacing w:beforeLines="0" w:afterLines="0"/>
        <w:ind w:firstLineChars="0"/>
        <w:rPr>
          <w:rFonts w:hint="default" w:ascii="Times New Roman" w:hAnsi="Times New Roman" w:cs="Times New Roman"/>
          <w:color w:val="FF0000"/>
          <w:sz w:val="24"/>
          <w:szCs w:val="24"/>
          <w:highlight w:val="none"/>
          <w:lang w:val="en-US" w:eastAsia="zh-CN"/>
        </w:rPr>
      </w:pPr>
      <w:r>
        <w:rPr>
          <w:rFonts w:hint="default" w:ascii="Times New Roman" w:hAnsi="Times New Roman" w:cs="Times New Roman"/>
          <w:color w:val="FF0000"/>
          <w:sz w:val="24"/>
          <w:szCs w:val="24"/>
          <w:highlight w:val="none"/>
          <w:lang w:val="en-US" w:eastAsia="zh-CN"/>
        </w:rPr>
        <w:t>《新疆维吾尔自治区阜康市矿产资源总体规划》（2021-2025年）。</w:t>
      </w:r>
    </w:p>
    <w:p w14:paraId="11B20D38">
      <w:pPr>
        <w:pStyle w:val="4"/>
        <w:bidi w:val="0"/>
        <w:rPr>
          <w:rFonts w:hint="default"/>
          <w:color w:val="FF0000"/>
        </w:rPr>
      </w:pPr>
      <w:bookmarkStart w:id="64" w:name="2.1.4环保技术规范"/>
      <w:bookmarkEnd w:id="64"/>
      <w:r>
        <w:rPr>
          <w:rFonts w:hint="default"/>
          <w:color w:val="FF0000"/>
        </w:rPr>
        <w:t>环保技术规范</w:t>
      </w:r>
    </w:p>
    <w:p w14:paraId="2591CC27">
      <w:pPr>
        <w:numPr>
          <w:ilvl w:val="0"/>
          <w:numId w:val="12"/>
        </w:numPr>
        <w:tabs>
          <w:tab w:val="left" w:pos="840"/>
          <w:tab w:val="clear" w:pos="0"/>
        </w:tabs>
        <w:spacing w:beforeLines="0" w:afterLines="0"/>
        <w:ind w:firstLineChars="0"/>
        <w:rPr>
          <w:rFonts w:hint="default" w:ascii="Times New Roman" w:hAnsi="Times New Roman" w:cs="Times New Roman"/>
          <w:color w:val="FF0000"/>
          <w:sz w:val="24"/>
          <w:szCs w:val="24"/>
          <w:highlight w:val="none"/>
          <w:lang w:val="en-US" w:eastAsia="zh-CN"/>
        </w:rPr>
      </w:pPr>
      <w:r>
        <w:rPr>
          <w:rFonts w:hint="default" w:ascii="Times New Roman" w:hAnsi="Times New Roman" w:cs="Times New Roman"/>
          <w:color w:val="FF0000"/>
          <w:sz w:val="24"/>
          <w:szCs w:val="24"/>
          <w:highlight w:val="none"/>
          <w:lang w:val="en-US" w:eastAsia="zh-CN"/>
        </w:rPr>
        <w:t>《建设项目环境影响评价技术导则 总纲》（HJ2.1-2016）；</w:t>
      </w:r>
    </w:p>
    <w:p w14:paraId="1CBF805C">
      <w:pPr>
        <w:numPr>
          <w:ilvl w:val="0"/>
          <w:numId w:val="12"/>
        </w:numPr>
        <w:tabs>
          <w:tab w:val="left" w:pos="840"/>
          <w:tab w:val="clear" w:pos="0"/>
        </w:tabs>
        <w:spacing w:beforeLines="0" w:afterLines="0"/>
        <w:ind w:firstLineChars="0"/>
        <w:rPr>
          <w:rFonts w:hint="default" w:ascii="Times New Roman" w:hAnsi="Times New Roman" w:cs="Times New Roman"/>
          <w:color w:val="FF0000"/>
          <w:sz w:val="24"/>
          <w:szCs w:val="24"/>
          <w:highlight w:val="none"/>
          <w:lang w:val="en-US" w:eastAsia="zh-CN"/>
        </w:rPr>
      </w:pPr>
      <w:r>
        <w:rPr>
          <w:rFonts w:hint="default" w:ascii="Times New Roman" w:hAnsi="Times New Roman" w:cs="Times New Roman"/>
          <w:color w:val="FF0000"/>
          <w:sz w:val="24"/>
          <w:szCs w:val="24"/>
          <w:highlight w:val="none"/>
          <w:lang w:val="en-US" w:eastAsia="zh-CN"/>
        </w:rPr>
        <w:t>《环境影响评价技术导则 大气环境》（HJ2.2-2018）；</w:t>
      </w:r>
    </w:p>
    <w:p w14:paraId="0CEBEE3F">
      <w:pPr>
        <w:numPr>
          <w:ilvl w:val="0"/>
          <w:numId w:val="12"/>
        </w:numPr>
        <w:tabs>
          <w:tab w:val="left" w:pos="840"/>
          <w:tab w:val="clear" w:pos="0"/>
        </w:tabs>
        <w:spacing w:beforeLines="0" w:afterLines="0"/>
        <w:ind w:firstLineChars="0"/>
        <w:rPr>
          <w:rFonts w:hint="default" w:ascii="Times New Roman" w:hAnsi="Times New Roman" w:cs="Times New Roman"/>
          <w:color w:val="FF0000"/>
          <w:sz w:val="24"/>
          <w:szCs w:val="24"/>
          <w:highlight w:val="none"/>
          <w:lang w:val="en-US" w:eastAsia="zh-CN"/>
        </w:rPr>
      </w:pPr>
      <w:r>
        <w:rPr>
          <w:rFonts w:hint="default" w:ascii="Times New Roman" w:hAnsi="Times New Roman" w:cs="Times New Roman"/>
          <w:color w:val="FF0000"/>
          <w:sz w:val="24"/>
          <w:szCs w:val="24"/>
          <w:highlight w:val="none"/>
          <w:lang w:val="en-US" w:eastAsia="zh-CN"/>
        </w:rPr>
        <w:t>《环境影响评价技术导则 地表水环境》（HJ2.3-2018）；</w:t>
      </w:r>
    </w:p>
    <w:p w14:paraId="48E1C416">
      <w:pPr>
        <w:numPr>
          <w:ilvl w:val="0"/>
          <w:numId w:val="12"/>
        </w:numPr>
        <w:tabs>
          <w:tab w:val="left" w:pos="840"/>
          <w:tab w:val="clear" w:pos="0"/>
        </w:tabs>
        <w:spacing w:beforeLines="0" w:afterLines="0"/>
        <w:ind w:firstLineChars="0"/>
        <w:rPr>
          <w:rFonts w:hint="default" w:ascii="Times New Roman" w:hAnsi="Times New Roman" w:cs="Times New Roman"/>
          <w:color w:val="FF0000"/>
          <w:sz w:val="24"/>
          <w:szCs w:val="24"/>
          <w:highlight w:val="none"/>
          <w:lang w:val="en-US" w:eastAsia="zh-CN"/>
        </w:rPr>
      </w:pPr>
      <w:r>
        <w:rPr>
          <w:rFonts w:hint="default" w:ascii="Times New Roman" w:hAnsi="Times New Roman" w:cs="Times New Roman"/>
          <w:color w:val="FF0000"/>
          <w:sz w:val="24"/>
          <w:szCs w:val="24"/>
          <w:highlight w:val="none"/>
          <w:lang w:val="en-US" w:eastAsia="zh-CN"/>
        </w:rPr>
        <w:t>《环境影响评价技术导则 声环境》（HJ2.4-2021）；</w:t>
      </w:r>
    </w:p>
    <w:p w14:paraId="54C5D052">
      <w:pPr>
        <w:numPr>
          <w:ilvl w:val="0"/>
          <w:numId w:val="12"/>
        </w:numPr>
        <w:tabs>
          <w:tab w:val="left" w:pos="840"/>
          <w:tab w:val="clear" w:pos="0"/>
        </w:tabs>
        <w:spacing w:beforeLines="0" w:afterLines="0"/>
        <w:ind w:firstLineChars="0"/>
        <w:rPr>
          <w:rFonts w:hint="default" w:ascii="Times New Roman" w:hAnsi="Times New Roman" w:cs="Times New Roman"/>
          <w:color w:val="FF0000"/>
          <w:sz w:val="24"/>
          <w:szCs w:val="24"/>
          <w:highlight w:val="none"/>
          <w:lang w:val="en-US" w:eastAsia="zh-CN"/>
        </w:rPr>
      </w:pPr>
      <w:r>
        <w:rPr>
          <w:rFonts w:hint="default" w:ascii="Times New Roman" w:hAnsi="Times New Roman" w:cs="Times New Roman"/>
          <w:color w:val="FF0000"/>
          <w:sz w:val="24"/>
          <w:szCs w:val="24"/>
          <w:highlight w:val="none"/>
          <w:lang w:val="en-US" w:eastAsia="zh-CN"/>
        </w:rPr>
        <w:t>《环境影响评价技术导则 生态影响》（HJ19-2022）；</w:t>
      </w:r>
    </w:p>
    <w:p w14:paraId="53990999">
      <w:pPr>
        <w:numPr>
          <w:ilvl w:val="0"/>
          <w:numId w:val="12"/>
        </w:numPr>
        <w:tabs>
          <w:tab w:val="left" w:pos="840"/>
          <w:tab w:val="clear" w:pos="0"/>
        </w:tabs>
        <w:spacing w:beforeLines="0" w:afterLines="0"/>
        <w:ind w:firstLineChars="0"/>
        <w:rPr>
          <w:rFonts w:hint="default" w:ascii="Times New Roman" w:hAnsi="Times New Roman" w:cs="Times New Roman"/>
          <w:color w:val="FF0000"/>
          <w:sz w:val="24"/>
          <w:szCs w:val="24"/>
          <w:highlight w:val="none"/>
          <w:lang w:val="en-US" w:eastAsia="zh-CN"/>
        </w:rPr>
      </w:pPr>
      <w:r>
        <w:rPr>
          <w:rFonts w:hint="default" w:ascii="Times New Roman" w:hAnsi="Times New Roman" w:cs="Times New Roman"/>
          <w:color w:val="FF0000"/>
          <w:sz w:val="24"/>
          <w:szCs w:val="24"/>
          <w:highlight w:val="none"/>
          <w:lang w:val="en-US" w:eastAsia="zh-CN"/>
        </w:rPr>
        <w:t>《环境影响评价技术导则</w:t>
      </w:r>
      <w:r>
        <w:rPr>
          <w:rFonts w:hint="default" w:ascii="Times New Roman" w:hAnsi="Times New Roman" w:cs="Times New Roman"/>
          <w:color w:val="FF0000"/>
          <w:sz w:val="24"/>
          <w:szCs w:val="24"/>
          <w:highlight w:val="none"/>
          <w:lang w:val="en-US" w:eastAsia="zh-CN"/>
        </w:rPr>
        <w:tab/>
      </w:r>
      <w:r>
        <w:rPr>
          <w:rFonts w:hint="default" w:ascii="Times New Roman" w:hAnsi="Times New Roman" w:cs="Times New Roman"/>
          <w:color w:val="FF0000"/>
          <w:sz w:val="24"/>
          <w:szCs w:val="24"/>
          <w:highlight w:val="none"/>
          <w:lang w:val="en-US" w:eastAsia="zh-CN"/>
        </w:rPr>
        <w:t>地下水环境》（HJ610-2016）；</w:t>
      </w:r>
    </w:p>
    <w:p w14:paraId="3C0998E1">
      <w:pPr>
        <w:numPr>
          <w:ilvl w:val="0"/>
          <w:numId w:val="12"/>
        </w:numPr>
        <w:tabs>
          <w:tab w:val="left" w:pos="840"/>
          <w:tab w:val="clear" w:pos="0"/>
        </w:tabs>
        <w:spacing w:beforeLines="0" w:afterLines="0"/>
        <w:ind w:firstLineChars="0"/>
        <w:rPr>
          <w:rFonts w:hint="default" w:ascii="Times New Roman" w:hAnsi="Times New Roman" w:cs="Times New Roman"/>
          <w:color w:val="FF0000"/>
          <w:sz w:val="24"/>
          <w:szCs w:val="24"/>
          <w:highlight w:val="none"/>
          <w:lang w:val="en-US" w:eastAsia="zh-CN"/>
        </w:rPr>
      </w:pPr>
      <w:r>
        <w:rPr>
          <w:rFonts w:hint="default" w:ascii="Times New Roman" w:hAnsi="Times New Roman" w:cs="Times New Roman"/>
          <w:color w:val="FF0000"/>
          <w:sz w:val="24"/>
          <w:szCs w:val="24"/>
          <w:highlight w:val="none"/>
          <w:lang w:val="en-US" w:eastAsia="zh-CN"/>
        </w:rPr>
        <w:t>《环境影响评价技术导则</w:t>
      </w:r>
      <w:r>
        <w:rPr>
          <w:rFonts w:hint="default" w:ascii="Times New Roman" w:hAnsi="Times New Roman" w:cs="Times New Roman"/>
          <w:color w:val="FF0000"/>
          <w:sz w:val="24"/>
          <w:szCs w:val="24"/>
          <w:highlight w:val="none"/>
          <w:lang w:val="en-US" w:eastAsia="zh-CN"/>
        </w:rPr>
        <w:tab/>
      </w:r>
      <w:r>
        <w:rPr>
          <w:rFonts w:hint="default" w:ascii="Times New Roman" w:hAnsi="Times New Roman" w:cs="Times New Roman"/>
          <w:color w:val="FF0000"/>
          <w:sz w:val="24"/>
          <w:szCs w:val="24"/>
          <w:highlight w:val="none"/>
          <w:lang w:val="en-US" w:eastAsia="zh-CN"/>
        </w:rPr>
        <w:t>土壤环境（试行）》（HJ964-2018）；</w:t>
      </w:r>
    </w:p>
    <w:p w14:paraId="608A1E6C">
      <w:pPr>
        <w:numPr>
          <w:ilvl w:val="0"/>
          <w:numId w:val="12"/>
        </w:numPr>
        <w:tabs>
          <w:tab w:val="left" w:pos="840"/>
          <w:tab w:val="clear" w:pos="0"/>
        </w:tabs>
        <w:spacing w:beforeLines="0" w:afterLines="0"/>
        <w:ind w:firstLineChars="0"/>
        <w:rPr>
          <w:rFonts w:hint="default" w:ascii="Times New Roman" w:hAnsi="Times New Roman" w:cs="Times New Roman"/>
          <w:color w:val="FF0000"/>
          <w:sz w:val="24"/>
          <w:szCs w:val="24"/>
          <w:highlight w:val="none"/>
          <w:lang w:val="en-US" w:eastAsia="zh-CN"/>
        </w:rPr>
      </w:pPr>
      <w:r>
        <w:rPr>
          <w:rFonts w:hint="default" w:ascii="Times New Roman" w:hAnsi="Times New Roman" w:cs="Times New Roman"/>
          <w:color w:val="FF0000"/>
          <w:sz w:val="24"/>
          <w:szCs w:val="24"/>
          <w:highlight w:val="none"/>
          <w:lang w:val="en-US" w:eastAsia="zh-CN"/>
        </w:rPr>
        <w:t>《生态环境状况评价技术规范》（HJ192-2015）；</w:t>
      </w:r>
    </w:p>
    <w:p w14:paraId="29F1B82F">
      <w:pPr>
        <w:numPr>
          <w:ilvl w:val="0"/>
          <w:numId w:val="12"/>
        </w:numPr>
        <w:tabs>
          <w:tab w:val="left" w:pos="840"/>
          <w:tab w:val="clear" w:pos="0"/>
        </w:tabs>
        <w:spacing w:beforeLines="0" w:afterLines="0"/>
        <w:ind w:firstLineChars="0"/>
        <w:rPr>
          <w:rFonts w:hint="default" w:ascii="Times New Roman" w:hAnsi="Times New Roman" w:cs="Times New Roman"/>
          <w:color w:val="FF0000"/>
          <w:sz w:val="24"/>
          <w:szCs w:val="24"/>
          <w:highlight w:val="none"/>
          <w:lang w:val="en-US" w:eastAsia="zh-CN"/>
        </w:rPr>
      </w:pPr>
      <w:r>
        <w:rPr>
          <w:rFonts w:hint="default" w:ascii="Times New Roman" w:hAnsi="Times New Roman" w:cs="Times New Roman"/>
          <w:color w:val="FF0000"/>
          <w:sz w:val="24"/>
          <w:szCs w:val="24"/>
          <w:highlight w:val="none"/>
          <w:lang w:val="en-US" w:eastAsia="zh-CN"/>
        </w:rPr>
        <w:t>《建设项目环境风险评价技术导则》（HJ169-2018）；</w:t>
      </w:r>
    </w:p>
    <w:p w14:paraId="2ABA9651">
      <w:pPr>
        <w:numPr>
          <w:ilvl w:val="0"/>
          <w:numId w:val="12"/>
        </w:numPr>
        <w:tabs>
          <w:tab w:val="left" w:pos="840"/>
          <w:tab w:val="clear" w:pos="0"/>
        </w:tabs>
        <w:spacing w:beforeLines="0" w:afterLines="0"/>
        <w:ind w:firstLineChar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《生产建设项目水土保持技术标准》（GB50433-2018）；</w:t>
      </w:r>
    </w:p>
    <w:p w14:paraId="634B8543">
      <w:pPr>
        <w:numPr>
          <w:ilvl w:val="0"/>
          <w:numId w:val="12"/>
        </w:numPr>
        <w:tabs>
          <w:tab w:val="left" w:pos="840"/>
          <w:tab w:val="clear" w:pos="0"/>
        </w:tabs>
        <w:spacing w:beforeLines="0" w:afterLines="0"/>
        <w:ind w:firstLineChar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《生产建设项目水土流失防治标准》（GB/T50434-2018）；</w:t>
      </w:r>
    </w:p>
    <w:p w14:paraId="4711AD4C">
      <w:pPr>
        <w:numPr>
          <w:ilvl w:val="0"/>
          <w:numId w:val="12"/>
        </w:numPr>
        <w:tabs>
          <w:tab w:val="left" w:pos="840"/>
          <w:tab w:val="clear" w:pos="0"/>
        </w:tabs>
        <w:spacing w:beforeLines="0" w:afterLines="0"/>
        <w:ind w:firstLineChar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《土地复垦质量控制标准》（TD/T1036-2013）；</w:t>
      </w:r>
    </w:p>
    <w:p w14:paraId="71EBFF0B">
      <w:pPr>
        <w:numPr>
          <w:ilvl w:val="0"/>
          <w:numId w:val="12"/>
        </w:numPr>
        <w:tabs>
          <w:tab w:val="left" w:pos="840"/>
          <w:tab w:val="clear" w:pos="0"/>
        </w:tabs>
        <w:spacing w:beforeLines="0" w:afterLines="0"/>
        <w:ind w:firstLineChar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fldChar w:fldCharType="begin"/>
      </w:r>
      <w:r>
        <w:rPr>
          <w:rFonts w:hint="default" w:ascii="Times New Roman" w:hAnsi="Times New Roman" w:cs="Times New Roman"/>
          <w:color w:val="auto"/>
          <w:sz w:val="24"/>
          <w:szCs w:val="24"/>
          <w:highlight w:val="none"/>
          <w:lang w:val="en-US" w:eastAsia="zh-CN"/>
        </w:rPr>
        <w:instrText xml:space="preserve"> HYPERLINK "http://kjs.mep.gov.cn/hjbhbz/bzwb/other/qt/201307/t20130729_256496.htm" </w:instrText>
      </w:r>
      <w:r>
        <w:rPr>
          <w:rFonts w:hint="default" w:ascii="Times New Roman" w:hAnsi="Times New Roman" w:cs="Times New Roman"/>
          <w:color w:val="auto"/>
          <w:sz w:val="24"/>
          <w:szCs w:val="24"/>
          <w:highlight w:val="none"/>
          <w:lang w:val="en-US" w:eastAsia="zh-CN"/>
        </w:rPr>
        <w:fldChar w:fldCharType="separate"/>
      </w:r>
      <w:r>
        <w:rPr>
          <w:rFonts w:hint="default" w:ascii="Times New Roman" w:hAnsi="Times New Roman" w:cs="Times New Roman"/>
          <w:color w:val="auto"/>
          <w:sz w:val="24"/>
          <w:szCs w:val="24"/>
          <w:highlight w:val="none"/>
          <w:lang w:val="en-US" w:eastAsia="zh-CN"/>
        </w:rPr>
        <w:t>《矿山生态环境保护与恢复治理技术规范(试行)</w:t>
      </w:r>
      <w:r>
        <w:rPr>
          <w:rFonts w:hint="default" w:ascii="Times New Roman" w:hAnsi="Times New Roman" w:cs="Times New Roman"/>
          <w:color w:val="auto"/>
          <w:sz w:val="24"/>
          <w:szCs w:val="24"/>
          <w:highlight w:val="none"/>
          <w:lang w:val="en-US" w:eastAsia="zh-CN"/>
        </w:rPr>
        <w:fldChar w:fldCharType="end"/>
      </w:r>
      <w:r>
        <w:rPr>
          <w:rFonts w:hint="default" w:ascii="Times New Roman" w:hAnsi="Times New Roman" w:cs="Times New Roman"/>
          <w:color w:val="auto"/>
          <w:sz w:val="24"/>
          <w:szCs w:val="24"/>
          <w:highlight w:val="none"/>
          <w:lang w:val="en-US" w:eastAsia="zh-CN"/>
        </w:rPr>
        <w:t>》（HJ651-2013）；</w:t>
      </w:r>
    </w:p>
    <w:p w14:paraId="0C10658E">
      <w:pPr>
        <w:pStyle w:val="4"/>
        <w:bidi w:val="0"/>
        <w:rPr>
          <w:rFonts w:hint="default"/>
        </w:rPr>
      </w:pPr>
      <w:bookmarkStart w:id="65" w:name="2.1.5项目有关文件、资料"/>
      <w:bookmarkEnd w:id="65"/>
      <w:r>
        <w:rPr>
          <w:rFonts w:hint="default"/>
        </w:rPr>
        <w:t>项目有关文件、资料</w:t>
      </w:r>
    </w:p>
    <w:p w14:paraId="37C6008C">
      <w:pPr>
        <w:numPr>
          <w:ilvl w:val="0"/>
          <w:numId w:val="13"/>
        </w:numPr>
        <w:tabs>
          <w:tab w:val="left" w:pos="840"/>
          <w:tab w:val="clear" w:pos="0"/>
        </w:tabs>
        <w:spacing w:beforeLines="0" w:afterLines="0"/>
        <w:ind w:firstLineChar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《新疆采虹矿业投资有限公司新疆阜康市北部沙漠天然石英砂矿（压裂用）外围矿产资源开发利用与生态保护修复方案》（2024年12月）；</w:t>
      </w:r>
    </w:p>
    <w:p w14:paraId="2349712F">
      <w:pPr>
        <w:numPr>
          <w:ilvl w:val="0"/>
          <w:numId w:val="13"/>
        </w:numPr>
        <w:tabs>
          <w:tab w:val="left" w:pos="840"/>
          <w:tab w:val="clear" w:pos="0"/>
        </w:tabs>
        <w:spacing w:beforeLines="0" w:afterLines="0"/>
        <w:ind w:firstLineChar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《新疆采虹矿业投资有限公司新疆阜康市北部沙漠天然石英砂矿（压裂用）外围矿产资源开发利用与生态保护修复方案》评审意见书（昌州审〔2025〕45号，2025.2.24）；</w:t>
      </w:r>
    </w:p>
    <w:p w14:paraId="34FCDBBE">
      <w:pPr>
        <w:numPr>
          <w:ilvl w:val="0"/>
          <w:numId w:val="13"/>
        </w:numPr>
        <w:tabs>
          <w:tab w:val="left" w:pos="840"/>
          <w:tab w:val="clear" w:pos="0"/>
        </w:tabs>
        <w:spacing w:beforeLines="0" w:afterLines="0"/>
        <w:ind w:firstLineChar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《新疆阜康市北部沙漠天然石英砂矿</w:t>
      </w:r>
      <w:bookmarkStart w:id="66" w:name="_Toc469322125"/>
      <w:r>
        <w:rPr>
          <w:rFonts w:hint="default" w:ascii="Times New Roman" w:hAnsi="Times New Roman" w:cs="Times New Roman"/>
          <w:color w:val="auto"/>
          <w:sz w:val="24"/>
          <w:szCs w:val="24"/>
          <w:highlight w:val="none"/>
          <w:lang w:val="en-US" w:eastAsia="zh-CN"/>
        </w:rPr>
        <w:t>》（压裂用）</w:t>
      </w:r>
      <w:bookmarkEnd w:id="66"/>
      <w:r>
        <w:rPr>
          <w:rFonts w:hint="default" w:ascii="Times New Roman" w:hAnsi="Times New Roman" w:cs="Times New Roman"/>
          <w:color w:val="auto"/>
          <w:sz w:val="24"/>
          <w:szCs w:val="24"/>
          <w:highlight w:val="none"/>
          <w:lang w:val="en-US" w:eastAsia="zh-CN"/>
        </w:rPr>
        <w:t>外围详查报告，2024.8）。</w:t>
      </w:r>
    </w:p>
    <w:p w14:paraId="61B03FCA">
      <w:pPr>
        <w:numPr>
          <w:ilvl w:val="0"/>
          <w:numId w:val="13"/>
        </w:numPr>
        <w:tabs>
          <w:tab w:val="left" w:pos="840"/>
          <w:tab w:val="clear" w:pos="0"/>
        </w:tabs>
        <w:spacing w:beforeLines="0" w:afterLines="0"/>
        <w:ind w:firstLineChar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《新疆采虹矿业投资有限公司新疆阜康市北部沙漠天然石英砂矿（压裂用）采矿许可证》（证书编号：C6523002025067110158535）。</w:t>
      </w:r>
    </w:p>
    <w:p w14:paraId="53B3A541">
      <w:pPr>
        <w:pStyle w:val="3"/>
        <w:bidi w:val="0"/>
        <w:rPr>
          <w:rFonts w:hint="default"/>
        </w:rPr>
      </w:pPr>
      <w:bookmarkStart w:id="67" w:name="bookmark9"/>
      <w:bookmarkEnd w:id="67"/>
      <w:bookmarkStart w:id="68" w:name="2.2评价工作目的"/>
      <w:bookmarkEnd w:id="68"/>
      <w:bookmarkStart w:id="69" w:name="_Toc22280"/>
      <w:bookmarkStart w:id="70" w:name="_Toc13752"/>
      <w:r>
        <w:rPr>
          <w:rFonts w:hint="default"/>
        </w:rPr>
        <w:t>评价工作目的</w:t>
      </w:r>
      <w:bookmarkEnd w:id="69"/>
      <w:bookmarkEnd w:id="70"/>
    </w:p>
    <w:p w14:paraId="7C46E128">
      <w:pPr>
        <w:numPr>
          <w:ilvl w:val="0"/>
          <w:numId w:val="14"/>
        </w:numPr>
        <w:tabs>
          <w:tab w:val="left" w:pos="840"/>
          <w:tab w:val="clear" w:pos="0"/>
        </w:tabs>
        <w:spacing w:beforeLines="0" w:afterLines="0"/>
        <w:ind w:firstLineChar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通过现场调查、资料收集及环境监测，了解项目所在地自然环境、社会经济环境、环境质量现状以及存在的主要环境问题。</w:t>
      </w:r>
    </w:p>
    <w:p w14:paraId="4697F129">
      <w:pPr>
        <w:numPr>
          <w:ilvl w:val="0"/>
          <w:numId w:val="14"/>
        </w:numPr>
        <w:tabs>
          <w:tab w:val="left" w:pos="840"/>
          <w:tab w:val="clear" w:pos="0"/>
        </w:tabs>
        <w:spacing w:beforeLines="0" w:afterLines="0"/>
        <w:ind w:firstLineChar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通过工程分析，明确建设项目的主要环境影响，筛选对环境造成影响的因子，尤其关注建设项目产生的主要污染因子。并通过类比调查、物料衡算，核算污染源源强，预测项目建设对环境影响的程度与范围。</w:t>
      </w:r>
    </w:p>
    <w:p w14:paraId="56302792">
      <w:pPr>
        <w:numPr>
          <w:ilvl w:val="0"/>
          <w:numId w:val="14"/>
        </w:numPr>
        <w:tabs>
          <w:tab w:val="left" w:pos="840"/>
          <w:tab w:val="clear" w:pos="0"/>
        </w:tabs>
        <w:spacing w:beforeLines="0" w:afterLines="0"/>
        <w:ind w:firstLineChar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从工艺着手，分析生产工艺、生产设备及原辅材料的消耗，掌握主要污染源及排放状况。</w:t>
      </w:r>
    </w:p>
    <w:p w14:paraId="48F3034E">
      <w:pPr>
        <w:numPr>
          <w:ilvl w:val="0"/>
          <w:numId w:val="14"/>
        </w:numPr>
        <w:tabs>
          <w:tab w:val="left" w:pos="840"/>
          <w:tab w:val="clear" w:pos="0"/>
        </w:tabs>
        <w:spacing w:beforeLines="0" w:afterLines="0"/>
        <w:ind w:firstLineChar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通过分析和计算，预测污染物排放对周围环境的影响程度，判断其是否满足环境质量标准和总量控制要求。</w:t>
      </w:r>
    </w:p>
    <w:p w14:paraId="3782EABC">
      <w:pPr>
        <w:numPr>
          <w:ilvl w:val="0"/>
          <w:numId w:val="14"/>
        </w:numPr>
        <w:tabs>
          <w:tab w:val="left" w:pos="840"/>
          <w:tab w:val="clear" w:pos="0"/>
        </w:tabs>
        <w:spacing w:beforeLines="0" w:afterLines="0"/>
        <w:ind w:firstLineChar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从技术、经济角度分析拟采取的环保措施的可行性，为工程环保措施的设计和环境管理提供依据。</w:t>
      </w:r>
    </w:p>
    <w:p w14:paraId="1EB5FB6E">
      <w:pPr>
        <w:numPr>
          <w:ilvl w:val="0"/>
          <w:numId w:val="14"/>
        </w:numPr>
        <w:tabs>
          <w:tab w:val="left" w:pos="840"/>
          <w:tab w:val="clear" w:pos="0"/>
        </w:tabs>
        <w:spacing w:beforeLines="0" w:afterLines="0"/>
        <w:ind w:firstLineChar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从环保法规、产业政策、环境特点、污染防治等方面进行综合分析，对拟建项目的环境可行性做出明确结论，为项目的决策、污染控制和环境管理提供科学依据。</w:t>
      </w:r>
    </w:p>
    <w:p w14:paraId="56044F79">
      <w:pPr>
        <w:pStyle w:val="3"/>
        <w:bidi w:val="0"/>
        <w:rPr>
          <w:rFonts w:hint="default"/>
        </w:rPr>
      </w:pPr>
      <w:bookmarkStart w:id="71" w:name="bookmark10"/>
      <w:bookmarkEnd w:id="71"/>
      <w:bookmarkStart w:id="72" w:name="2.3环境影响识别与评价因子筛选"/>
      <w:bookmarkEnd w:id="72"/>
      <w:bookmarkStart w:id="73" w:name="_Toc18667"/>
      <w:bookmarkStart w:id="74" w:name="_Toc30638"/>
      <w:r>
        <w:rPr>
          <w:rFonts w:hint="default"/>
        </w:rPr>
        <w:t>环境影响识别与评价因子筛选</w:t>
      </w:r>
      <w:bookmarkEnd w:id="73"/>
      <w:bookmarkEnd w:id="74"/>
    </w:p>
    <w:p w14:paraId="10F57BEB">
      <w:pPr>
        <w:pStyle w:val="4"/>
        <w:bidi w:val="0"/>
        <w:rPr>
          <w:rFonts w:hint="default"/>
        </w:rPr>
      </w:pPr>
      <w:bookmarkStart w:id="75" w:name="2.3.1环境影响因素识别"/>
      <w:bookmarkEnd w:id="75"/>
      <w:r>
        <w:rPr>
          <w:rFonts w:hint="default"/>
        </w:rPr>
        <w:t>环境影响因素识别</w:t>
      </w:r>
    </w:p>
    <w:p w14:paraId="723EB5BE">
      <w:pPr>
        <w:spacing w:beforeLines="0" w:afterLines="0"/>
        <w:rPr>
          <w:rFonts w:hint="default" w:ascii="Times New Roman" w:hAnsi="Times New Roman" w:eastAsia="Calibri" w:cs="Times New Roman"/>
          <w:color w:val="auto"/>
          <w:sz w:val="10"/>
          <w:szCs w:val="24"/>
          <w:highlight w:val="none"/>
        </w:rPr>
      </w:pPr>
      <w:r>
        <w:rPr>
          <w:rFonts w:hint="default" w:ascii="Times New Roman" w:hAnsi="Times New Roman" w:cs="Times New Roman"/>
          <w:color w:val="auto"/>
          <w:sz w:val="24"/>
          <w:szCs w:val="24"/>
          <w:highlight w:val="none"/>
        </w:rPr>
        <w:t>本次环境影响因素识别采用矩阵法，根据本项目的工程特点和污染源的排放特征，从社会环境和自然生态环境两方面要素进行环境影响因素识别，并且列出环境影响因素识别矩阵表见表2.3-1。根据环境影响因素识别矩阵表，分析本项目分别对社会环境和自然生态环境的影响，在进行影响分析基础上评价拟识别各类环境影响因子、环境影响属性，并判断影响程度、影响范围和影响时间等。</w:t>
      </w:r>
    </w:p>
    <w:p w14:paraId="1AB1B06C">
      <w:pPr>
        <w:pStyle w:val="45"/>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表 2.</w:t>
      </w:r>
      <w:r>
        <w:rPr>
          <w:rFonts w:hint="default"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rPr>
        <w:t>-1</w:t>
      </w:r>
      <w:r>
        <w:rPr>
          <w:rFonts w:hint="default" w:ascii="Times New Roman" w:hAnsi="Times New Roman" w:cs="Times New Roman"/>
          <w:color w:val="auto"/>
          <w:sz w:val="24"/>
          <w:szCs w:val="24"/>
          <w:highlight w:val="none"/>
        </w:rPr>
        <w:tab/>
      </w:r>
      <w:r>
        <w:rPr>
          <w:rFonts w:hint="default" w:ascii="Times New Roman" w:hAnsi="Times New Roman" w:cs="Times New Roman"/>
          <w:color w:val="auto"/>
          <w:sz w:val="24"/>
          <w:szCs w:val="24"/>
          <w:highlight w:val="none"/>
        </w:rPr>
        <w:t>环境影响因素识别矩阵一览表</w:t>
      </w:r>
    </w:p>
    <w:tbl>
      <w:tblPr>
        <w:tblStyle w:val="31"/>
        <w:tblW w:w="0" w:type="auto"/>
        <w:tblInd w:w="2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11"/>
        <w:gridCol w:w="1224"/>
        <w:gridCol w:w="867"/>
        <w:gridCol w:w="710"/>
        <w:gridCol w:w="743"/>
        <w:gridCol w:w="644"/>
        <w:gridCol w:w="789"/>
        <w:gridCol w:w="1209"/>
        <w:gridCol w:w="756"/>
        <w:gridCol w:w="723"/>
        <w:gridCol w:w="794"/>
      </w:tblGrid>
      <w:tr w14:paraId="1A8882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711" w:type="dxa"/>
            <w:vMerge w:val="restart"/>
            <w:tcBorders>
              <w:tl2br w:val="nil"/>
              <w:tr2bl w:val="nil"/>
            </w:tcBorders>
            <w:noWrap w:val="0"/>
            <w:vAlign w:val="center"/>
          </w:tcPr>
          <w:p w14:paraId="15777325">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评价时段</w:t>
            </w:r>
          </w:p>
        </w:tc>
        <w:tc>
          <w:tcPr>
            <w:tcW w:w="1224" w:type="dxa"/>
            <w:vMerge w:val="restart"/>
            <w:tcBorders>
              <w:tl2br w:val="nil"/>
              <w:tr2bl w:val="nil"/>
            </w:tcBorders>
            <w:noWrap w:val="0"/>
            <w:vAlign w:val="center"/>
          </w:tcPr>
          <w:p w14:paraId="42699C7A">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污染因素</w:t>
            </w:r>
          </w:p>
        </w:tc>
        <w:tc>
          <w:tcPr>
            <w:tcW w:w="7235" w:type="dxa"/>
            <w:gridSpan w:val="9"/>
            <w:tcBorders>
              <w:tl2br w:val="nil"/>
              <w:tr2bl w:val="nil"/>
            </w:tcBorders>
            <w:noWrap w:val="0"/>
            <w:vAlign w:val="center"/>
          </w:tcPr>
          <w:p w14:paraId="180C1CF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环境要素</w:t>
            </w:r>
          </w:p>
        </w:tc>
      </w:tr>
      <w:tr w14:paraId="4171E3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711" w:type="dxa"/>
            <w:vMerge w:val="continue"/>
            <w:tcBorders>
              <w:tl2br w:val="nil"/>
              <w:tr2bl w:val="nil"/>
            </w:tcBorders>
            <w:noWrap w:val="0"/>
            <w:vAlign w:val="center"/>
          </w:tcPr>
          <w:p w14:paraId="75968A61">
            <w:pPr>
              <w:pStyle w:val="48"/>
              <w:spacing w:beforeLines="0" w:afterLines="0"/>
              <w:rPr>
                <w:rFonts w:hint="default" w:ascii="Times New Roman" w:hAnsi="Times New Roman" w:cs="Times New Roman"/>
                <w:color w:val="auto"/>
                <w:sz w:val="24"/>
                <w:szCs w:val="24"/>
                <w:highlight w:val="none"/>
              </w:rPr>
            </w:pPr>
          </w:p>
        </w:tc>
        <w:tc>
          <w:tcPr>
            <w:tcW w:w="1224" w:type="dxa"/>
            <w:vMerge w:val="continue"/>
            <w:tcBorders>
              <w:tl2br w:val="nil"/>
              <w:tr2bl w:val="nil"/>
            </w:tcBorders>
            <w:noWrap w:val="0"/>
            <w:vAlign w:val="center"/>
          </w:tcPr>
          <w:p w14:paraId="48404217">
            <w:pPr>
              <w:pStyle w:val="48"/>
              <w:spacing w:beforeLines="0" w:afterLines="0"/>
              <w:rPr>
                <w:rFonts w:hint="default" w:ascii="Times New Roman" w:hAnsi="Times New Roman" w:cs="Times New Roman"/>
                <w:color w:val="auto"/>
                <w:sz w:val="24"/>
                <w:szCs w:val="24"/>
                <w:highlight w:val="none"/>
              </w:rPr>
            </w:pPr>
          </w:p>
        </w:tc>
        <w:tc>
          <w:tcPr>
            <w:tcW w:w="867" w:type="dxa"/>
            <w:vMerge w:val="restart"/>
            <w:tcBorders>
              <w:tl2br w:val="nil"/>
              <w:tr2bl w:val="nil"/>
            </w:tcBorders>
            <w:noWrap w:val="0"/>
            <w:vAlign w:val="center"/>
          </w:tcPr>
          <w:p w14:paraId="109F625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环境空气</w:t>
            </w:r>
          </w:p>
        </w:tc>
        <w:tc>
          <w:tcPr>
            <w:tcW w:w="710" w:type="dxa"/>
            <w:vMerge w:val="restart"/>
            <w:tcBorders>
              <w:tl2br w:val="nil"/>
              <w:tr2bl w:val="nil"/>
            </w:tcBorders>
            <w:noWrap w:val="0"/>
            <w:vAlign w:val="center"/>
          </w:tcPr>
          <w:p w14:paraId="71BDA906">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地表水</w:t>
            </w:r>
          </w:p>
        </w:tc>
        <w:tc>
          <w:tcPr>
            <w:tcW w:w="743" w:type="dxa"/>
            <w:vMerge w:val="restart"/>
            <w:tcBorders>
              <w:tl2br w:val="nil"/>
              <w:tr2bl w:val="nil"/>
            </w:tcBorders>
            <w:noWrap w:val="0"/>
            <w:vAlign w:val="center"/>
          </w:tcPr>
          <w:p w14:paraId="47FD2F2B">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地下水</w:t>
            </w:r>
          </w:p>
        </w:tc>
        <w:tc>
          <w:tcPr>
            <w:tcW w:w="644" w:type="dxa"/>
            <w:vMerge w:val="restart"/>
            <w:tcBorders>
              <w:tl2br w:val="nil"/>
              <w:tr2bl w:val="nil"/>
            </w:tcBorders>
            <w:noWrap w:val="0"/>
            <w:vAlign w:val="center"/>
          </w:tcPr>
          <w:p w14:paraId="49EEAE08">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声环境</w:t>
            </w:r>
          </w:p>
        </w:tc>
        <w:tc>
          <w:tcPr>
            <w:tcW w:w="4271" w:type="dxa"/>
            <w:gridSpan w:val="5"/>
            <w:tcBorders>
              <w:tl2br w:val="nil"/>
              <w:tr2bl w:val="nil"/>
            </w:tcBorders>
            <w:noWrap w:val="0"/>
            <w:vAlign w:val="center"/>
          </w:tcPr>
          <w:p w14:paraId="5D06BF15">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生态</w:t>
            </w:r>
          </w:p>
        </w:tc>
      </w:tr>
      <w:tr w14:paraId="6F6250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711" w:type="dxa"/>
            <w:vMerge w:val="continue"/>
            <w:tcBorders>
              <w:tl2br w:val="nil"/>
              <w:tr2bl w:val="nil"/>
            </w:tcBorders>
            <w:noWrap w:val="0"/>
            <w:vAlign w:val="center"/>
          </w:tcPr>
          <w:p w14:paraId="251E9539">
            <w:pPr>
              <w:pStyle w:val="48"/>
              <w:spacing w:beforeLines="0" w:afterLines="0"/>
              <w:rPr>
                <w:rFonts w:hint="default" w:ascii="Times New Roman" w:hAnsi="Times New Roman" w:cs="Times New Roman"/>
                <w:color w:val="auto"/>
                <w:sz w:val="24"/>
                <w:szCs w:val="24"/>
                <w:highlight w:val="none"/>
              </w:rPr>
            </w:pPr>
          </w:p>
        </w:tc>
        <w:tc>
          <w:tcPr>
            <w:tcW w:w="1224" w:type="dxa"/>
            <w:vMerge w:val="continue"/>
            <w:tcBorders>
              <w:tl2br w:val="nil"/>
              <w:tr2bl w:val="nil"/>
            </w:tcBorders>
            <w:noWrap w:val="0"/>
            <w:vAlign w:val="center"/>
          </w:tcPr>
          <w:p w14:paraId="5544C6F7">
            <w:pPr>
              <w:pStyle w:val="48"/>
              <w:spacing w:beforeLines="0" w:afterLines="0"/>
              <w:rPr>
                <w:rFonts w:hint="default" w:ascii="Times New Roman" w:hAnsi="Times New Roman" w:cs="Times New Roman"/>
                <w:color w:val="auto"/>
                <w:sz w:val="24"/>
                <w:szCs w:val="24"/>
                <w:highlight w:val="none"/>
              </w:rPr>
            </w:pPr>
          </w:p>
        </w:tc>
        <w:tc>
          <w:tcPr>
            <w:tcW w:w="867" w:type="dxa"/>
            <w:vMerge w:val="continue"/>
            <w:tcBorders>
              <w:tl2br w:val="nil"/>
              <w:tr2bl w:val="nil"/>
            </w:tcBorders>
            <w:noWrap w:val="0"/>
            <w:vAlign w:val="center"/>
          </w:tcPr>
          <w:p w14:paraId="51219D90">
            <w:pPr>
              <w:pStyle w:val="48"/>
              <w:spacing w:beforeLines="0" w:afterLines="0"/>
              <w:rPr>
                <w:rFonts w:hint="default" w:ascii="Times New Roman" w:hAnsi="Times New Roman" w:cs="Times New Roman"/>
                <w:color w:val="auto"/>
                <w:sz w:val="24"/>
                <w:szCs w:val="24"/>
                <w:highlight w:val="none"/>
              </w:rPr>
            </w:pPr>
          </w:p>
        </w:tc>
        <w:tc>
          <w:tcPr>
            <w:tcW w:w="710" w:type="dxa"/>
            <w:vMerge w:val="continue"/>
            <w:tcBorders>
              <w:tl2br w:val="nil"/>
              <w:tr2bl w:val="nil"/>
            </w:tcBorders>
            <w:noWrap w:val="0"/>
            <w:vAlign w:val="center"/>
          </w:tcPr>
          <w:p w14:paraId="11A20250">
            <w:pPr>
              <w:pStyle w:val="48"/>
              <w:spacing w:beforeLines="0" w:afterLines="0"/>
              <w:rPr>
                <w:rFonts w:hint="default" w:ascii="Times New Roman" w:hAnsi="Times New Roman" w:cs="Times New Roman"/>
                <w:color w:val="auto"/>
                <w:sz w:val="24"/>
                <w:szCs w:val="24"/>
                <w:highlight w:val="none"/>
              </w:rPr>
            </w:pPr>
          </w:p>
        </w:tc>
        <w:tc>
          <w:tcPr>
            <w:tcW w:w="743" w:type="dxa"/>
            <w:vMerge w:val="continue"/>
            <w:tcBorders>
              <w:tl2br w:val="nil"/>
              <w:tr2bl w:val="nil"/>
            </w:tcBorders>
            <w:noWrap w:val="0"/>
            <w:vAlign w:val="center"/>
          </w:tcPr>
          <w:p w14:paraId="64E07A83">
            <w:pPr>
              <w:pStyle w:val="48"/>
              <w:spacing w:beforeLines="0" w:afterLines="0"/>
              <w:rPr>
                <w:rFonts w:hint="default" w:ascii="Times New Roman" w:hAnsi="Times New Roman" w:cs="Times New Roman"/>
                <w:color w:val="auto"/>
                <w:sz w:val="24"/>
                <w:szCs w:val="24"/>
                <w:highlight w:val="none"/>
              </w:rPr>
            </w:pPr>
          </w:p>
        </w:tc>
        <w:tc>
          <w:tcPr>
            <w:tcW w:w="644" w:type="dxa"/>
            <w:vMerge w:val="continue"/>
            <w:tcBorders>
              <w:tl2br w:val="nil"/>
              <w:tr2bl w:val="nil"/>
            </w:tcBorders>
            <w:noWrap w:val="0"/>
            <w:vAlign w:val="center"/>
          </w:tcPr>
          <w:p w14:paraId="6B57B782">
            <w:pPr>
              <w:pStyle w:val="48"/>
              <w:spacing w:beforeLines="0" w:afterLines="0"/>
              <w:rPr>
                <w:rFonts w:hint="default" w:ascii="Times New Roman" w:hAnsi="Times New Roman" w:cs="Times New Roman"/>
                <w:color w:val="auto"/>
                <w:sz w:val="24"/>
                <w:szCs w:val="24"/>
                <w:highlight w:val="none"/>
              </w:rPr>
            </w:pPr>
          </w:p>
        </w:tc>
        <w:tc>
          <w:tcPr>
            <w:tcW w:w="789" w:type="dxa"/>
            <w:tcBorders>
              <w:tl2br w:val="nil"/>
              <w:tr2bl w:val="nil"/>
            </w:tcBorders>
            <w:noWrap w:val="0"/>
            <w:vAlign w:val="center"/>
          </w:tcPr>
          <w:p w14:paraId="0E97DAF4">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植被</w:t>
            </w:r>
          </w:p>
        </w:tc>
        <w:tc>
          <w:tcPr>
            <w:tcW w:w="1209" w:type="dxa"/>
            <w:tcBorders>
              <w:tl2br w:val="nil"/>
              <w:tr2bl w:val="nil"/>
            </w:tcBorders>
            <w:noWrap w:val="0"/>
            <w:vAlign w:val="center"/>
          </w:tcPr>
          <w:p w14:paraId="4AA0D554">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土壤或土地利用</w:t>
            </w:r>
          </w:p>
        </w:tc>
        <w:tc>
          <w:tcPr>
            <w:tcW w:w="756" w:type="dxa"/>
            <w:tcBorders>
              <w:tl2br w:val="nil"/>
              <w:tr2bl w:val="nil"/>
            </w:tcBorders>
            <w:noWrap w:val="0"/>
            <w:vAlign w:val="center"/>
          </w:tcPr>
          <w:p w14:paraId="3DE1597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水土流失</w:t>
            </w:r>
          </w:p>
        </w:tc>
        <w:tc>
          <w:tcPr>
            <w:tcW w:w="723" w:type="dxa"/>
            <w:tcBorders>
              <w:tl2br w:val="nil"/>
              <w:tr2bl w:val="nil"/>
            </w:tcBorders>
            <w:noWrap w:val="0"/>
            <w:vAlign w:val="center"/>
          </w:tcPr>
          <w:p w14:paraId="47F62B6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自然景观</w:t>
            </w:r>
          </w:p>
        </w:tc>
        <w:tc>
          <w:tcPr>
            <w:tcW w:w="794" w:type="dxa"/>
            <w:tcBorders>
              <w:tl2br w:val="nil"/>
              <w:tr2bl w:val="nil"/>
            </w:tcBorders>
            <w:noWrap w:val="0"/>
            <w:vAlign w:val="center"/>
          </w:tcPr>
          <w:p w14:paraId="367DECD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野生生物</w:t>
            </w:r>
          </w:p>
        </w:tc>
      </w:tr>
      <w:tr w14:paraId="5EA746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711" w:type="dxa"/>
            <w:vMerge w:val="restart"/>
            <w:tcBorders>
              <w:tl2br w:val="nil"/>
              <w:tr2bl w:val="nil"/>
            </w:tcBorders>
            <w:noWrap w:val="0"/>
            <w:vAlign w:val="center"/>
          </w:tcPr>
          <w:p w14:paraId="50B9E9AC">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施工期</w:t>
            </w:r>
          </w:p>
        </w:tc>
        <w:tc>
          <w:tcPr>
            <w:tcW w:w="1224" w:type="dxa"/>
            <w:tcBorders>
              <w:tl2br w:val="nil"/>
              <w:tr2bl w:val="nil"/>
            </w:tcBorders>
            <w:noWrap w:val="0"/>
            <w:vAlign w:val="center"/>
          </w:tcPr>
          <w:p w14:paraId="482461A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土建工程</w:t>
            </w:r>
          </w:p>
          <w:p w14:paraId="64CD45E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土地平整</w:t>
            </w:r>
          </w:p>
        </w:tc>
        <w:tc>
          <w:tcPr>
            <w:tcW w:w="867" w:type="dxa"/>
            <w:tcBorders>
              <w:tl2br w:val="nil"/>
              <w:tr2bl w:val="nil"/>
            </w:tcBorders>
            <w:noWrap w:val="0"/>
            <w:vAlign w:val="center"/>
          </w:tcPr>
          <w:p w14:paraId="6A16E22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-2D</w:t>
            </w:r>
          </w:p>
        </w:tc>
        <w:tc>
          <w:tcPr>
            <w:tcW w:w="710" w:type="dxa"/>
            <w:tcBorders>
              <w:tl2br w:val="nil"/>
              <w:tr2bl w:val="nil"/>
            </w:tcBorders>
            <w:noWrap w:val="0"/>
            <w:vAlign w:val="center"/>
          </w:tcPr>
          <w:p w14:paraId="500E4076">
            <w:pPr>
              <w:pStyle w:val="48"/>
              <w:spacing w:beforeLines="0" w:afterLines="0"/>
              <w:rPr>
                <w:rFonts w:hint="default" w:ascii="Times New Roman" w:hAnsi="Times New Roman" w:cs="Times New Roman"/>
                <w:color w:val="auto"/>
                <w:sz w:val="24"/>
                <w:szCs w:val="24"/>
                <w:highlight w:val="none"/>
              </w:rPr>
            </w:pPr>
          </w:p>
        </w:tc>
        <w:tc>
          <w:tcPr>
            <w:tcW w:w="743" w:type="dxa"/>
            <w:tcBorders>
              <w:tl2br w:val="nil"/>
              <w:tr2bl w:val="nil"/>
            </w:tcBorders>
            <w:noWrap w:val="0"/>
            <w:vAlign w:val="center"/>
          </w:tcPr>
          <w:p w14:paraId="2C02A62F">
            <w:pPr>
              <w:pStyle w:val="48"/>
              <w:spacing w:beforeLines="0" w:afterLines="0"/>
              <w:rPr>
                <w:rFonts w:hint="default" w:ascii="Times New Roman" w:hAnsi="Times New Roman" w:cs="Times New Roman"/>
                <w:color w:val="auto"/>
                <w:sz w:val="24"/>
                <w:szCs w:val="24"/>
                <w:highlight w:val="none"/>
              </w:rPr>
            </w:pPr>
          </w:p>
        </w:tc>
        <w:tc>
          <w:tcPr>
            <w:tcW w:w="644" w:type="dxa"/>
            <w:tcBorders>
              <w:tl2br w:val="nil"/>
              <w:tr2bl w:val="nil"/>
            </w:tcBorders>
            <w:noWrap w:val="0"/>
            <w:vAlign w:val="center"/>
          </w:tcPr>
          <w:p w14:paraId="2804575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-1D</w:t>
            </w:r>
          </w:p>
        </w:tc>
        <w:tc>
          <w:tcPr>
            <w:tcW w:w="789" w:type="dxa"/>
            <w:tcBorders>
              <w:tl2br w:val="nil"/>
              <w:tr2bl w:val="nil"/>
            </w:tcBorders>
            <w:noWrap w:val="0"/>
            <w:vAlign w:val="center"/>
          </w:tcPr>
          <w:p w14:paraId="51B27DB7">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-1D</w:t>
            </w:r>
          </w:p>
        </w:tc>
        <w:tc>
          <w:tcPr>
            <w:tcW w:w="1209" w:type="dxa"/>
            <w:tcBorders>
              <w:tl2br w:val="nil"/>
              <w:tr2bl w:val="nil"/>
            </w:tcBorders>
            <w:noWrap w:val="0"/>
            <w:vAlign w:val="center"/>
          </w:tcPr>
          <w:p w14:paraId="44A6C1E5">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-1D</w:t>
            </w:r>
          </w:p>
        </w:tc>
        <w:tc>
          <w:tcPr>
            <w:tcW w:w="756" w:type="dxa"/>
            <w:tcBorders>
              <w:tl2br w:val="nil"/>
              <w:tr2bl w:val="nil"/>
            </w:tcBorders>
            <w:noWrap w:val="0"/>
            <w:vAlign w:val="center"/>
          </w:tcPr>
          <w:p w14:paraId="445AF18B">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-1D</w:t>
            </w:r>
          </w:p>
        </w:tc>
        <w:tc>
          <w:tcPr>
            <w:tcW w:w="723" w:type="dxa"/>
            <w:tcBorders>
              <w:tl2br w:val="nil"/>
              <w:tr2bl w:val="nil"/>
            </w:tcBorders>
            <w:noWrap w:val="0"/>
            <w:vAlign w:val="center"/>
          </w:tcPr>
          <w:p w14:paraId="2EE94F5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-1D</w:t>
            </w:r>
          </w:p>
        </w:tc>
        <w:tc>
          <w:tcPr>
            <w:tcW w:w="794" w:type="dxa"/>
            <w:tcBorders>
              <w:tl2br w:val="nil"/>
              <w:tr2bl w:val="nil"/>
            </w:tcBorders>
            <w:noWrap w:val="0"/>
            <w:vAlign w:val="center"/>
          </w:tcPr>
          <w:p w14:paraId="338170D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-1D</w:t>
            </w:r>
          </w:p>
        </w:tc>
      </w:tr>
      <w:tr w14:paraId="22F1A7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711" w:type="dxa"/>
            <w:vMerge w:val="continue"/>
            <w:tcBorders>
              <w:tl2br w:val="nil"/>
              <w:tr2bl w:val="nil"/>
            </w:tcBorders>
            <w:noWrap w:val="0"/>
            <w:vAlign w:val="center"/>
          </w:tcPr>
          <w:p w14:paraId="1F8A906B">
            <w:pPr>
              <w:pStyle w:val="48"/>
              <w:spacing w:beforeLines="0" w:afterLines="0"/>
              <w:rPr>
                <w:rFonts w:hint="default" w:ascii="Times New Roman" w:hAnsi="Times New Roman" w:cs="Times New Roman"/>
                <w:color w:val="auto"/>
                <w:sz w:val="24"/>
                <w:szCs w:val="24"/>
                <w:highlight w:val="none"/>
              </w:rPr>
            </w:pPr>
          </w:p>
        </w:tc>
        <w:tc>
          <w:tcPr>
            <w:tcW w:w="1224" w:type="dxa"/>
            <w:tcBorders>
              <w:tl2br w:val="nil"/>
              <w:tr2bl w:val="nil"/>
            </w:tcBorders>
            <w:noWrap w:val="0"/>
            <w:vAlign w:val="center"/>
          </w:tcPr>
          <w:p w14:paraId="24986EC1">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物料运输</w:t>
            </w:r>
          </w:p>
        </w:tc>
        <w:tc>
          <w:tcPr>
            <w:tcW w:w="867" w:type="dxa"/>
            <w:tcBorders>
              <w:tl2br w:val="nil"/>
              <w:tr2bl w:val="nil"/>
            </w:tcBorders>
            <w:noWrap w:val="0"/>
            <w:vAlign w:val="center"/>
          </w:tcPr>
          <w:p w14:paraId="1E99610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-1D</w:t>
            </w:r>
          </w:p>
        </w:tc>
        <w:tc>
          <w:tcPr>
            <w:tcW w:w="710" w:type="dxa"/>
            <w:tcBorders>
              <w:tl2br w:val="nil"/>
              <w:tr2bl w:val="nil"/>
            </w:tcBorders>
            <w:noWrap w:val="0"/>
            <w:vAlign w:val="center"/>
          </w:tcPr>
          <w:p w14:paraId="77008EA5">
            <w:pPr>
              <w:pStyle w:val="48"/>
              <w:spacing w:beforeLines="0" w:afterLines="0"/>
              <w:rPr>
                <w:rFonts w:hint="default" w:ascii="Times New Roman" w:hAnsi="Times New Roman" w:cs="Times New Roman"/>
                <w:color w:val="auto"/>
                <w:sz w:val="24"/>
                <w:szCs w:val="24"/>
                <w:highlight w:val="none"/>
              </w:rPr>
            </w:pPr>
          </w:p>
        </w:tc>
        <w:tc>
          <w:tcPr>
            <w:tcW w:w="743" w:type="dxa"/>
            <w:tcBorders>
              <w:tl2br w:val="nil"/>
              <w:tr2bl w:val="nil"/>
            </w:tcBorders>
            <w:noWrap w:val="0"/>
            <w:vAlign w:val="center"/>
          </w:tcPr>
          <w:p w14:paraId="15F1EC47">
            <w:pPr>
              <w:pStyle w:val="48"/>
              <w:spacing w:beforeLines="0" w:afterLines="0"/>
              <w:rPr>
                <w:rFonts w:hint="default" w:ascii="Times New Roman" w:hAnsi="Times New Roman" w:cs="Times New Roman"/>
                <w:color w:val="auto"/>
                <w:sz w:val="24"/>
                <w:szCs w:val="24"/>
                <w:highlight w:val="none"/>
              </w:rPr>
            </w:pPr>
          </w:p>
        </w:tc>
        <w:tc>
          <w:tcPr>
            <w:tcW w:w="644" w:type="dxa"/>
            <w:tcBorders>
              <w:tl2br w:val="nil"/>
              <w:tr2bl w:val="nil"/>
            </w:tcBorders>
            <w:noWrap w:val="0"/>
            <w:vAlign w:val="center"/>
          </w:tcPr>
          <w:p w14:paraId="113EBF56">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-1D</w:t>
            </w:r>
          </w:p>
        </w:tc>
        <w:tc>
          <w:tcPr>
            <w:tcW w:w="789" w:type="dxa"/>
            <w:tcBorders>
              <w:tl2br w:val="nil"/>
              <w:tr2bl w:val="nil"/>
            </w:tcBorders>
            <w:noWrap w:val="0"/>
            <w:vAlign w:val="center"/>
          </w:tcPr>
          <w:p w14:paraId="1426BEAE">
            <w:pPr>
              <w:pStyle w:val="48"/>
              <w:spacing w:beforeLines="0" w:afterLines="0"/>
              <w:rPr>
                <w:rFonts w:hint="default" w:ascii="Times New Roman" w:hAnsi="Times New Roman" w:cs="Times New Roman"/>
                <w:color w:val="auto"/>
                <w:sz w:val="24"/>
                <w:szCs w:val="24"/>
                <w:highlight w:val="none"/>
              </w:rPr>
            </w:pPr>
          </w:p>
        </w:tc>
        <w:tc>
          <w:tcPr>
            <w:tcW w:w="1209" w:type="dxa"/>
            <w:tcBorders>
              <w:tl2br w:val="nil"/>
              <w:tr2bl w:val="nil"/>
            </w:tcBorders>
            <w:noWrap w:val="0"/>
            <w:vAlign w:val="center"/>
          </w:tcPr>
          <w:p w14:paraId="4AD76FD0">
            <w:pPr>
              <w:pStyle w:val="48"/>
              <w:spacing w:beforeLines="0" w:afterLines="0"/>
              <w:rPr>
                <w:rFonts w:hint="default" w:ascii="Times New Roman" w:hAnsi="Times New Roman" w:cs="Times New Roman"/>
                <w:color w:val="auto"/>
                <w:sz w:val="24"/>
                <w:szCs w:val="24"/>
                <w:highlight w:val="none"/>
              </w:rPr>
            </w:pPr>
          </w:p>
        </w:tc>
        <w:tc>
          <w:tcPr>
            <w:tcW w:w="756" w:type="dxa"/>
            <w:tcBorders>
              <w:tl2br w:val="nil"/>
              <w:tr2bl w:val="nil"/>
            </w:tcBorders>
            <w:noWrap w:val="0"/>
            <w:vAlign w:val="center"/>
          </w:tcPr>
          <w:p w14:paraId="7181709C">
            <w:pPr>
              <w:pStyle w:val="48"/>
              <w:spacing w:beforeLines="0" w:afterLines="0"/>
              <w:rPr>
                <w:rFonts w:hint="default" w:ascii="Times New Roman" w:hAnsi="Times New Roman" w:cs="Times New Roman"/>
                <w:color w:val="auto"/>
                <w:sz w:val="24"/>
                <w:szCs w:val="24"/>
                <w:highlight w:val="none"/>
              </w:rPr>
            </w:pPr>
          </w:p>
        </w:tc>
        <w:tc>
          <w:tcPr>
            <w:tcW w:w="723" w:type="dxa"/>
            <w:tcBorders>
              <w:tl2br w:val="nil"/>
              <w:tr2bl w:val="nil"/>
            </w:tcBorders>
            <w:noWrap w:val="0"/>
            <w:vAlign w:val="center"/>
          </w:tcPr>
          <w:p w14:paraId="7F4006F0">
            <w:pPr>
              <w:pStyle w:val="48"/>
              <w:spacing w:beforeLines="0" w:afterLines="0"/>
              <w:rPr>
                <w:rFonts w:hint="default" w:ascii="Times New Roman" w:hAnsi="Times New Roman" w:cs="Times New Roman"/>
                <w:color w:val="auto"/>
                <w:sz w:val="24"/>
                <w:szCs w:val="24"/>
                <w:highlight w:val="none"/>
              </w:rPr>
            </w:pPr>
          </w:p>
        </w:tc>
        <w:tc>
          <w:tcPr>
            <w:tcW w:w="794" w:type="dxa"/>
            <w:tcBorders>
              <w:tl2br w:val="nil"/>
              <w:tr2bl w:val="nil"/>
            </w:tcBorders>
            <w:noWrap w:val="0"/>
            <w:vAlign w:val="center"/>
          </w:tcPr>
          <w:p w14:paraId="44DFF978">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-1D</w:t>
            </w:r>
          </w:p>
        </w:tc>
      </w:tr>
      <w:tr w14:paraId="12280B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711" w:type="dxa"/>
            <w:vMerge w:val="continue"/>
            <w:tcBorders>
              <w:tl2br w:val="nil"/>
              <w:tr2bl w:val="nil"/>
            </w:tcBorders>
            <w:noWrap w:val="0"/>
            <w:vAlign w:val="center"/>
          </w:tcPr>
          <w:p w14:paraId="7E421E57">
            <w:pPr>
              <w:pStyle w:val="48"/>
              <w:spacing w:beforeLines="0" w:afterLines="0"/>
              <w:rPr>
                <w:rFonts w:hint="default" w:ascii="Times New Roman" w:hAnsi="Times New Roman" w:cs="Times New Roman"/>
                <w:color w:val="auto"/>
                <w:sz w:val="24"/>
                <w:szCs w:val="24"/>
                <w:highlight w:val="none"/>
              </w:rPr>
            </w:pPr>
          </w:p>
        </w:tc>
        <w:tc>
          <w:tcPr>
            <w:tcW w:w="1224" w:type="dxa"/>
            <w:tcBorders>
              <w:tl2br w:val="nil"/>
              <w:tr2bl w:val="nil"/>
            </w:tcBorders>
            <w:noWrap w:val="0"/>
            <w:vAlign w:val="center"/>
          </w:tcPr>
          <w:p w14:paraId="2F8C8E6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施工安装</w:t>
            </w:r>
          </w:p>
        </w:tc>
        <w:tc>
          <w:tcPr>
            <w:tcW w:w="867" w:type="dxa"/>
            <w:tcBorders>
              <w:tl2br w:val="nil"/>
              <w:tr2bl w:val="nil"/>
            </w:tcBorders>
            <w:noWrap w:val="0"/>
            <w:vAlign w:val="center"/>
          </w:tcPr>
          <w:p w14:paraId="2C049583">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-1D</w:t>
            </w:r>
          </w:p>
        </w:tc>
        <w:tc>
          <w:tcPr>
            <w:tcW w:w="710" w:type="dxa"/>
            <w:tcBorders>
              <w:tl2br w:val="nil"/>
              <w:tr2bl w:val="nil"/>
            </w:tcBorders>
            <w:noWrap w:val="0"/>
            <w:vAlign w:val="center"/>
          </w:tcPr>
          <w:p w14:paraId="68BEFBC5">
            <w:pPr>
              <w:pStyle w:val="48"/>
              <w:spacing w:beforeLines="0" w:afterLines="0"/>
              <w:rPr>
                <w:rFonts w:hint="default" w:ascii="Times New Roman" w:hAnsi="Times New Roman" w:cs="Times New Roman"/>
                <w:color w:val="auto"/>
                <w:sz w:val="24"/>
                <w:szCs w:val="24"/>
                <w:highlight w:val="none"/>
              </w:rPr>
            </w:pPr>
          </w:p>
        </w:tc>
        <w:tc>
          <w:tcPr>
            <w:tcW w:w="743" w:type="dxa"/>
            <w:tcBorders>
              <w:tl2br w:val="nil"/>
              <w:tr2bl w:val="nil"/>
            </w:tcBorders>
            <w:noWrap w:val="0"/>
            <w:vAlign w:val="center"/>
          </w:tcPr>
          <w:p w14:paraId="1228E595">
            <w:pPr>
              <w:pStyle w:val="48"/>
              <w:spacing w:beforeLines="0" w:afterLines="0"/>
              <w:rPr>
                <w:rFonts w:hint="default" w:ascii="Times New Roman" w:hAnsi="Times New Roman" w:cs="Times New Roman"/>
                <w:color w:val="auto"/>
                <w:sz w:val="24"/>
                <w:szCs w:val="24"/>
                <w:highlight w:val="none"/>
              </w:rPr>
            </w:pPr>
          </w:p>
        </w:tc>
        <w:tc>
          <w:tcPr>
            <w:tcW w:w="644" w:type="dxa"/>
            <w:tcBorders>
              <w:tl2br w:val="nil"/>
              <w:tr2bl w:val="nil"/>
            </w:tcBorders>
            <w:noWrap w:val="0"/>
            <w:vAlign w:val="center"/>
          </w:tcPr>
          <w:p w14:paraId="03F380B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-1D</w:t>
            </w:r>
          </w:p>
        </w:tc>
        <w:tc>
          <w:tcPr>
            <w:tcW w:w="789" w:type="dxa"/>
            <w:tcBorders>
              <w:tl2br w:val="nil"/>
              <w:tr2bl w:val="nil"/>
            </w:tcBorders>
            <w:noWrap w:val="0"/>
            <w:vAlign w:val="center"/>
          </w:tcPr>
          <w:p w14:paraId="10A352DA">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-1D</w:t>
            </w:r>
          </w:p>
        </w:tc>
        <w:tc>
          <w:tcPr>
            <w:tcW w:w="1209" w:type="dxa"/>
            <w:tcBorders>
              <w:tl2br w:val="nil"/>
              <w:tr2bl w:val="nil"/>
            </w:tcBorders>
            <w:noWrap w:val="0"/>
            <w:vAlign w:val="center"/>
          </w:tcPr>
          <w:p w14:paraId="404D6CE8">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-1C</w:t>
            </w:r>
          </w:p>
        </w:tc>
        <w:tc>
          <w:tcPr>
            <w:tcW w:w="756" w:type="dxa"/>
            <w:tcBorders>
              <w:tl2br w:val="nil"/>
              <w:tr2bl w:val="nil"/>
            </w:tcBorders>
            <w:noWrap w:val="0"/>
            <w:vAlign w:val="center"/>
          </w:tcPr>
          <w:p w14:paraId="32513F38">
            <w:pPr>
              <w:pStyle w:val="48"/>
              <w:spacing w:beforeLines="0" w:afterLines="0"/>
              <w:rPr>
                <w:rFonts w:hint="default" w:ascii="Times New Roman" w:hAnsi="Times New Roman" w:cs="Times New Roman"/>
                <w:color w:val="auto"/>
                <w:sz w:val="24"/>
                <w:szCs w:val="24"/>
                <w:highlight w:val="none"/>
              </w:rPr>
            </w:pPr>
          </w:p>
        </w:tc>
        <w:tc>
          <w:tcPr>
            <w:tcW w:w="723" w:type="dxa"/>
            <w:tcBorders>
              <w:tl2br w:val="nil"/>
              <w:tr2bl w:val="nil"/>
            </w:tcBorders>
            <w:noWrap w:val="0"/>
            <w:vAlign w:val="center"/>
          </w:tcPr>
          <w:p w14:paraId="7142529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-1D</w:t>
            </w:r>
          </w:p>
        </w:tc>
        <w:tc>
          <w:tcPr>
            <w:tcW w:w="794" w:type="dxa"/>
            <w:tcBorders>
              <w:tl2br w:val="nil"/>
              <w:tr2bl w:val="nil"/>
            </w:tcBorders>
            <w:noWrap w:val="0"/>
            <w:vAlign w:val="center"/>
          </w:tcPr>
          <w:p w14:paraId="01CCF2E6">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-1D</w:t>
            </w:r>
          </w:p>
        </w:tc>
      </w:tr>
      <w:tr w14:paraId="3BD1C0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711" w:type="dxa"/>
            <w:vMerge w:val="restart"/>
            <w:tcBorders>
              <w:tl2br w:val="nil"/>
              <w:tr2bl w:val="nil"/>
            </w:tcBorders>
            <w:noWrap w:val="0"/>
            <w:vAlign w:val="center"/>
          </w:tcPr>
          <w:p w14:paraId="684397C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运营期</w:t>
            </w:r>
          </w:p>
        </w:tc>
        <w:tc>
          <w:tcPr>
            <w:tcW w:w="1224" w:type="dxa"/>
            <w:tcBorders>
              <w:tl2br w:val="nil"/>
              <w:tr2bl w:val="nil"/>
            </w:tcBorders>
            <w:noWrap w:val="0"/>
            <w:vAlign w:val="center"/>
          </w:tcPr>
          <w:p w14:paraId="5A0B87EE">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原料/成品运输</w:t>
            </w:r>
          </w:p>
        </w:tc>
        <w:tc>
          <w:tcPr>
            <w:tcW w:w="867" w:type="dxa"/>
            <w:tcBorders>
              <w:tl2br w:val="nil"/>
              <w:tr2bl w:val="nil"/>
            </w:tcBorders>
            <w:noWrap w:val="0"/>
            <w:vAlign w:val="center"/>
          </w:tcPr>
          <w:p w14:paraId="7FBF6E03">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-1C</w:t>
            </w:r>
          </w:p>
        </w:tc>
        <w:tc>
          <w:tcPr>
            <w:tcW w:w="710" w:type="dxa"/>
            <w:tcBorders>
              <w:tl2br w:val="nil"/>
              <w:tr2bl w:val="nil"/>
            </w:tcBorders>
            <w:noWrap w:val="0"/>
            <w:vAlign w:val="center"/>
          </w:tcPr>
          <w:p w14:paraId="017E40E4">
            <w:pPr>
              <w:pStyle w:val="48"/>
              <w:spacing w:beforeLines="0" w:afterLines="0"/>
              <w:rPr>
                <w:rFonts w:hint="default" w:ascii="Times New Roman" w:hAnsi="Times New Roman" w:cs="Times New Roman"/>
                <w:color w:val="auto"/>
                <w:sz w:val="24"/>
                <w:szCs w:val="24"/>
                <w:highlight w:val="none"/>
              </w:rPr>
            </w:pPr>
          </w:p>
        </w:tc>
        <w:tc>
          <w:tcPr>
            <w:tcW w:w="743" w:type="dxa"/>
            <w:tcBorders>
              <w:tl2br w:val="nil"/>
              <w:tr2bl w:val="nil"/>
            </w:tcBorders>
            <w:noWrap w:val="0"/>
            <w:vAlign w:val="center"/>
          </w:tcPr>
          <w:p w14:paraId="675A4FC2">
            <w:pPr>
              <w:pStyle w:val="48"/>
              <w:spacing w:beforeLines="0" w:afterLines="0"/>
              <w:rPr>
                <w:rFonts w:hint="default" w:ascii="Times New Roman" w:hAnsi="Times New Roman" w:cs="Times New Roman"/>
                <w:color w:val="auto"/>
                <w:sz w:val="24"/>
                <w:szCs w:val="24"/>
                <w:highlight w:val="none"/>
              </w:rPr>
            </w:pPr>
          </w:p>
        </w:tc>
        <w:tc>
          <w:tcPr>
            <w:tcW w:w="644" w:type="dxa"/>
            <w:tcBorders>
              <w:tl2br w:val="nil"/>
              <w:tr2bl w:val="nil"/>
            </w:tcBorders>
            <w:noWrap w:val="0"/>
            <w:vAlign w:val="center"/>
          </w:tcPr>
          <w:p w14:paraId="2F85533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-1D</w:t>
            </w:r>
          </w:p>
        </w:tc>
        <w:tc>
          <w:tcPr>
            <w:tcW w:w="789" w:type="dxa"/>
            <w:tcBorders>
              <w:tl2br w:val="nil"/>
              <w:tr2bl w:val="nil"/>
            </w:tcBorders>
            <w:noWrap w:val="0"/>
            <w:vAlign w:val="center"/>
          </w:tcPr>
          <w:p w14:paraId="05FD71AE">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-1D</w:t>
            </w:r>
          </w:p>
        </w:tc>
        <w:tc>
          <w:tcPr>
            <w:tcW w:w="1209" w:type="dxa"/>
            <w:tcBorders>
              <w:tl2br w:val="nil"/>
              <w:tr2bl w:val="nil"/>
            </w:tcBorders>
            <w:noWrap w:val="0"/>
            <w:vAlign w:val="center"/>
          </w:tcPr>
          <w:p w14:paraId="23EB13D4">
            <w:pPr>
              <w:pStyle w:val="48"/>
              <w:spacing w:beforeLines="0" w:afterLines="0"/>
              <w:rPr>
                <w:rFonts w:hint="default" w:ascii="Times New Roman" w:hAnsi="Times New Roman" w:cs="Times New Roman"/>
                <w:color w:val="auto"/>
                <w:sz w:val="24"/>
                <w:szCs w:val="24"/>
                <w:highlight w:val="none"/>
              </w:rPr>
            </w:pPr>
          </w:p>
        </w:tc>
        <w:tc>
          <w:tcPr>
            <w:tcW w:w="756" w:type="dxa"/>
            <w:tcBorders>
              <w:tl2br w:val="nil"/>
              <w:tr2bl w:val="nil"/>
            </w:tcBorders>
            <w:noWrap w:val="0"/>
            <w:vAlign w:val="center"/>
          </w:tcPr>
          <w:p w14:paraId="30108C2F">
            <w:pPr>
              <w:pStyle w:val="48"/>
              <w:spacing w:beforeLines="0" w:afterLines="0"/>
              <w:rPr>
                <w:rFonts w:hint="default" w:ascii="Times New Roman" w:hAnsi="Times New Roman" w:cs="Times New Roman"/>
                <w:color w:val="auto"/>
                <w:sz w:val="24"/>
                <w:szCs w:val="24"/>
                <w:highlight w:val="none"/>
              </w:rPr>
            </w:pPr>
          </w:p>
        </w:tc>
        <w:tc>
          <w:tcPr>
            <w:tcW w:w="723" w:type="dxa"/>
            <w:tcBorders>
              <w:tl2br w:val="nil"/>
              <w:tr2bl w:val="nil"/>
            </w:tcBorders>
            <w:noWrap w:val="0"/>
            <w:vAlign w:val="center"/>
          </w:tcPr>
          <w:p w14:paraId="7F9B2C29">
            <w:pPr>
              <w:pStyle w:val="48"/>
              <w:spacing w:beforeLines="0" w:afterLines="0"/>
              <w:rPr>
                <w:rFonts w:hint="default" w:ascii="Times New Roman" w:hAnsi="Times New Roman" w:cs="Times New Roman"/>
                <w:color w:val="auto"/>
                <w:sz w:val="24"/>
                <w:szCs w:val="24"/>
                <w:highlight w:val="none"/>
              </w:rPr>
            </w:pPr>
          </w:p>
        </w:tc>
        <w:tc>
          <w:tcPr>
            <w:tcW w:w="794" w:type="dxa"/>
            <w:tcBorders>
              <w:tl2br w:val="nil"/>
              <w:tr2bl w:val="nil"/>
            </w:tcBorders>
            <w:noWrap w:val="0"/>
            <w:vAlign w:val="center"/>
          </w:tcPr>
          <w:p w14:paraId="79A9F1CC">
            <w:pPr>
              <w:pStyle w:val="48"/>
              <w:spacing w:beforeLines="0" w:afterLines="0"/>
              <w:rPr>
                <w:rFonts w:hint="default" w:ascii="Times New Roman" w:hAnsi="Times New Roman" w:cs="Times New Roman"/>
                <w:color w:val="auto"/>
                <w:sz w:val="24"/>
                <w:szCs w:val="24"/>
                <w:highlight w:val="none"/>
              </w:rPr>
            </w:pPr>
          </w:p>
        </w:tc>
      </w:tr>
      <w:tr w14:paraId="45004E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711" w:type="dxa"/>
            <w:vMerge w:val="continue"/>
            <w:tcBorders>
              <w:tl2br w:val="nil"/>
              <w:tr2bl w:val="nil"/>
            </w:tcBorders>
            <w:noWrap w:val="0"/>
            <w:vAlign w:val="center"/>
          </w:tcPr>
          <w:p w14:paraId="75E278B0">
            <w:pPr>
              <w:pStyle w:val="48"/>
              <w:spacing w:beforeLines="0" w:afterLines="0"/>
              <w:rPr>
                <w:rFonts w:hint="default" w:ascii="Times New Roman" w:hAnsi="Times New Roman" w:cs="Times New Roman"/>
                <w:color w:val="auto"/>
                <w:sz w:val="24"/>
                <w:szCs w:val="24"/>
                <w:highlight w:val="none"/>
              </w:rPr>
            </w:pPr>
          </w:p>
        </w:tc>
        <w:tc>
          <w:tcPr>
            <w:tcW w:w="1224" w:type="dxa"/>
            <w:tcBorders>
              <w:tl2br w:val="nil"/>
              <w:tr2bl w:val="nil"/>
            </w:tcBorders>
            <w:noWrap w:val="0"/>
            <w:vAlign w:val="center"/>
          </w:tcPr>
          <w:p w14:paraId="200345EA">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废气排放</w:t>
            </w:r>
          </w:p>
        </w:tc>
        <w:tc>
          <w:tcPr>
            <w:tcW w:w="867" w:type="dxa"/>
            <w:tcBorders>
              <w:tl2br w:val="nil"/>
              <w:tr2bl w:val="nil"/>
            </w:tcBorders>
            <w:noWrap w:val="0"/>
            <w:vAlign w:val="center"/>
          </w:tcPr>
          <w:p w14:paraId="32208838">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-2C</w:t>
            </w:r>
          </w:p>
        </w:tc>
        <w:tc>
          <w:tcPr>
            <w:tcW w:w="710" w:type="dxa"/>
            <w:tcBorders>
              <w:tl2br w:val="nil"/>
              <w:tr2bl w:val="nil"/>
            </w:tcBorders>
            <w:noWrap w:val="0"/>
            <w:vAlign w:val="center"/>
          </w:tcPr>
          <w:p w14:paraId="6D6A310D">
            <w:pPr>
              <w:pStyle w:val="48"/>
              <w:spacing w:beforeLines="0" w:afterLines="0"/>
              <w:rPr>
                <w:rFonts w:hint="default" w:ascii="Times New Roman" w:hAnsi="Times New Roman" w:cs="Times New Roman"/>
                <w:color w:val="auto"/>
                <w:sz w:val="24"/>
                <w:szCs w:val="24"/>
                <w:highlight w:val="none"/>
              </w:rPr>
            </w:pPr>
          </w:p>
        </w:tc>
        <w:tc>
          <w:tcPr>
            <w:tcW w:w="743" w:type="dxa"/>
            <w:tcBorders>
              <w:tl2br w:val="nil"/>
              <w:tr2bl w:val="nil"/>
            </w:tcBorders>
            <w:noWrap w:val="0"/>
            <w:vAlign w:val="center"/>
          </w:tcPr>
          <w:p w14:paraId="592BBB93">
            <w:pPr>
              <w:pStyle w:val="48"/>
              <w:spacing w:beforeLines="0" w:afterLines="0"/>
              <w:rPr>
                <w:rFonts w:hint="default" w:ascii="Times New Roman" w:hAnsi="Times New Roman" w:cs="Times New Roman"/>
                <w:color w:val="auto"/>
                <w:sz w:val="24"/>
                <w:szCs w:val="24"/>
                <w:highlight w:val="none"/>
              </w:rPr>
            </w:pPr>
          </w:p>
        </w:tc>
        <w:tc>
          <w:tcPr>
            <w:tcW w:w="644" w:type="dxa"/>
            <w:tcBorders>
              <w:tl2br w:val="nil"/>
              <w:tr2bl w:val="nil"/>
            </w:tcBorders>
            <w:noWrap w:val="0"/>
            <w:vAlign w:val="center"/>
          </w:tcPr>
          <w:p w14:paraId="7BEFC782">
            <w:pPr>
              <w:pStyle w:val="48"/>
              <w:spacing w:beforeLines="0" w:afterLines="0"/>
              <w:rPr>
                <w:rFonts w:hint="default" w:ascii="Times New Roman" w:hAnsi="Times New Roman" w:cs="Times New Roman"/>
                <w:color w:val="auto"/>
                <w:sz w:val="24"/>
                <w:szCs w:val="24"/>
                <w:highlight w:val="none"/>
              </w:rPr>
            </w:pPr>
          </w:p>
        </w:tc>
        <w:tc>
          <w:tcPr>
            <w:tcW w:w="789" w:type="dxa"/>
            <w:tcBorders>
              <w:tl2br w:val="nil"/>
              <w:tr2bl w:val="nil"/>
            </w:tcBorders>
            <w:noWrap w:val="0"/>
            <w:vAlign w:val="center"/>
          </w:tcPr>
          <w:p w14:paraId="7BB13FC8">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-1D</w:t>
            </w:r>
          </w:p>
        </w:tc>
        <w:tc>
          <w:tcPr>
            <w:tcW w:w="1209" w:type="dxa"/>
            <w:tcBorders>
              <w:tl2br w:val="nil"/>
              <w:tr2bl w:val="nil"/>
            </w:tcBorders>
            <w:noWrap w:val="0"/>
            <w:vAlign w:val="center"/>
          </w:tcPr>
          <w:p w14:paraId="5C5140C4">
            <w:pPr>
              <w:pStyle w:val="48"/>
              <w:spacing w:beforeLines="0" w:afterLines="0"/>
              <w:rPr>
                <w:rFonts w:hint="default" w:ascii="Times New Roman" w:hAnsi="Times New Roman" w:cs="Times New Roman"/>
                <w:color w:val="auto"/>
                <w:sz w:val="24"/>
                <w:szCs w:val="24"/>
                <w:highlight w:val="none"/>
              </w:rPr>
            </w:pPr>
          </w:p>
        </w:tc>
        <w:tc>
          <w:tcPr>
            <w:tcW w:w="756" w:type="dxa"/>
            <w:tcBorders>
              <w:tl2br w:val="nil"/>
              <w:tr2bl w:val="nil"/>
            </w:tcBorders>
            <w:noWrap w:val="0"/>
            <w:vAlign w:val="center"/>
          </w:tcPr>
          <w:p w14:paraId="5877F655">
            <w:pPr>
              <w:pStyle w:val="48"/>
              <w:spacing w:beforeLines="0" w:afterLines="0"/>
              <w:rPr>
                <w:rFonts w:hint="default" w:ascii="Times New Roman" w:hAnsi="Times New Roman" w:cs="Times New Roman"/>
                <w:color w:val="auto"/>
                <w:sz w:val="24"/>
                <w:szCs w:val="24"/>
                <w:highlight w:val="none"/>
              </w:rPr>
            </w:pPr>
          </w:p>
        </w:tc>
        <w:tc>
          <w:tcPr>
            <w:tcW w:w="723" w:type="dxa"/>
            <w:tcBorders>
              <w:tl2br w:val="nil"/>
              <w:tr2bl w:val="nil"/>
            </w:tcBorders>
            <w:noWrap w:val="0"/>
            <w:vAlign w:val="center"/>
          </w:tcPr>
          <w:p w14:paraId="48497AF0">
            <w:pPr>
              <w:pStyle w:val="48"/>
              <w:spacing w:beforeLines="0" w:afterLines="0"/>
              <w:rPr>
                <w:rFonts w:hint="default" w:ascii="Times New Roman" w:hAnsi="Times New Roman" w:cs="Times New Roman"/>
                <w:color w:val="auto"/>
                <w:sz w:val="24"/>
                <w:szCs w:val="24"/>
                <w:highlight w:val="none"/>
              </w:rPr>
            </w:pPr>
          </w:p>
        </w:tc>
        <w:tc>
          <w:tcPr>
            <w:tcW w:w="794" w:type="dxa"/>
            <w:tcBorders>
              <w:tl2br w:val="nil"/>
              <w:tr2bl w:val="nil"/>
            </w:tcBorders>
            <w:noWrap w:val="0"/>
            <w:vAlign w:val="center"/>
          </w:tcPr>
          <w:p w14:paraId="512A8053">
            <w:pPr>
              <w:pStyle w:val="48"/>
              <w:spacing w:beforeLines="0" w:afterLines="0"/>
              <w:rPr>
                <w:rFonts w:hint="default" w:ascii="Times New Roman" w:hAnsi="Times New Roman" w:cs="Times New Roman"/>
                <w:color w:val="auto"/>
                <w:sz w:val="24"/>
                <w:szCs w:val="24"/>
                <w:highlight w:val="none"/>
              </w:rPr>
            </w:pPr>
          </w:p>
        </w:tc>
      </w:tr>
      <w:tr w14:paraId="422A77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711" w:type="dxa"/>
            <w:vMerge w:val="continue"/>
            <w:tcBorders>
              <w:tl2br w:val="nil"/>
              <w:tr2bl w:val="nil"/>
            </w:tcBorders>
            <w:noWrap w:val="0"/>
            <w:vAlign w:val="center"/>
          </w:tcPr>
          <w:p w14:paraId="5AC340E3">
            <w:pPr>
              <w:pStyle w:val="48"/>
              <w:spacing w:beforeLines="0" w:afterLines="0"/>
              <w:rPr>
                <w:rFonts w:hint="default" w:ascii="Times New Roman" w:hAnsi="Times New Roman" w:cs="Times New Roman"/>
                <w:color w:val="auto"/>
                <w:sz w:val="24"/>
                <w:szCs w:val="24"/>
                <w:highlight w:val="none"/>
              </w:rPr>
            </w:pPr>
          </w:p>
        </w:tc>
        <w:tc>
          <w:tcPr>
            <w:tcW w:w="1224" w:type="dxa"/>
            <w:tcBorders>
              <w:tl2br w:val="nil"/>
              <w:tr2bl w:val="nil"/>
            </w:tcBorders>
            <w:noWrap w:val="0"/>
            <w:vAlign w:val="center"/>
          </w:tcPr>
          <w:p w14:paraId="12BCBA7A">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废水排放</w:t>
            </w:r>
          </w:p>
        </w:tc>
        <w:tc>
          <w:tcPr>
            <w:tcW w:w="867" w:type="dxa"/>
            <w:tcBorders>
              <w:tl2br w:val="nil"/>
              <w:tr2bl w:val="nil"/>
            </w:tcBorders>
            <w:noWrap w:val="0"/>
            <w:vAlign w:val="center"/>
          </w:tcPr>
          <w:p w14:paraId="111C78C4">
            <w:pPr>
              <w:pStyle w:val="48"/>
              <w:spacing w:beforeLines="0" w:afterLines="0"/>
              <w:rPr>
                <w:rFonts w:hint="default" w:ascii="Times New Roman" w:hAnsi="Times New Roman" w:cs="Times New Roman"/>
                <w:color w:val="auto"/>
                <w:sz w:val="24"/>
                <w:szCs w:val="24"/>
                <w:highlight w:val="none"/>
              </w:rPr>
            </w:pPr>
          </w:p>
        </w:tc>
        <w:tc>
          <w:tcPr>
            <w:tcW w:w="710" w:type="dxa"/>
            <w:tcBorders>
              <w:tl2br w:val="nil"/>
              <w:tr2bl w:val="nil"/>
            </w:tcBorders>
            <w:noWrap w:val="0"/>
            <w:vAlign w:val="center"/>
          </w:tcPr>
          <w:p w14:paraId="47CDB9FB">
            <w:pPr>
              <w:pStyle w:val="48"/>
              <w:spacing w:beforeLines="0" w:afterLines="0"/>
              <w:rPr>
                <w:rFonts w:hint="default" w:ascii="Times New Roman" w:hAnsi="Times New Roman" w:cs="Times New Roman"/>
                <w:color w:val="auto"/>
                <w:sz w:val="24"/>
                <w:szCs w:val="24"/>
                <w:highlight w:val="none"/>
              </w:rPr>
            </w:pPr>
          </w:p>
        </w:tc>
        <w:tc>
          <w:tcPr>
            <w:tcW w:w="743" w:type="dxa"/>
            <w:tcBorders>
              <w:tl2br w:val="nil"/>
              <w:tr2bl w:val="nil"/>
            </w:tcBorders>
            <w:noWrap w:val="0"/>
            <w:vAlign w:val="center"/>
          </w:tcPr>
          <w:p w14:paraId="620ADE5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-1C</w:t>
            </w:r>
          </w:p>
        </w:tc>
        <w:tc>
          <w:tcPr>
            <w:tcW w:w="644" w:type="dxa"/>
            <w:tcBorders>
              <w:tl2br w:val="nil"/>
              <w:tr2bl w:val="nil"/>
            </w:tcBorders>
            <w:noWrap w:val="0"/>
            <w:vAlign w:val="center"/>
          </w:tcPr>
          <w:p w14:paraId="038923F3">
            <w:pPr>
              <w:pStyle w:val="48"/>
              <w:spacing w:beforeLines="0" w:afterLines="0"/>
              <w:rPr>
                <w:rFonts w:hint="default" w:ascii="Times New Roman" w:hAnsi="Times New Roman" w:cs="Times New Roman"/>
                <w:color w:val="auto"/>
                <w:sz w:val="24"/>
                <w:szCs w:val="24"/>
                <w:highlight w:val="none"/>
              </w:rPr>
            </w:pPr>
          </w:p>
        </w:tc>
        <w:tc>
          <w:tcPr>
            <w:tcW w:w="789" w:type="dxa"/>
            <w:tcBorders>
              <w:tl2br w:val="nil"/>
              <w:tr2bl w:val="nil"/>
            </w:tcBorders>
            <w:noWrap w:val="0"/>
            <w:vAlign w:val="center"/>
          </w:tcPr>
          <w:p w14:paraId="118853AF">
            <w:pPr>
              <w:pStyle w:val="48"/>
              <w:spacing w:beforeLines="0" w:afterLines="0"/>
              <w:rPr>
                <w:rFonts w:hint="default" w:ascii="Times New Roman" w:hAnsi="Times New Roman" w:cs="Times New Roman"/>
                <w:color w:val="auto"/>
                <w:sz w:val="24"/>
                <w:szCs w:val="24"/>
                <w:highlight w:val="none"/>
              </w:rPr>
            </w:pPr>
          </w:p>
        </w:tc>
        <w:tc>
          <w:tcPr>
            <w:tcW w:w="1209" w:type="dxa"/>
            <w:tcBorders>
              <w:tl2br w:val="nil"/>
              <w:tr2bl w:val="nil"/>
            </w:tcBorders>
            <w:noWrap w:val="0"/>
            <w:vAlign w:val="center"/>
          </w:tcPr>
          <w:p w14:paraId="30A09BC7">
            <w:pPr>
              <w:pStyle w:val="48"/>
              <w:spacing w:beforeLines="0" w:afterLines="0"/>
              <w:rPr>
                <w:rFonts w:hint="default" w:ascii="Times New Roman" w:hAnsi="Times New Roman" w:cs="Times New Roman"/>
                <w:color w:val="auto"/>
                <w:sz w:val="24"/>
                <w:szCs w:val="24"/>
                <w:highlight w:val="none"/>
              </w:rPr>
            </w:pPr>
          </w:p>
        </w:tc>
        <w:tc>
          <w:tcPr>
            <w:tcW w:w="756" w:type="dxa"/>
            <w:tcBorders>
              <w:tl2br w:val="nil"/>
              <w:tr2bl w:val="nil"/>
            </w:tcBorders>
            <w:noWrap w:val="0"/>
            <w:vAlign w:val="center"/>
          </w:tcPr>
          <w:p w14:paraId="57F09B78">
            <w:pPr>
              <w:pStyle w:val="48"/>
              <w:spacing w:beforeLines="0" w:afterLines="0"/>
              <w:rPr>
                <w:rFonts w:hint="default" w:ascii="Times New Roman" w:hAnsi="Times New Roman" w:cs="Times New Roman"/>
                <w:color w:val="auto"/>
                <w:sz w:val="24"/>
                <w:szCs w:val="24"/>
                <w:highlight w:val="none"/>
              </w:rPr>
            </w:pPr>
          </w:p>
        </w:tc>
        <w:tc>
          <w:tcPr>
            <w:tcW w:w="723" w:type="dxa"/>
            <w:tcBorders>
              <w:tl2br w:val="nil"/>
              <w:tr2bl w:val="nil"/>
            </w:tcBorders>
            <w:noWrap w:val="0"/>
            <w:vAlign w:val="center"/>
          </w:tcPr>
          <w:p w14:paraId="1FAD9A51">
            <w:pPr>
              <w:pStyle w:val="48"/>
              <w:spacing w:beforeLines="0" w:afterLines="0"/>
              <w:rPr>
                <w:rFonts w:hint="default" w:ascii="Times New Roman" w:hAnsi="Times New Roman" w:cs="Times New Roman"/>
                <w:color w:val="auto"/>
                <w:sz w:val="24"/>
                <w:szCs w:val="24"/>
                <w:highlight w:val="none"/>
              </w:rPr>
            </w:pPr>
          </w:p>
        </w:tc>
        <w:tc>
          <w:tcPr>
            <w:tcW w:w="794" w:type="dxa"/>
            <w:tcBorders>
              <w:tl2br w:val="nil"/>
              <w:tr2bl w:val="nil"/>
            </w:tcBorders>
            <w:noWrap w:val="0"/>
            <w:vAlign w:val="center"/>
          </w:tcPr>
          <w:p w14:paraId="6B2DAF64">
            <w:pPr>
              <w:pStyle w:val="48"/>
              <w:spacing w:beforeLines="0" w:afterLines="0"/>
              <w:rPr>
                <w:rFonts w:hint="default" w:ascii="Times New Roman" w:hAnsi="Times New Roman" w:cs="Times New Roman"/>
                <w:color w:val="auto"/>
                <w:sz w:val="24"/>
                <w:szCs w:val="24"/>
                <w:highlight w:val="none"/>
              </w:rPr>
            </w:pPr>
          </w:p>
        </w:tc>
      </w:tr>
      <w:tr w14:paraId="631816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711" w:type="dxa"/>
            <w:vMerge w:val="continue"/>
            <w:tcBorders>
              <w:tl2br w:val="nil"/>
              <w:tr2bl w:val="nil"/>
            </w:tcBorders>
            <w:noWrap w:val="0"/>
            <w:vAlign w:val="center"/>
          </w:tcPr>
          <w:p w14:paraId="50B3F80E">
            <w:pPr>
              <w:pStyle w:val="48"/>
              <w:spacing w:beforeLines="0" w:afterLines="0"/>
              <w:rPr>
                <w:rFonts w:hint="default" w:ascii="Times New Roman" w:hAnsi="Times New Roman" w:cs="Times New Roman"/>
                <w:color w:val="auto"/>
                <w:sz w:val="24"/>
                <w:szCs w:val="24"/>
                <w:highlight w:val="none"/>
              </w:rPr>
            </w:pPr>
          </w:p>
        </w:tc>
        <w:tc>
          <w:tcPr>
            <w:tcW w:w="1224" w:type="dxa"/>
            <w:tcBorders>
              <w:tl2br w:val="nil"/>
              <w:tr2bl w:val="nil"/>
            </w:tcBorders>
            <w:noWrap w:val="0"/>
            <w:vAlign w:val="center"/>
          </w:tcPr>
          <w:p w14:paraId="6D79ABFE">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噪声排放</w:t>
            </w:r>
          </w:p>
        </w:tc>
        <w:tc>
          <w:tcPr>
            <w:tcW w:w="867" w:type="dxa"/>
            <w:tcBorders>
              <w:tl2br w:val="nil"/>
              <w:tr2bl w:val="nil"/>
            </w:tcBorders>
            <w:noWrap w:val="0"/>
            <w:vAlign w:val="center"/>
          </w:tcPr>
          <w:p w14:paraId="168DF48B">
            <w:pPr>
              <w:pStyle w:val="48"/>
              <w:spacing w:beforeLines="0" w:afterLines="0"/>
              <w:rPr>
                <w:rFonts w:hint="default" w:ascii="Times New Roman" w:hAnsi="Times New Roman" w:cs="Times New Roman"/>
                <w:color w:val="auto"/>
                <w:sz w:val="24"/>
                <w:szCs w:val="24"/>
                <w:highlight w:val="none"/>
              </w:rPr>
            </w:pPr>
          </w:p>
        </w:tc>
        <w:tc>
          <w:tcPr>
            <w:tcW w:w="710" w:type="dxa"/>
            <w:tcBorders>
              <w:tl2br w:val="nil"/>
              <w:tr2bl w:val="nil"/>
            </w:tcBorders>
            <w:noWrap w:val="0"/>
            <w:vAlign w:val="center"/>
          </w:tcPr>
          <w:p w14:paraId="4A083C9C">
            <w:pPr>
              <w:pStyle w:val="48"/>
              <w:spacing w:beforeLines="0" w:afterLines="0"/>
              <w:rPr>
                <w:rFonts w:hint="default" w:ascii="Times New Roman" w:hAnsi="Times New Roman" w:cs="Times New Roman"/>
                <w:color w:val="auto"/>
                <w:sz w:val="24"/>
                <w:szCs w:val="24"/>
                <w:highlight w:val="none"/>
              </w:rPr>
            </w:pPr>
          </w:p>
        </w:tc>
        <w:tc>
          <w:tcPr>
            <w:tcW w:w="743" w:type="dxa"/>
            <w:tcBorders>
              <w:tl2br w:val="nil"/>
              <w:tr2bl w:val="nil"/>
            </w:tcBorders>
            <w:noWrap w:val="0"/>
            <w:vAlign w:val="center"/>
          </w:tcPr>
          <w:p w14:paraId="2384811C">
            <w:pPr>
              <w:pStyle w:val="48"/>
              <w:spacing w:beforeLines="0" w:afterLines="0"/>
              <w:rPr>
                <w:rFonts w:hint="default" w:ascii="Times New Roman" w:hAnsi="Times New Roman" w:cs="Times New Roman"/>
                <w:color w:val="auto"/>
                <w:sz w:val="24"/>
                <w:szCs w:val="24"/>
                <w:highlight w:val="none"/>
              </w:rPr>
            </w:pPr>
          </w:p>
        </w:tc>
        <w:tc>
          <w:tcPr>
            <w:tcW w:w="644" w:type="dxa"/>
            <w:tcBorders>
              <w:tl2br w:val="nil"/>
              <w:tr2bl w:val="nil"/>
            </w:tcBorders>
            <w:noWrap w:val="0"/>
            <w:vAlign w:val="center"/>
          </w:tcPr>
          <w:p w14:paraId="1F6B6CC1">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-1C</w:t>
            </w:r>
          </w:p>
        </w:tc>
        <w:tc>
          <w:tcPr>
            <w:tcW w:w="789" w:type="dxa"/>
            <w:tcBorders>
              <w:tl2br w:val="nil"/>
              <w:tr2bl w:val="nil"/>
            </w:tcBorders>
            <w:noWrap w:val="0"/>
            <w:vAlign w:val="center"/>
          </w:tcPr>
          <w:p w14:paraId="0A2C30B3">
            <w:pPr>
              <w:pStyle w:val="48"/>
              <w:spacing w:beforeLines="0" w:afterLines="0"/>
              <w:rPr>
                <w:rFonts w:hint="default" w:ascii="Times New Roman" w:hAnsi="Times New Roman" w:cs="Times New Roman"/>
                <w:color w:val="auto"/>
                <w:sz w:val="24"/>
                <w:szCs w:val="24"/>
                <w:highlight w:val="none"/>
              </w:rPr>
            </w:pPr>
          </w:p>
        </w:tc>
        <w:tc>
          <w:tcPr>
            <w:tcW w:w="1209" w:type="dxa"/>
            <w:tcBorders>
              <w:tl2br w:val="nil"/>
              <w:tr2bl w:val="nil"/>
            </w:tcBorders>
            <w:noWrap w:val="0"/>
            <w:vAlign w:val="center"/>
          </w:tcPr>
          <w:p w14:paraId="257C4436">
            <w:pPr>
              <w:pStyle w:val="48"/>
              <w:spacing w:beforeLines="0" w:afterLines="0"/>
              <w:rPr>
                <w:rFonts w:hint="default" w:ascii="Times New Roman" w:hAnsi="Times New Roman" w:cs="Times New Roman"/>
                <w:color w:val="auto"/>
                <w:sz w:val="24"/>
                <w:szCs w:val="24"/>
                <w:highlight w:val="none"/>
              </w:rPr>
            </w:pPr>
          </w:p>
        </w:tc>
        <w:tc>
          <w:tcPr>
            <w:tcW w:w="756" w:type="dxa"/>
            <w:tcBorders>
              <w:tl2br w:val="nil"/>
              <w:tr2bl w:val="nil"/>
            </w:tcBorders>
            <w:noWrap w:val="0"/>
            <w:vAlign w:val="center"/>
          </w:tcPr>
          <w:p w14:paraId="469FEF25">
            <w:pPr>
              <w:pStyle w:val="48"/>
              <w:spacing w:beforeLines="0" w:afterLines="0"/>
              <w:rPr>
                <w:rFonts w:hint="default" w:ascii="Times New Roman" w:hAnsi="Times New Roman" w:cs="Times New Roman"/>
                <w:color w:val="auto"/>
                <w:sz w:val="24"/>
                <w:szCs w:val="24"/>
                <w:highlight w:val="none"/>
              </w:rPr>
            </w:pPr>
          </w:p>
        </w:tc>
        <w:tc>
          <w:tcPr>
            <w:tcW w:w="723" w:type="dxa"/>
            <w:tcBorders>
              <w:tl2br w:val="nil"/>
              <w:tr2bl w:val="nil"/>
            </w:tcBorders>
            <w:noWrap w:val="0"/>
            <w:vAlign w:val="center"/>
          </w:tcPr>
          <w:p w14:paraId="7885BA75">
            <w:pPr>
              <w:pStyle w:val="48"/>
              <w:spacing w:beforeLines="0" w:afterLines="0"/>
              <w:rPr>
                <w:rFonts w:hint="default" w:ascii="Times New Roman" w:hAnsi="Times New Roman" w:cs="Times New Roman"/>
                <w:color w:val="auto"/>
                <w:sz w:val="24"/>
                <w:szCs w:val="24"/>
                <w:highlight w:val="none"/>
              </w:rPr>
            </w:pPr>
          </w:p>
        </w:tc>
        <w:tc>
          <w:tcPr>
            <w:tcW w:w="794" w:type="dxa"/>
            <w:tcBorders>
              <w:tl2br w:val="nil"/>
              <w:tr2bl w:val="nil"/>
            </w:tcBorders>
            <w:noWrap w:val="0"/>
            <w:vAlign w:val="center"/>
          </w:tcPr>
          <w:p w14:paraId="4AEBD623">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-1C</w:t>
            </w:r>
          </w:p>
        </w:tc>
      </w:tr>
      <w:tr w14:paraId="742C05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711" w:type="dxa"/>
            <w:vMerge w:val="continue"/>
            <w:tcBorders>
              <w:tl2br w:val="nil"/>
              <w:tr2bl w:val="nil"/>
            </w:tcBorders>
            <w:noWrap w:val="0"/>
            <w:vAlign w:val="center"/>
          </w:tcPr>
          <w:p w14:paraId="26C0DA60">
            <w:pPr>
              <w:pStyle w:val="48"/>
              <w:spacing w:beforeLines="0" w:afterLines="0"/>
              <w:rPr>
                <w:rFonts w:hint="default" w:ascii="Times New Roman" w:hAnsi="Times New Roman" w:cs="Times New Roman"/>
                <w:color w:val="auto"/>
                <w:sz w:val="24"/>
                <w:szCs w:val="24"/>
                <w:highlight w:val="none"/>
              </w:rPr>
            </w:pPr>
          </w:p>
        </w:tc>
        <w:tc>
          <w:tcPr>
            <w:tcW w:w="1224" w:type="dxa"/>
            <w:tcBorders>
              <w:tl2br w:val="nil"/>
              <w:tr2bl w:val="nil"/>
            </w:tcBorders>
            <w:noWrap w:val="0"/>
            <w:vAlign w:val="center"/>
          </w:tcPr>
          <w:p w14:paraId="67E65B6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固废处置</w:t>
            </w:r>
          </w:p>
        </w:tc>
        <w:tc>
          <w:tcPr>
            <w:tcW w:w="867" w:type="dxa"/>
            <w:tcBorders>
              <w:tl2br w:val="nil"/>
              <w:tr2bl w:val="nil"/>
            </w:tcBorders>
            <w:noWrap w:val="0"/>
            <w:vAlign w:val="center"/>
          </w:tcPr>
          <w:p w14:paraId="2924BFAA">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-1C</w:t>
            </w:r>
          </w:p>
        </w:tc>
        <w:tc>
          <w:tcPr>
            <w:tcW w:w="710" w:type="dxa"/>
            <w:tcBorders>
              <w:tl2br w:val="nil"/>
              <w:tr2bl w:val="nil"/>
            </w:tcBorders>
            <w:noWrap w:val="0"/>
            <w:vAlign w:val="center"/>
          </w:tcPr>
          <w:p w14:paraId="279149AA">
            <w:pPr>
              <w:pStyle w:val="48"/>
              <w:spacing w:beforeLines="0" w:afterLines="0"/>
              <w:rPr>
                <w:rFonts w:hint="default" w:ascii="Times New Roman" w:hAnsi="Times New Roman" w:cs="Times New Roman"/>
                <w:color w:val="auto"/>
                <w:sz w:val="24"/>
                <w:szCs w:val="24"/>
                <w:highlight w:val="none"/>
              </w:rPr>
            </w:pPr>
          </w:p>
        </w:tc>
        <w:tc>
          <w:tcPr>
            <w:tcW w:w="743" w:type="dxa"/>
            <w:tcBorders>
              <w:tl2br w:val="nil"/>
              <w:tr2bl w:val="nil"/>
            </w:tcBorders>
            <w:noWrap w:val="0"/>
            <w:vAlign w:val="center"/>
          </w:tcPr>
          <w:p w14:paraId="135B86B9">
            <w:pPr>
              <w:pStyle w:val="48"/>
              <w:spacing w:beforeLines="0" w:afterLines="0"/>
              <w:rPr>
                <w:rFonts w:hint="default" w:ascii="Times New Roman" w:hAnsi="Times New Roman" w:cs="Times New Roman"/>
                <w:color w:val="auto"/>
                <w:sz w:val="24"/>
                <w:szCs w:val="24"/>
                <w:highlight w:val="none"/>
              </w:rPr>
            </w:pPr>
          </w:p>
        </w:tc>
        <w:tc>
          <w:tcPr>
            <w:tcW w:w="644" w:type="dxa"/>
            <w:tcBorders>
              <w:tl2br w:val="nil"/>
              <w:tr2bl w:val="nil"/>
            </w:tcBorders>
            <w:noWrap w:val="0"/>
            <w:vAlign w:val="center"/>
          </w:tcPr>
          <w:p w14:paraId="7B0AD1E9">
            <w:pPr>
              <w:pStyle w:val="48"/>
              <w:spacing w:beforeLines="0" w:afterLines="0"/>
              <w:rPr>
                <w:rFonts w:hint="default" w:ascii="Times New Roman" w:hAnsi="Times New Roman" w:cs="Times New Roman"/>
                <w:color w:val="auto"/>
                <w:sz w:val="24"/>
                <w:szCs w:val="24"/>
                <w:highlight w:val="none"/>
              </w:rPr>
            </w:pPr>
          </w:p>
        </w:tc>
        <w:tc>
          <w:tcPr>
            <w:tcW w:w="789" w:type="dxa"/>
            <w:tcBorders>
              <w:tl2br w:val="nil"/>
              <w:tr2bl w:val="nil"/>
            </w:tcBorders>
            <w:noWrap w:val="0"/>
            <w:vAlign w:val="center"/>
          </w:tcPr>
          <w:p w14:paraId="6A51AB24">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-1C</w:t>
            </w:r>
          </w:p>
        </w:tc>
        <w:tc>
          <w:tcPr>
            <w:tcW w:w="1209" w:type="dxa"/>
            <w:tcBorders>
              <w:tl2br w:val="nil"/>
              <w:tr2bl w:val="nil"/>
            </w:tcBorders>
            <w:noWrap w:val="0"/>
            <w:vAlign w:val="center"/>
          </w:tcPr>
          <w:p w14:paraId="1342605D">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-1C</w:t>
            </w:r>
          </w:p>
        </w:tc>
        <w:tc>
          <w:tcPr>
            <w:tcW w:w="756" w:type="dxa"/>
            <w:tcBorders>
              <w:tl2br w:val="nil"/>
              <w:tr2bl w:val="nil"/>
            </w:tcBorders>
            <w:noWrap w:val="0"/>
            <w:vAlign w:val="center"/>
          </w:tcPr>
          <w:p w14:paraId="62B014C3">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-1C</w:t>
            </w:r>
          </w:p>
        </w:tc>
        <w:tc>
          <w:tcPr>
            <w:tcW w:w="723" w:type="dxa"/>
            <w:tcBorders>
              <w:tl2br w:val="nil"/>
              <w:tr2bl w:val="nil"/>
            </w:tcBorders>
            <w:noWrap w:val="0"/>
            <w:vAlign w:val="center"/>
          </w:tcPr>
          <w:p w14:paraId="4E634F9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-1C</w:t>
            </w:r>
          </w:p>
        </w:tc>
        <w:tc>
          <w:tcPr>
            <w:tcW w:w="794" w:type="dxa"/>
            <w:tcBorders>
              <w:tl2br w:val="nil"/>
              <w:tr2bl w:val="nil"/>
            </w:tcBorders>
            <w:noWrap w:val="0"/>
            <w:vAlign w:val="center"/>
          </w:tcPr>
          <w:p w14:paraId="46439D77">
            <w:pPr>
              <w:pStyle w:val="48"/>
              <w:spacing w:beforeLines="0" w:afterLines="0"/>
              <w:rPr>
                <w:rFonts w:hint="default" w:ascii="Times New Roman" w:hAnsi="Times New Roman" w:cs="Times New Roman"/>
                <w:color w:val="auto"/>
                <w:sz w:val="24"/>
                <w:szCs w:val="24"/>
                <w:highlight w:val="none"/>
              </w:rPr>
            </w:pPr>
          </w:p>
        </w:tc>
      </w:tr>
      <w:tr w14:paraId="274424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711" w:type="dxa"/>
            <w:tcBorders>
              <w:tl2br w:val="nil"/>
              <w:tr2bl w:val="nil"/>
            </w:tcBorders>
            <w:noWrap w:val="0"/>
            <w:vAlign w:val="center"/>
          </w:tcPr>
          <w:p w14:paraId="094ED9F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退役期</w:t>
            </w:r>
          </w:p>
        </w:tc>
        <w:tc>
          <w:tcPr>
            <w:tcW w:w="1224" w:type="dxa"/>
            <w:tcBorders>
              <w:tl2br w:val="nil"/>
              <w:tr2bl w:val="nil"/>
            </w:tcBorders>
            <w:noWrap w:val="0"/>
            <w:vAlign w:val="center"/>
          </w:tcPr>
          <w:p w14:paraId="72A19C6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生态恢复</w:t>
            </w:r>
          </w:p>
        </w:tc>
        <w:tc>
          <w:tcPr>
            <w:tcW w:w="867" w:type="dxa"/>
            <w:tcBorders>
              <w:tl2br w:val="nil"/>
              <w:tr2bl w:val="nil"/>
            </w:tcBorders>
            <w:noWrap w:val="0"/>
            <w:vAlign w:val="center"/>
          </w:tcPr>
          <w:p w14:paraId="2EFD106C">
            <w:pPr>
              <w:pStyle w:val="48"/>
              <w:spacing w:beforeLines="0" w:afterLines="0"/>
              <w:rPr>
                <w:rFonts w:hint="default" w:ascii="Times New Roman" w:hAnsi="Times New Roman" w:cs="Times New Roman"/>
                <w:color w:val="auto"/>
                <w:sz w:val="24"/>
                <w:szCs w:val="24"/>
                <w:highlight w:val="none"/>
              </w:rPr>
            </w:pPr>
          </w:p>
        </w:tc>
        <w:tc>
          <w:tcPr>
            <w:tcW w:w="710" w:type="dxa"/>
            <w:tcBorders>
              <w:tl2br w:val="nil"/>
              <w:tr2bl w:val="nil"/>
            </w:tcBorders>
            <w:noWrap w:val="0"/>
            <w:vAlign w:val="center"/>
          </w:tcPr>
          <w:p w14:paraId="263CAF96">
            <w:pPr>
              <w:pStyle w:val="48"/>
              <w:spacing w:beforeLines="0" w:afterLines="0"/>
              <w:rPr>
                <w:rFonts w:hint="default" w:ascii="Times New Roman" w:hAnsi="Times New Roman" w:cs="Times New Roman"/>
                <w:color w:val="auto"/>
                <w:sz w:val="24"/>
                <w:szCs w:val="24"/>
                <w:highlight w:val="none"/>
              </w:rPr>
            </w:pPr>
          </w:p>
        </w:tc>
        <w:tc>
          <w:tcPr>
            <w:tcW w:w="743" w:type="dxa"/>
            <w:tcBorders>
              <w:tl2br w:val="nil"/>
              <w:tr2bl w:val="nil"/>
            </w:tcBorders>
            <w:noWrap w:val="0"/>
            <w:vAlign w:val="center"/>
          </w:tcPr>
          <w:p w14:paraId="7C2AD96F">
            <w:pPr>
              <w:pStyle w:val="48"/>
              <w:spacing w:beforeLines="0" w:afterLines="0"/>
              <w:rPr>
                <w:rFonts w:hint="default" w:ascii="Times New Roman" w:hAnsi="Times New Roman" w:cs="Times New Roman"/>
                <w:color w:val="auto"/>
                <w:sz w:val="24"/>
                <w:szCs w:val="24"/>
                <w:highlight w:val="none"/>
              </w:rPr>
            </w:pPr>
          </w:p>
        </w:tc>
        <w:tc>
          <w:tcPr>
            <w:tcW w:w="644" w:type="dxa"/>
            <w:tcBorders>
              <w:tl2br w:val="nil"/>
              <w:tr2bl w:val="nil"/>
            </w:tcBorders>
            <w:noWrap w:val="0"/>
            <w:vAlign w:val="center"/>
          </w:tcPr>
          <w:p w14:paraId="5B7F9F67">
            <w:pPr>
              <w:pStyle w:val="48"/>
              <w:spacing w:beforeLines="0" w:afterLines="0"/>
              <w:rPr>
                <w:rFonts w:hint="default" w:ascii="Times New Roman" w:hAnsi="Times New Roman" w:cs="Times New Roman"/>
                <w:color w:val="auto"/>
                <w:sz w:val="24"/>
                <w:szCs w:val="24"/>
                <w:highlight w:val="none"/>
              </w:rPr>
            </w:pPr>
          </w:p>
        </w:tc>
        <w:tc>
          <w:tcPr>
            <w:tcW w:w="789" w:type="dxa"/>
            <w:tcBorders>
              <w:tl2br w:val="nil"/>
              <w:tr2bl w:val="nil"/>
            </w:tcBorders>
            <w:noWrap w:val="0"/>
            <w:vAlign w:val="center"/>
          </w:tcPr>
          <w:p w14:paraId="7AC5DEA6">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+2C</w:t>
            </w:r>
          </w:p>
        </w:tc>
        <w:tc>
          <w:tcPr>
            <w:tcW w:w="1209" w:type="dxa"/>
            <w:tcBorders>
              <w:tl2br w:val="nil"/>
              <w:tr2bl w:val="nil"/>
            </w:tcBorders>
            <w:noWrap w:val="0"/>
            <w:vAlign w:val="center"/>
          </w:tcPr>
          <w:p w14:paraId="69592688">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+2C</w:t>
            </w:r>
          </w:p>
        </w:tc>
        <w:tc>
          <w:tcPr>
            <w:tcW w:w="756" w:type="dxa"/>
            <w:tcBorders>
              <w:tl2br w:val="nil"/>
              <w:tr2bl w:val="nil"/>
            </w:tcBorders>
            <w:noWrap w:val="0"/>
            <w:vAlign w:val="center"/>
          </w:tcPr>
          <w:p w14:paraId="70CF19C4">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+1C</w:t>
            </w:r>
          </w:p>
        </w:tc>
        <w:tc>
          <w:tcPr>
            <w:tcW w:w="723" w:type="dxa"/>
            <w:tcBorders>
              <w:tl2br w:val="nil"/>
              <w:tr2bl w:val="nil"/>
            </w:tcBorders>
            <w:noWrap w:val="0"/>
            <w:vAlign w:val="center"/>
          </w:tcPr>
          <w:p w14:paraId="7C511536">
            <w:pPr>
              <w:pStyle w:val="48"/>
              <w:spacing w:beforeLines="0" w:afterLines="0"/>
              <w:rPr>
                <w:rFonts w:hint="default" w:ascii="Times New Roman" w:hAnsi="Times New Roman" w:cs="Times New Roman"/>
                <w:color w:val="auto"/>
                <w:sz w:val="24"/>
                <w:szCs w:val="24"/>
                <w:highlight w:val="none"/>
              </w:rPr>
            </w:pPr>
          </w:p>
        </w:tc>
        <w:tc>
          <w:tcPr>
            <w:tcW w:w="794" w:type="dxa"/>
            <w:tcBorders>
              <w:tl2br w:val="nil"/>
              <w:tr2bl w:val="nil"/>
            </w:tcBorders>
            <w:noWrap w:val="0"/>
            <w:vAlign w:val="center"/>
          </w:tcPr>
          <w:p w14:paraId="5234BDAE">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+1C</w:t>
            </w:r>
          </w:p>
        </w:tc>
      </w:tr>
      <w:tr w14:paraId="07092D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9170" w:type="dxa"/>
            <w:gridSpan w:val="11"/>
            <w:tcBorders>
              <w:tl2br w:val="nil"/>
              <w:tr2bl w:val="nil"/>
            </w:tcBorders>
            <w:noWrap w:val="0"/>
            <w:vAlign w:val="center"/>
          </w:tcPr>
          <w:p w14:paraId="5693AF9E">
            <w:pPr>
              <w:pStyle w:val="48"/>
              <w:spacing w:beforeLines="0" w:afterLines="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备注：</w:t>
            </w:r>
          </w:p>
          <w:p w14:paraId="6C629074">
            <w:pPr>
              <w:pStyle w:val="48"/>
              <w:spacing w:beforeLines="0" w:afterLines="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1、表中“＋”表示有利影响，“－”表示不利影响；</w:t>
            </w:r>
          </w:p>
          <w:p w14:paraId="41BC7A4F">
            <w:pPr>
              <w:pStyle w:val="48"/>
              <w:spacing w:beforeLines="0" w:afterLines="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2、表中数字表示影响的相对程度，“1”表示影响较小，“2”表示影响中等，“3”表示影响较大；</w:t>
            </w:r>
          </w:p>
          <w:p w14:paraId="50EFD6C4">
            <w:pPr>
              <w:pStyle w:val="48"/>
              <w:spacing w:beforeLines="0" w:afterLines="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3、表中“D”表示短期影响，“C”表示长期影响。</w:t>
            </w:r>
          </w:p>
        </w:tc>
      </w:tr>
    </w:tbl>
    <w:p w14:paraId="4D846885">
      <w:pPr>
        <w:pStyle w:val="14"/>
        <w:kinsoku w:val="0"/>
        <w:overflowPunct w:val="0"/>
        <w:spacing w:before="1" w:beforeLines="0" w:afterLines="0"/>
        <w:ind w:left="0"/>
        <w:rPr>
          <w:rFonts w:hint="default" w:ascii="Times New Roman" w:hAnsi="Times New Roman" w:cs="Times New Roman"/>
          <w:color w:val="auto"/>
          <w:sz w:val="2"/>
          <w:szCs w:val="24"/>
          <w:highlight w:val="none"/>
        </w:rPr>
      </w:pPr>
    </w:p>
    <w:p w14:paraId="120E2A60">
      <w:pPr>
        <w:pStyle w:val="4"/>
        <w:bidi w:val="0"/>
        <w:rPr>
          <w:rFonts w:hint="default"/>
        </w:rPr>
      </w:pPr>
      <w:bookmarkStart w:id="76" w:name="2.3.2评价因子筛选"/>
      <w:bookmarkEnd w:id="76"/>
      <w:r>
        <w:rPr>
          <w:rFonts w:hint="default"/>
        </w:rPr>
        <w:t>评价因子筛选</w:t>
      </w:r>
    </w:p>
    <w:p w14:paraId="1D69779B">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根据环境影响因素识别结果，结合本项目工程特点和污染源排放特征及项目区周边环境现状，确定本次评价因子见表2.</w:t>
      </w:r>
      <w:r>
        <w:rPr>
          <w:rFonts w:hint="default"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rPr>
        <w:t>-2。</w:t>
      </w:r>
    </w:p>
    <w:p w14:paraId="266B09CB">
      <w:pPr>
        <w:pStyle w:val="45"/>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表2.</w:t>
      </w:r>
      <w:r>
        <w:rPr>
          <w:rFonts w:hint="default"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rPr>
        <w:t>-2</w:t>
      </w:r>
      <w:r>
        <w:rPr>
          <w:rFonts w:hint="default" w:ascii="Times New Roman" w:hAnsi="Times New Roman" w:cs="Times New Roman"/>
          <w:color w:val="auto"/>
          <w:sz w:val="24"/>
          <w:szCs w:val="24"/>
          <w:highlight w:val="none"/>
        </w:rPr>
        <w:tab/>
      </w:r>
      <w:r>
        <w:rPr>
          <w:rFonts w:hint="default" w:ascii="Times New Roman" w:hAnsi="Times New Roman" w:cs="Times New Roman"/>
          <w:color w:val="auto"/>
          <w:sz w:val="24"/>
          <w:szCs w:val="24"/>
          <w:highlight w:val="none"/>
        </w:rPr>
        <w:t>评价因子一览表</w:t>
      </w:r>
    </w:p>
    <w:tbl>
      <w:tblPr>
        <w:tblStyle w:val="31"/>
        <w:tblW w:w="0" w:type="auto"/>
        <w:tblInd w:w="2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1219"/>
        <w:gridCol w:w="1219"/>
        <w:gridCol w:w="6014"/>
      </w:tblGrid>
      <w:tr w14:paraId="3DAEF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2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2971A6C">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序号</w:t>
            </w:r>
          </w:p>
        </w:tc>
        <w:tc>
          <w:tcPr>
            <w:tcW w:w="121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5BF6C4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环境要素</w:t>
            </w:r>
          </w:p>
        </w:tc>
        <w:tc>
          <w:tcPr>
            <w:tcW w:w="121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2212A75">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专题</w:t>
            </w:r>
          </w:p>
        </w:tc>
        <w:tc>
          <w:tcPr>
            <w:tcW w:w="601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A656C91">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评价因子</w:t>
            </w:r>
          </w:p>
        </w:tc>
      </w:tr>
      <w:tr w14:paraId="172E9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22"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3246E28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w:t>
            </w:r>
          </w:p>
        </w:tc>
        <w:tc>
          <w:tcPr>
            <w:tcW w:w="1219"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6C817451">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环境空气</w:t>
            </w:r>
          </w:p>
        </w:tc>
        <w:tc>
          <w:tcPr>
            <w:tcW w:w="121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8E90088">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现状评价</w:t>
            </w:r>
          </w:p>
        </w:tc>
        <w:tc>
          <w:tcPr>
            <w:tcW w:w="601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502A43A">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rPr>
              <w:t>SO</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color w:val="auto"/>
                <w:sz w:val="24"/>
                <w:szCs w:val="24"/>
                <w:highlight w:val="none"/>
              </w:rPr>
              <w:t>、NO</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color w:val="auto"/>
                <w:sz w:val="24"/>
                <w:szCs w:val="24"/>
                <w:highlight w:val="none"/>
              </w:rPr>
              <w:t>、PM</w:t>
            </w:r>
            <w:r>
              <w:rPr>
                <w:rFonts w:hint="default" w:ascii="Times New Roman" w:hAnsi="Times New Roman" w:cs="Times New Roman"/>
                <w:color w:val="auto"/>
                <w:sz w:val="24"/>
                <w:szCs w:val="24"/>
                <w:highlight w:val="none"/>
                <w:vertAlign w:val="subscript"/>
              </w:rPr>
              <w:t>10</w:t>
            </w:r>
            <w:r>
              <w:rPr>
                <w:rFonts w:hint="default" w:ascii="Times New Roman" w:hAnsi="Times New Roman" w:cs="Times New Roman"/>
                <w:color w:val="auto"/>
                <w:sz w:val="24"/>
                <w:szCs w:val="24"/>
                <w:highlight w:val="none"/>
              </w:rPr>
              <w:t>、PM</w:t>
            </w:r>
            <w:r>
              <w:rPr>
                <w:rFonts w:hint="default" w:ascii="Times New Roman" w:hAnsi="Times New Roman" w:cs="Times New Roman"/>
                <w:color w:val="auto"/>
                <w:sz w:val="24"/>
                <w:szCs w:val="24"/>
                <w:highlight w:val="none"/>
                <w:vertAlign w:val="subscript"/>
              </w:rPr>
              <w:t>2.5</w:t>
            </w:r>
            <w:r>
              <w:rPr>
                <w:rFonts w:hint="default" w:ascii="Times New Roman" w:hAnsi="Times New Roman" w:cs="Times New Roman"/>
                <w:color w:val="auto"/>
                <w:sz w:val="24"/>
                <w:szCs w:val="24"/>
                <w:highlight w:val="none"/>
              </w:rPr>
              <w:t>、CO、O</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、TSP</w:t>
            </w:r>
          </w:p>
        </w:tc>
      </w:tr>
      <w:tr w14:paraId="503A2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2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499454B7">
            <w:pPr>
              <w:pStyle w:val="48"/>
              <w:spacing w:beforeLines="0" w:afterLines="0"/>
              <w:rPr>
                <w:rFonts w:hint="default" w:ascii="Times New Roman" w:hAnsi="Times New Roman" w:cs="Times New Roman"/>
                <w:color w:val="auto"/>
                <w:sz w:val="24"/>
                <w:szCs w:val="24"/>
                <w:highlight w:val="none"/>
              </w:rPr>
            </w:pPr>
          </w:p>
        </w:tc>
        <w:tc>
          <w:tcPr>
            <w:tcW w:w="1219"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1F4A3242">
            <w:pPr>
              <w:pStyle w:val="48"/>
              <w:spacing w:beforeLines="0" w:afterLines="0"/>
              <w:rPr>
                <w:rFonts w:hint="default" w:ascii="Times New Roman" w:hAnsi="Times New Roman" w:cs="Times New Roman"/>
                <w:color w:val="auto"/>
                <w:sz w:val="24"/>
                <w:szCs w:val="24"/>
                <w:highlight w:val="none"/>
              </w:rPr>
            </w:pPr>
          </w:p>
        </w:tc>
        <w:tc>
          <w:tcPr>
            <w:tcW w:w="121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16EE997">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影响分析</w:t>
            </w:r>
          </w:p>
        </w:tc>
        <w:tc>
          <w:tcPr>
            <w:tcW w:w="601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EAC19C8">
            <w:pPr>
              <w:pStyle w:val="48"/>
              <w:spacing w:beforeLines="0" w:afterLines="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rPr>
              <w:t>TSP</w:t>
            </w:r>
          </w:p>
        </w:tc>
      </w:tr>
      <w:tr w14:paraId="2A8F6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2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12D9A516">
            <w:pPr>
              <w:pStyle w:val="48"/>
              <w:spacing w:beforeLines="0" w:afterLines="0"/>
              <w:rPr>
                <w:rFonts w:hint="default" w:ascii="Times New Roman" w:hAnsi="Times New Roman" w:cs="Times New Roman"/>
                <w:color w:val="auto"/>
                <w:sz w:val="24"/>
                <w:szCs w:val="24"/>
                <w:highlight w:val="none"/>
              </w:rPr>
            </w:pPr>
          </w:p>
        </w:tc>
        <w:tc>
          <w:tcPr>
            <w:tcW w:w="1219"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0BDE84BE">
            <w:pPr>
              <w:pStyle w:val="48"/>
              <w:spacing w:beforeLines="0" w:afterLines="0"/>
              <w:rPr>
                <w:rFonts w:hint="default" w:ascii="Times New Roman" w:hAnsi="Times New Roman" w:cs="Times New Roman"/>
                <w:color w:val="auto"/>
                <w:sz w:val="24"/>
                <w:szCs w:val="24"/>
                <w:highlight w:val="none"/>
              </w:rPr>
            </w:pPr>
          </w:p>
        </w:tc>
        <w:tc>
          <w:tcPr>
            <w:tcW w:w="121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5773C5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总量控制</w:t>
            </w:r>
          </w:p>
        </w:tc>
        <w:tc>
          <w:tcPr>
            <w:tcW w:w="601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D13381D">
            <w:pPr>
              <w:pStyle w:val="48"/>
              <w:spacing w:beforeLines="0" w:afterLines="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rPr>
              <w:t>颗粒物</w:t>
            </w:r>
          </w:p>
        </w:tc>
      </w:tr>
      <w:tr w14:paraId="31F60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22"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67DEFBA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w:t>
            </w:r>
          </w:p>
        </w:tc>
        <w:tc>
          <w:tcPr>
            <w:tcW w:w="1219"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19E9F19E">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声环境</w:t>
            </w:r>
          </w:p>
        </w:tc>
        <w:tc>
          <w:tcPr>
            <w:tcW w:w="121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3E8B4DC">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现状评价</w:t>
            </w:r>
          </w:p>
        </w:tc>
        <w:tc>
          <w:tcPr>
            <w:tcW w:w="601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1D83B1B">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等效A声级</w:t>
            </w:r>
          </w:p>
        </w:tc>
      </w:tr>
      <w:tr w14:paraId="2553A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2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76F85BDE">
            <w:pPr>
              <w:pStyle w:val="48"/>
              <w:spacing w:beforeLines="0" w:afterLines="0"/>
              <w:rPr>
                <w:rFonts w:hint="default" w:ascii="Times New Roman" w:hAnsi="Times New Roman" w:cs="Times New Roman"/>
                <w:color w:val="auto"/>
                <w:sz w:val="24"/>
                <w:szCs w:val="24"/>
                <w:highlight w:val="none"/>
              </w:rPr>
            </w:pPr>
          </w:p>
        </w:tc>
        <w:tc>
          <w:tcPr>
            <w:tcW w:w="1219"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42F8DAD0">
            <w:pPr>
              <w:pStyle w:val="48"/>
              <w:spacing w:beforeLines="0" w:afterLines="0"/>
              <w:rPr>
                <w:rFonts w:hint="default" w:ascii="Times New Roman" w:hAnsi="Times New Roman" w:cs="Times New Roman"/>
                <w:color w:val="auto"/>
                <w:sz w:val="24"/>
                <w:szCs w:val="24"/>
                <w:highlight w:val="none"/>
              </w:rPr>
            </w:pPr>
          </w:p>
        </w:tc>
        <w:tc>
          <w:tcPr>
            <w:tcW w:w="121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53D0DFD">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影响分析</w:t>
            </w:r>
          </w:p>
        </w:tc>
        <w:tc>
          <w:tcPr>
            <w:tcW w:w="601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6C296FE">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等效A声级</w:t>
            </w:r>
          </w:p>
        </w:tc>
      </w:tr>
      <w:tr w14:paraId="7354E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2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ECD1165">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w:t>
            </w:r>
          </w:p>
        </w:tc>
        <w:tc>
          <w:tcPr>
            <w:tcW w:w="121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9FC1F0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固体废物</w:t>
            </w:r>
          </w:p>
        </w:tc>
        <w:tc>
          <w:tcPr>
            <w:tcW w:w="121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AF964E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影响分析</w:t>
            </w:r>
          </w:p>
        </w:tc>
        <w:tc>
          <w:tcPr>
            <w:tcW w:w="601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B5914A5">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生产废料、生活垃圾</w:t>
            </w:r>
          </w:p>
        </w:tc>
      </w:tr>
      <w:tr w14:paraId="68B2E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22"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22D7290E">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w:t>
            </w:r>
          </w:p>
        </w:tc>
        <w:tc>
          <w:tcPr>
            <w:tcW w:w="1219"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00A55056">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土壤</w:t>
            </w:r>
          </w:p>
        </w:tc>
        <w:tc>
          <w:tcPr>
            <w:tcW w:w="121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57568EE">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现状评价</w:t>
            </w:r>
          </w:p>
        </w:tc>
        <w:tc>
          <w:tcPr>
            <w:tcW w:w="601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9F19B0E">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厂界内：</w:t>
            </w:r>
            <w:r>
              <w:rPr>
                <w:rFonts w:hint="default" w:ascii="Times New Roman" w:hAnsi="Times New Roman" w:cs="Times New Roman"/>
                <w:color w:val="auto"/>
                <w:sz w:val="24"/>
                <w:szCs w:val="24"/>
                <w:highlight w:val="none"/>
              </w:rPr>
              <w:t>GB36600-2018表1中45项基本项+pH值</w:t>
            </w:r>
          </w:p>
          <w:p w14:paraId="7C1A6E02">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厂界外：GB15618-2018表1中基本项8项</w:t>
            </w:r>
          </w:p>
        </w:tc>
      </w:tr>
      <w:tr w14:paraId="5967B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2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0BE57C42">
            <w:pPr>
              <w:pStyle w:val="48"/>
              <w:spacing w:beforeLines="0" w:afterLines="0"/>
              <w:rPr>
                <w:rFonts w:hint="default" w:ascii="Times New Roman" w:hAnsi="Times New Roman" w:cs="Times New Roman"/>
                <w:color w:val="auto"/>
                <w:sz w:val="24"/>
                <w:szCs w:val="24"/>
                <w:highlight w:val="none"/>
              </w:rPr>
            </w:pPr>
          </w:p>
        </w:tc>
        <w:tc>
          <w:tcPr>
            <w:tcW w:w="1219"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7355B06E">
            <w:pPr>
              <w:pStyle w:val="48"/>
              <w:spacing w:beforeLines="0" w:afterLines="0"/>
              <w:rPr>
                <w:rFonts w:hint="default" w:ascii="Times New Roman" w:hAnsi="Times New Roman" w:cs="Times New Roman"/>
                <w:color w:val="auto"/>
                <w:sz w:val="24"/>
                <w:szCs w:val="24"/>
                <w:highlight w:val="none"/>
              </w:rPr>
            </w:pPr>
          </w:p>
        </w:tc>
        <w:tc>
          <w:tcPr>
            <w:tcW w:w="121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33C068B">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影响评价</w:t>
            </w:r>
          </w:p>
        </w:tc>
        <w:tc>
          <w:tcPr>
            <w:tcW w:w="601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FEFB1B5">
            <w:pPr>
              <w:pStyle w:val="48"/>
              <w:spacing w:beforeLines="0" w:afterLine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pH、含盐量</w:t>
            </w:r>
          </w:p>
        </w:tc>
      </w:tr>
      <w:tr w14:paraId="459C0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22"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36CDD218">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5</w:t>
            </w:r>
          </w:p>
        </w:tc>
        <w:tc>
          <w:tcPr>
            <w:tcW w:w="1219"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3895218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生态环境</w:t>
            </w:r>
          </w:p>
        </w:tc>
        <w:tc>
          <w:tcPr>
            <w:tcW w:w="121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CFFEA0E">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现状评价</w:t>
            </w:r>
          </w:p>
        </w:tc>
        <w:tc>
          <w:tcPr>
            <w:tcW w:w="601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6B7D6F3">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占地、植被、动物、水土流失等</w:t>
            </w:r>
          </w:p>
        </w:tc>
      </w:tr>
      <w:tr w14:paraId="2C97B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2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146982F8">
            <w:pPr>
              <w:pStyle w:val="48"/>
              <w:spacing w:beforeLines="0" w:afterLines="0"/>
              <w:rPr>
                <w:rFonts w:hint="default" w:ascii="Times New Roman" w:hAnsi="Times New Roman" w:cs="Times New Roman"/>
                <w:color w:val="auto"/>
                <w:sz w:val="24"/>
                <w:szCs w:val="24"/>
                <w:highlight w:val="none"/>
              </w:rPr>
            </w:pPr>
          </w:p>
        </w:tc>
        <w:tc>
          <w:tcPr>
            <w:tcW w:w="1219"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4EF56EBC">
            <w:pPr>
              <w:pStyle w:val="48"/>
              <w:spacing w:beforeLines="0" w:afterLines="0"/>
              <w:rPr>
                <w:rFonts w:hint="default" w:ascii="Times New Roman" w:hAnsi="Times New Roman" w:cs="Times New Roman"/>
                <w:color w:val="auto"/>
                <w:sz w:val="24"/>
                <w:szCs w:val="24"/>
                <w:highlight w:val="none"/>
              </w:rPr>
            </w:pPr>
          </w:p>
        </w:tc>
        <w:tc>
          <w:tcPr>
            <w:tcW w:w="121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09699C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影响评价</w:t>
            </w:r>
          </w:p>
        </w:tc>
        <w:tc>
          <w:tcPr>
            <w:tcW w:w="601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E2F59FE">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占地、植被、动物、生境、水土流失等</w:t>
            </w:r>
          </w:p>
        </w:tc>
      </w:tr>
    </w:tbl>
    <w:p w14:paraId="35D66485">
      <w:pPr>
        <w:pStyle w:val="14"/>
        <w:kinsoku w:val="0"/>
        <w:overflowPunct w:val="0"/>
        <w:spacing w:before="2" w:beforeLines="0" w:afterLines="0"/>
        <w:ind w:left="0"/>
        <w:rPr>
          <w:rFonts w:hint="default" w:ascii="Times New Roman" w:hAnsi="Times New Roman" w:cs="Times New Roman"/>
          <w:color w:val="auto"/>
          <w:sz w:val="10"/>
          <w:szCs w:val="24"/>
          <w:highlight w:val="none"/>
        </w:rPr>
      </w:pPr>
    </w:p>
    <w:p w14:paraId="102A096F">
      <w:pPr>
        <w:pStyle w:val="3"/>
        <w:bidi w:val="0"/>
        <w:rPr>
          <w:rFonts w:hint="default"/>
        </w:rPr>
      </w:pPr>
      <w:bookmarkStart w:id="77" w:name="bookmark11"/>
      <w:bookmarkEnd w:id="77"/>
      <w:bookmarkStart w:id="78" w:name="2.4环境影响评价标准"/>
      <w:bookmarkEnd w:id="78"/>
      <w:bookmarkStart w:id="79" w:name="_Toc320"/>
      <w:bookmarkStart w:id="80" w:name="_Toc6973"/>
      <w:r>
        <w:rPr>
          <w:rFonts w:hint="default"/>
        </w:rPr>
        <w:t>环境影响评价标准</w:t>
      </w:r>
      <w:bookmarkEnd w:id="79"/>
      <w:bookmarkEnd w:id="80"/>
    </w:p>
    <w:p w14:paraId="15C8962F">
      <w:pPr>
        <w:pStyle w:val="4"/>
        <w:bidi w:val="0"/>
        <w:rPr>
          <w:rFonts w:hint="default"/>
        </w:rPr>
      </w:pPr>
      <w:bookmarkStart w:id="81" w:name="2.4.1环境功能区划"/>
      <w:bookmarkEnd w:id="81"/>
      <w:r>
        <w:rPr>
          <w:rFonts w:hint="default"/>
        </w:rPr>
        <w:t>环境功能区划</w:t>
      </w:r>
    </w:p>
    <w:p w14:paraId="7DCE6382">
      <w:pPr>
        <w:numPr>
          <w:ilvl w:val="0"/>
          <w:numId w:val="15"/>
        </w:numPr>
        <w:tabs>
          <w:tab w:val="left" w:pos="840"/>
          <w:tab w:val="clear" w:pos="0"/>
        </w:tabs>
        <w:spacing w:beforeLines="0" w:afterLines="0"/>
        <w:ind w:firstLineChar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空气环境功能区划</w:t>
      </w:r>
    </w:p>
    <w:p w14:paraId="547DD28E">
      <w:pPr>
        <w:numPr>
          <w:ilvl w:val="0"/>
          <w:numId w:val="0"/>
        </w:numPr>
        <w:tabs>
          <w:tab w:val="left" w:pos="840"/>
        </w:tabs>
        <w:spacing w:beforeLines="0" w:afterLines="0"/>
        <w:ind w:firstLine="48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根据《环境空气质量标准》（GB3095-2012）环境空气质量功能区分类，本项目所在区域环境空气质量功能确定为二类区。</w:t>
      </w:r>
    </w:p>
    <w:p w14:paraId="5F9BBF3F">
      <w:pPr>
        <w:numPr>
          <w:ilvl w:val="0"/>
          <w:numId w:val="15"/>
        </w:numPr>
        <w:tabs>
          <w:tab w:val="left" w:pos="840"/>
          <w:tab w:val="clear" w:pos="0"/>
        </w:tabs>
        <w:spacing w:beforeLines="0" w:afterLines="0"/>
        <w:ind w:firstLineChar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水环境功能区划</w:t>
      </w:r>
    </w:p>
    <w:p w14:paraId="35F1908F">
      <w:pPr>
        <w:numPr>
          <w:ilvl w:val="0"/>
          <w:numId w:val="0"/>
        </w:numPr>
        <w:tabs>
          <w:tab w:val="left" w:pos="840"/>
        </w:tabs>
        <w:spacing w:beforeLines="0" w:afterLines="0"/>
        <w:ind w:firstLine="48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本项目评价范围内无地表水体分布，未开展地表水环境影响预测与评价。根据《地下水质量标准》（GB/T14848-2017）中地下水分类标准，本项目所在区域地下水环境功能区划确定为III类。</w:t>
      </w:r>
    </w:p>
    <w:p w14:paraId="5A446ACE">
      <w:pPr>
        <w:numPr>
          <w:ilvl w:val="0"/>
          <w:numId w:val="15"/>
        </w:numPr>
        <w:tabs>
          <w:tab w:val="left" w:pos="840"/>
          <w:tab w:val="clear" w:pos="0"/>
        </w:tabs>
        <w:spacing w:beforeLines="0" w:afterLines="0"/>
        <w:ind w:firstLineChar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声环境功能区划</w:t>
      </w:r>
    </w:p>
    <w:p w14:paraId="1FFD75C6">
      <w:pPr>
        <w:numPr>
          <w:ilvl w:val="0"/>
          <w:numId w:val="0"/>
        </w:numPr>
        <w:tabs>
          <w:tab w:val="left" w:pos="840"/>
        </w:tabs>
        <w:spacing w:beforeLines="0" w:afterLines="0"/>
        <w:ind w:firstLine="48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项目选址位于荒漠区，属于采矿工程，根据《声环境质量标准》（GB3096-2008）中的规定，属于2类声环境功能区。</w:t>
      </w:r>
    </w:p>
    <w:p w14:paraId="2B8C6067">
      <w:pPr>
        <w:numPr>
          <w:ilvl w:val="0"/>
          <w:numId w:val="15"/>
        </w:numPr>
        <w:tabs>
          <w:tab w:val="left" w:pos="840"/>
          <w:tab w:val="clear" w:pos="0"/>
        </w:tabs>
        <w:spacing w:beforeLines="0" w:afterLines="0"/>
        <w:ind w:firstLineChar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生态环境功能区划</w:t>
      </w:r>
    </w:p>
    <w:p w14:paraId="421A2BE2">
      <w:pPr>
        <w:numPr>
          <w:ilvl w:val="0"/>
          <w:numId w:val="0"/>
        </w:numPr>
        <w:tabs>
          <w:tab w:val="left" w:pos="840"/>
        </w:tabs>
        <w:spacing w:beforeLines="0" w:afterLines="0"/>
        <w:ind w:firstLine="48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根据《新疆生态功能区划》，项目所在地属于Ⅱ准噶尔盆地温性荒漠与绿洲农业生态区，Ⅱ3准噶尔盆地中部固定、半固定沙漠生态亚区，23．古尔班通古特沙漠化敏感及植被保护生态功能区。</w:t>
      </w:r>
    </w:p>
    <w:p w14:paraId="78D553EF">
      <w:pPr>
        <w:pStyle w:val="4"/>
        <w:bidi w:val="0"/>
        <w:rPr>
          <w:rFonts w:hint="default"/>
        </w:rPr>
      </w:pPr>
      <w:bookmarkStart w:id="82" w:name="2.4.2环境质量标准"/>
      <w:bookmarkEnd w:id="82"/>
      <w:r>
        <w:rPr>
          <w:rFonts w:hint="default"/>
        </w:rPr>
        <w:t>环境质量标准</w:t>
      </w:r>
    </w:p>
    <w:p w14:paraId="47CC259D">
      <w:pPr>
        <w:numPr>
          <w:ilvl w:val="0"/>
          <w:numId w:val="16"/>
        </w:numPr>
        <w:spacing w:beforeLines="0" w:afterLines="0"/>
        <w:ind w:firstLine="5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环境空气质量标准</w:t>
      </w:r>
    </w:p>
    <w:p w14:paraId="09026662">
      <w:pPr>
        <w:numPr>
          <w:ilvl w:val="0"/>
          <w:numId w:val="0"/>
        </w:numPr>
        <w:spacing w:beforeLines="0" w:afterLines="0"/>
        <w:ind w:firstLine="480"/>
        <w:rPr>
          <w:rFonts w:hint="default" w:ascii="Times New Roman" w:hAnsi="Times New Roman" w:eastAsia="Calibri" w:cs="Times New Roman"/>
          <w:color w:val="auto"/>
          <w:sz w:val="10"/>
          <w:szCs w:val="24"/>
          <w:highlight w:val="none"/>
        </w:rPr>
      </w:pPr>
      <w:r>
        <w:rPr>
          <w:rFonts w:hint="default" w:ascii="Times New Roman" w:hAnsi="Times New Roman" w:cs="Times New Roman"/>
          <w:color w:val="auto"/>
          <w:sz w:val="24"/>
          <w:szCs w:val="24"/>
          <w:highlight w:val="none"/>
        </w:rPr>
        <w:t>环境空气执行《环境空气质量标准》（GB3095</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2012）及其修改单中的二级标准。具体见表2.</w:t>
      </w:r>
      <w:r>
        <w:rPr>
          <w:rFonts w:hint="default"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rPr>
        <w:t>-1。</w:t>
      </w:r>
    </w:p>
    <w:p w14:paraId="145D5680">
      <w:pPr>
        <w:pStyle w:val="45"/>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表 2.4-1</w:t>
      </w:r>
      <w:r>
        <w:rPr>
          <w:rFonts w:hint="default" w:ascii="Times New Roman" w:hAnsi="Times New Roman" w:cs="Times New Roman"/>
          <w:color w:val="auto"/>
          <w:sz w:val="24"/>
          <w:szCs w:val="24"/>
          <w:highlight w:val="none"/>
        </w:rPr>
        <w:tab/>
      </w:r>
      <w:r>
        <w:rPr>
          <w:rFonts w:hint="default" w:ascii="Times New Roman" w:hAnsi="Times New Roman" w:cs="Times New Roman"/>
          <w:color w:val="auto"/>
          <w:sz w:val="24"/>
          <w:szCs w:val="24"/>
          <w:highlight w:val="none"/>
        </w:rPr>
        <w:t>环境空气质量标准</w:t>
      </w:r>
    </w:p>
    <w:tbl>
      <w:tblPr>
        <w:tblStyle w:val="31"/>
        <w:tblW w:w="0" w:type="auto"/>
        <w:tblInd w:w="2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4"/>
        <w:gridCol w:w="1500"/>
        <w:gridCol w:w="953"/>
        <w:gridCol w:w="1693"/>
        <w:gridCol w:w="679"/>
        <w:gridCol w:w="3335"/>
      </w:tblGrid>
      <w:tr w14:paraId="3EAD2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4"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28563E3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序号</w:t>
            </w:r>
          </w:p>
        </w:tc>
        <w:tc>
          <w:tcPr>
            <w:tcW w:w="1500"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51E18207">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w:t>
            </w:r>
          </w:p>
        </w:tc>
        <w:tc>
          <w:tcPr>
            <w:tcW w:w="3325" w:type="dxa"/>
            <w:gridSpan w:val="3"/>
            <w:tcBorders>
              <w:top w:val="single" w:color="auto" w:sz="4" w:space="0"/>
              <w:left w:val="single" w:color="auto" w:sz="4" w:space="0"/>
              <w:bottom w:val="single" w:color="auto" w:sz="4" w:space="0"/>
              <w:right w:val="single" w:color="auto" w:sz="4" w:space="0"/>
              <w:tl2br w:val="nil"/>
              <w:tr2bl w:val="nil"/>
            </w:tcBorders>
            <w:noWrap w:val="0"/>
            <w:vAlign w:val="center"/>
          </w:tcPr>
          <w:p w14:paraId="17E99B44">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标准值</w:t>
            </w:r>
          </w:p>
        </w:tc>
        <w:tc>
          <w:tcPr>
            <w:tcW w:w="3335"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081FDB6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标准来源</w:t>
            </w:r>
          </w:p>
        </w:tc>
      </w:tr>
      <w:tr w14:paraId="49EFF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4"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15C022E9">
            <w:pPr>
              <w:pStyle w:val="48"/>
              <w:spacing w:beforeLines="0" w:afterLines="0"/>
              <w:rPr>
                <w:rFonts w:hint="default" w:ascii="Times New Roman" w:hAnsi="Times New Roman" w:cs="Times New Roman"/>
                <w:color w:val="auto"/>
                <w:sz w:val="24"/>
                <w:szCs w:val="24"/>
                <w:highlight w:val="none"/>
              </w:rPr>
            </w:pPr>
          </w:p>
        </w:tc>
        <w:tc>
          <w:tcPr>
            <w:tcW w:w="150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5887BD3E">
            <w:pPr>
              <w:pStyle w:val="48"/>
              <w:spacing w:beforeLines="0" w:afterLines="0"/>
              <w:rPr>
                <w:rFonts w:hint="default" w:ascii="Times New Roman" w:hAnsi="Times New Roman" w:cs="Times New Roman"/>
                <w:color w:val="auto"/>
                <w:sz w:val="24"/>
                <w:szCs w:val="24"/>
                <w:highlight w:val="none"/>
              </w:rPr>
            </w:pPr>
          </w:p>
        </w:tc>
        <w:tc>
          <w:tcPr>
            <w:tcW w:w="95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CE2390A">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单位</w:t>
            </w:r>
          </w:p>
        </w:tc>
        <w:tc>
          <w:tcPr>
            <w:tcW w:w="2372"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48B7FC8A">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数值</w:t>
            </w:r>
          </w:p>
        </w:tc>
        <w:tc>
          <w:tcPr>
            <w:tcW w:w="3335"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1269DCA2">
            <w:pPr>
              <w:pStyle w:val="48"/>
              <w:spacing w:beforeLines="0" w:afterLines="0"/>
              <w:rPr>
                <w:rFonts w:hint="default" w:ascii="Times New Roman" w:hAnsi="Times New Roman" w:cs="Times New Roman"/>
                <w:color w:val="auto"/>
                <w:sz w:val="24"/>
                <w:szCs w:val="24"/>
                <w:highlight w:val="none"/>
              </w:rPr>
            </w:pPr>
          </w:p>
        </w:tc>
      </w:tr>
      <w:tr w14:paraId="56E6A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4"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1288465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w:t>
            </w:r>
          </w:p>
        </w:tc>
        <w:tc>
          <w:tcPr>
            <w:tcW w:w="1500"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52BA0727">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SO</w:t>
            </w:r>
            <w:r>
              <w:rPr>
                <w:rFonts w:hint="default" w:ascii="Times New Roman" w:hAnsi="Times New Roman" w:cs="Times New Roman"/>
                <w:color w:val="auto"/>
                <w:sz w:val="24"/>
                <w:szCs w:val="24"/>
                <w:highlight w:val="none"/>
                <w:vertAlign w:val="subscript"/>
              </w:rPr>
              <w:t>2</w:t>
            </w:r>
          </w:p>
        </w:tc>
        <w:tc>
          <w:tcPr>
            <w:tcW w:w="953"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179A2C6C">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µg/m</w:t>
            </w:r>
            <w:r>
              <w:rPr>
                <w:rFonts w:hint="default" w:ascii="Times New Roman" w:hAnsi="Times New Roman" w:cs="Times New Roman"/>
                <w:color w:val="auto"/>
                <w:sz w:val="24"/>
                <w:szCs w:val="24"/>
                <w:highlight w:val="none"/>
                <w:vertAlign w:val="superscript"/>
              </w:rPr>
              <w:t>3</w:t>
            </w:r>
          </w:p>
        </w:tc>
        <w:tc>
          <w:tcPr>
            <w:tcW w:w="169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14F878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小时平均</w:t>
            </w:r>
          </w:p>
        </w:tc>
        <w:tc>
          <w:tcPr>
            <w:tcW w:w="67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516F528">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500</w:t>
            </w:r>
          </w:p>
        </w:tc>
        <w:tc>
          <w:tcPr>
            <w:tcW w:w="3335"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23CEF6D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《环境空气质量标准》</w:t>
            </w:r>
          </w:p>
          <w:p w14:paraId="0B8F09D8">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(GB3095-2012)二级标准</w:t>
            </w:r>
          </w:p>
        </w:tc>
      </w:tr>
      <w:tr w14:paraId="69233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4"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53213B19">
            <w:pPr>
              <w:pStyle w:val="48"/>
              <w:spacing w:beforeLines="0" w:afterLines="0"/>
              <w:rPr>
                <w:rFonts w:hint="default" w:ascii="Times New Roman" w:hAnsi="Times New Roman" w:cs="Times New Roman"/>
                <w:color w:val="auto"/>
                <w:sz w:val="24"/>
                <w:szCs w:val="24"/>
                <w:highlight w:val="none"/>
              </w:rPr>
            </w:pPr>
          </w:p>
        </w:tc>
        <w:tc>
          <w:tcPr>
            <w:tcW w:w="150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1A27D185">
            <w:pPr>
              <w:pStyle w:val="48"/>
              <w:spacing w:beforeLines="0" w:afterLines="0"/>
              <w:rPr>
                <w:rFonts w:hint="default" w:ascii="Times New Roman" w:hAnsi="Times New Roman" w:cs="Times New Roman"/>
                <w:color w:val="auto"/>
                <w:sz w:val="24"/>
                <w:szCs w:val="24"/>
                <w:highlight w:val="none"/>
              </w:rPr>
            </w:pPr>
          </w:p>
        </w:tc>
        <w:tc>
          <w:tcPr>
            <w:tcW w:w="953"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7720051F">
            <w:pPr>
              <w:pStyle w:val="48"/>
              <w:spacing w:beforeLines="0" w:afterLines="0"/>
              <w:rPr>
                <w:rFonts w:hint="default" w:ascii="Times New Roman" w:hAnsi="Times New Roman" w:cs="Times New Roman"/>
                <w:color w:val="auto"/>
                <w:sz w:val="24"/>
                <w:szCs w:val="24"/>
                <w:highlight w:val="none"/>
              </w:rPr>
            </w:pPr>
          </w:p>
        </w:tc>
        <w:tc>
          <w:tcPr>
            <w:tcW w:w="169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50E8B94">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24小时平均</w:t>
            </w:r>
          </w:p>
        </w:tc>
        <w:tc>
          <w:tcPr>
            <w:tcW w:w="67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D03684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150</w:t>
            </w:r>
          </w:p>
        </w:tc>
        <w:tc>
          <w:tcPr>
            <w:tcW w:w="3335"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906145C">
            <w:pPr>
              <w:pStyle w:val="48"/>
              <w:spacing w:beforeLines="0" w:afterLines="0"/>
              <w:rPr>
                <w:rFonts w:hint="default" w:ascii="Times New Roman" w:hAnsi="Times New Roman" w:cs="Times New Roman"/>
                <w:color w:val="auto"/>
                <w:sz w:val="24"/>
                <w:szCs w:val="24"/>
                <w:highlight w:val="none"/>
              </w:rPr>
            </w:pPr>
          </w:p>
        </w:tc>
      </w:tr>
      <w:tr w14:paraId="62753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4"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012F4B24">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w:t>
            </w:r>
          </w:p>
        </w:tc>
        <w:tc>
          <w:tcPr>
            <w:tcW w:w="1500"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6CF5E5D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NO</w:t>
            </w:r>
            <w:r>
              <w:rPr>
                <w:rFonts w:hint="default" w:ascii="Times New Roman" w:hAnsi="Times New Roman" w:cs="Times New Roman"/>
                <w:color w:val="auto"/>
                <w:sz w:val="24"/>
                <w:szCs w:val="24"/>
                <w:highlight w:val="none"/>
                <w:vertAlign w:val="subscript"/>
              </w:rPr>
              <w:t>2</w:t>
            </w:r>
          </w:p>
        </w:tc>
        <w:tc>
          <w:tcPr>
            <w:tcW w:w="953"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707FDCE8">
            <w:pPr>
              <w:pStyle w:val="48"/>
              <w:spacing w:beforeLines="0" w:afterLines="0"/>
              <w:rPr>
                <w:rFonts w:hint="default" w:ascii="Times New Roman" w:hAnsi="Times New Roman" w:cs="Times New Roman"/>
                <w:color w:val="auto"/>
                <w:sz w:val="24"/>
                <w:szCs w:val="24"/>
                <w:highlight w:val="none"/>
              </w:rPr>
            </w:pPr>
          </w:p>
        </w:tc>
        <w:tc>
          <w:tcPr>
            <w:tcW w:w="169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BFF53EE">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小时平均</w:t>
            </w:r>
          </w:p>
        </w:tc>
        <w:tc>
          <w:tcPr>
            <w:tcW w:w="67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AF8D1BD">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200</w:t>
            </w:r>
          </w:p>
        </w:tc>
        <w:tc>
          <w:tcPr>
            <w:tcW w:w="3335"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7DCBAAA5">
            <w:pPr>
              <w:pStyle w:val="48"/>
              <w:spacing w:beforeLines="0" w:afterLines="0"/>
              <w:rPr>
                <w:rFonts w:hint="default" w:ascii="Times New Roman" w:hAnsi="Times New Roman" w:cs="Times New Roman"/>
                <w:color w:val="auto"/>
                <w:sz w:val="24"/>
                <w:szCs w:val="24"/>
                <w:highlight w:val="none"/>
              </w:rPr>
            </w:pPr>
          </w:p>
        </w:tc>
      </w:tr>
      <w:tr w14:paraId="2A8B1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4"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8BF6BB6">
            <w:pPr>
              <w:pStyle w:val="48"/>
              <w:spacing w:beforeLines="0" w:afterLines="0"/>
              <w:rPr>
                <w:rFonts w:hint="default" w:ascii="Times New Roman" w:hAnsi="Times New Roman" w:cs="Times New Roman"/>
                <w:color w:val="auto"/>
                <w:sz w:val="24"/>
                <w:szCs w:val="24"/>
                <w:highlight w:val="none"/>
              </w:rPr>
            </w:pPr>
          </w:p>
        </w:tc>
        <w:tc>
          <w:tcPr>
            <w:tcW w:w="150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55A54707">
            <w:pPr>
              <w:pStyle w:val="48"/>
              <w:spacing w:beforeLines="0" w:afterLines="0"/>
              <w:rPr>
                <w:rFonts w:hint="default" w:ascii="Times New Roman" w:hAnsi="Times New Roman" w:cs="Times New Roman"/>
                <w:color w:val="auto"/>
                <w:sz w:val="24"/>
                <w:szCs w:val="24"/>
                <w:highlight w:val="none"/>
              </w:rPr>
            </w:pPr>
          </w:p>
        </w:tc>
        <w:tc>
          <w:tcPr>
            <w:tcW w:w="953"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6CA9B955">
            <w:pPr>
              <w:pStyle w:val="48"/>
              <w:spacing w:beforeLines="0" w:afterLines="0"/>
              <w:rPr>
                <w:rFonts w:hint="default" w:ascii="Times New Roman" w:hAnsi="Times New Roman" w:cs="Times New Roman"/>
                <w:color w:val="auto"/>
                <w:sz w:val="24"/>
                <w:szCs w:val="24"/>
                <w:highlight w:val="none"/>
              </w:rPr>
            </w:pPr>
          </w:p>
        </w:tc>
        <w:tc>
          <w:tcPr>
            <w:tcW w:w="169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60D7D4C">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24小时平均</w:t>
            </w:r>
          </w:p>
        </w:tc>
        <w:tc>
          <w:tcPr>
            <w:tcW w:w="67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F1C8521">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80</w:t>
            </w:r>
          </w:p>
        </w:tc>
        <w:tc>
          <w:tcPr>
            <w:tcW w:w="3335"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5F50DF14">
            <w:pPr>
              <w:pStyle w:val="48"/>
              <w:spacing w:beforeLines="0" w:afterLines="0"/>
              <w:rPr>
                <w:rFonts w:hint="default" w:ascii="Times New Roman" w:hAnsi="Times New Roman" w:cs="Times New Roman"/>
                <w:color w:val="auto"/>
                <w:sz w:val="24"/>
                <w:szCs w:val="24"/>
                <w:highlight w:val="none"/>
              </w:rPr>
            </w:pPr>
          </w:p>
        </w:tc>
      </w:tr>
      <w:tr w14:paraId="12A3E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4"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26CC5EB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w:t>
            </w:r>
          </w:p>
        </w:tc>
        <w:tc>
          <w:tcPr>
            <w:tcW w:w="1500"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1180C2E3">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CO</w:t>
            </w:r>
          </w:p>
        </w:tc>
        <w:tc>
          <w:tcPr>
            <w:tcW w:w="953"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6C7E2FF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mg/m</w:t>
            </w:r>
            <w:r>
              <w:rPr>
                <w:rFonts w:hint="default" w:ascii="Times New Roman" w:hAnsi="Times New Roman" w:cs="Times New Roman"/>
                <w:color w:val="auto"/>
                <w:sz w:val="24"/>
                <w:szCs w:val="24"/>
                <w:highlight w:val="none"/>
                <w:vertAlign w:val="superscript"/>
              </w:rPr>
              <w:t>3</w:t>
            </w:r>
          </w:p>
        </w:tc>
        <w:tc>
          <w:tcPr>
            <w:tcW w:w="169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A610948">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小时平均</w:t>
            </w:r>
          </w:p>
        </w:tc>
        <w:tc>
          <w:tcPr>
            <w:tcW w:w="67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B6A64F7">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10</w:t>
            </w:r>
          </w:p>
        </w:tc>
        <w:tc>
          <w:tcPr>
            <w:tcW w:w="3335"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0C53A833">
            <w:pPr>
              <w:pStyle w:val="48"/>
              <w:spacing w:beforeLines="0" w:afterLines="0"/>
              <w:rPr>
                <w:rFonts w:hint="default" w:ascii="Times New Roman" w:hAnsi="Times New Roman" w:cs="Times New Roman"/>
                <w:color w:val="auto"/>
                <w:sz w:val="24"/>
                <w:szCs w:val="24"/>
                <w:highlight w:val="none"/>
              </w:rPr>
            </w:pPr>
          </w:p>
        </w:tc>
      </w:tr>
      <w:tr w14:paraId="5E0D9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4"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380C5454">
            <w:pPr>
              <w:pStyle w:val="48"/>
              <w:spacing w:beforeLines="0" w:afterLines="0"/>
              <w:rPr>
                <w:rFonts w:hint="default" w:ascii="Times New Roman" w:hAnsi="Times New Roman" w:cs="Times New Roman"/>
                <w:color w:val="auto"/>
                <w:sz w:val="24"/>
                <w:szCs w:val="24"/>
                <w:highlight w:val="none"/>
              </w:rPr>
            </w:pPr>
          </w:p>
        </w:tc>
        <w:tc>
          <w:tcPr>
            <w:tcW w:w="150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7005A1D">
            <w:pPr>
              <w:pStyle w:val="48"/>
              <w:spacing w:beforeLines="0" w:afterLines="0"/>
              <w:rPr>
                <w:rFonts w:hint="default" w:ascii="Times New Roman" w:hAnsi="Times New Roman" w:cs="Times New Roman"/>
                <w:color w:val="auto"/>
                <w:sz w:val="24"/>
                <w:szCs w:val="24"/>
                <w:highlight w:val="none"/>
              </w:rPr>
            </w:pPr>
          </w:p>
        </w:tc>
        <w:tc>
          <w:tcPr>
            <w:tcW w:w="953"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7E255BC5">
            <w:pPr>
              <w:pStyle w:val="48"/>
              <w:spacing w:beforeLines="0" w:afterLines="0"/>
              <w:rPr>
                <w:rFonts w:hint="default" w:ascii="Times New Roman" w:hAnsi="Times New Roman" w:cs="Times New Roman"/>
                <w:color w:val="auto"/>
                <w:sz w:val="24"/>
                <w:szCs w:val="24"/>
                <w:highlight w:val="none"/>
              </w:rPr>
            </w:pPr>
          </w:p>
        </w:tc>
        <w:tc>
          <w:tcPr>
            <w:tcW w:w="169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22FC957">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24小时平均</w:t>
            </w:r>
          </w:p>
        </w:tc>
        <w:tc>
          <w:tcPr>
            <w:tcW w:w="67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70D316B">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w:t>
            </w:r>
          </w:p>
        </w:tc>
        <w:tc>
          <w:tcPr>
            <w:tcW w:w="3335"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53EF8D97">
            <w:pPr>
              <w:pStyle w:val="48"/>
              <w:spacing w:beforeLines="0" w:afterLines="0"/>
              <w:rPr>
                <w:rFonts w:hint="default" w:ascii="Times New Roman" w:hAnsi="Times New Roman" w:cs="Times New Roman"/>
                <w:color w:val="auto"/>
                <w:sz w:val="24"/>
                <w:szCs w:val="24"/>
                <w:highlight w:val="none"/>
              </w:rPr>
            </w:pPr>
          </w:p>
        </w:tc>
      </w:tr>
      <w:tr w14:paraId="1FB34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4"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7FBF8A2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w:t>
            </w:r>
          </w:p>
        </w:tc>
        <w:tc>
          <w:tcPr>
            <w:tcW w:w="1500"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1C94556B">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O</w:t>
            </w:r>
            <w:r>
              <w:rPr>
                <w:rFonts w:hint="default" w:ascii="Times New Roman" w:hAnsi="Times New Roman" w:cs="Times New Roman"/>
                <w:color w:val="auto"/>
                <w:sz w:val="24"/>
                <w:szCs w:val="24"/>
                <w:highlight w:val="none"/>
                <w:vertAlign w:val="subscript"/>
              </w:rPr>
              <w:t>3</w:t>
            </w:r>
          </w:p>
        </w:tc>
        <w:tc>
          <w:tcPr>
            <w:tcW w:w="953"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6BE9D733">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µg/m</w:t>
            </w:r>
            <w:r>
              <w:rPr>
                <w:rFonts w:hint="default" w:ascii="Times New Roman" w:hAnsi="Times New Roman" w:cs="Times New Roman"/>
                <w:color w:val="auto"/>
                <w:sz w:val="24"/>
                <w:szCs w:val="24"/>
                <w:highlight w:val="none"/>
                <w:vertAlign w:val="superscript"/>
              </w:rPr>
              <w:t>3</w:t>
            </w:r>
          </w:p>
        </w:tc>
        <w:tc>
          <w:tcPr>
            <w:tcW w:w="169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9936BD4">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小时平均</w:t>
            </w:r>
          </w:p>
        </w:tc>
        <w:tc>
          <w:tcPr>
            <w:tcW w:w="67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E26C091">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200</w:t>
            </w:r>
          </w:p>
        </w:tc>
        <w:tc>
          <w:tcPr>
            <w:tcW w:w="3335"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5A82EFB1">
            <w:pPr>
              <w:pStyle w:val="48"/>
              <w:spacing w:beforeLines="0" w:afterLines="0"/>
              <w:rPr>
                <w:rFonts w:hint="default" w:ascii="Times New Roman" w:hAnsi="Times New Roman" w:cs="Times New Roman"/>
                <w:color w:val="auto"/>
                <w:sz w:val="24"/>
                <w:szCs w:val="24"/>
                <w:highlight w:val="none"/>
              </w:rPr>
            </w:pPr>
          </w:p>
        </w:tc>
      </w:tr>
      <w:tr w14:paraId="29A8C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4"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745EAB80">
            <w:pPr>
              <w:pStyle w:val="48"/>
              <w:spacing w:beforeLines="0" w:afterLines="0"/>
              <w:rPr>
                <w:rFonts w:hint="default" w:ascii="Times New Roman" w:hAnsi="Times New Roman" w:cs="Times New Roman"/>
                <w:color w:val="auto"/>
                <w:sz w:val="24"/>
                <w:szCs w:val="24"/>
                <w:highlight w:val="none"/>
              </w:rPr>
            </w:pPr>
          </w:p>
        </w:tc>
        <w:tc>
          <w:tcPr>
            <w:tcW w:w="150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62AC0E30">
            <w:pPr>
              <w:pStyle w:val="48"/>
              <w:spacing w:beforeLines="0" w:afterLines="0"/>
              <w:rPr>
                <w:rFonts w:hint="default" w:ascii="Times New Roman" w:hAnsi="Times New Roman" w:cs="Times New Roman"/>
                <w:color w:val="auto"/>
                <w:sz w:val="24"/>
                <w:szCs w:val="24"/>
                <w:highlight w:val="none"/>
              </w:rPr>
            </w:pPr>
          </w:p>
        </w:tc>
        <w:tc>
          <w:tcPr>
            <w:tcW w:w="953"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747A5166">
            <w:pPr>
              <w:pStyle w:val="48"/>
              <w:spacing w:beforeLines="0" w:afterLines="0"/>
              <w:rPr>
                <w:rFonts w:hint="default" w:ascii="Times New Roman" w:hAnsi="Times New Roman" w:cs="Times New Roman"/>
                <w:color w:val="auto"/>
                <w:sz w:val="24"/>
                <w:szCs w:val="24"/>
                <w:highlight w:val="none"/>
              </w:rPr>
            </w:pPr>
          </w:p>
        </w:tc>
        <w:tc>
          <w:tcPr>
            <w:tcW w:w="169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155613D">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8小时平均</w:t>
            </w:r>
          </w:p>
        </w:tc>
        <w:tc>
          <w:tcPr>
            <w:tcW w:w="67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93D022C">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160</w:t>
            </w:r>
          </w:p>
        </w:tc>
        <w:tc>
          <w:tcPr>
            <w:tcW w:w="3335"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DEA69EB">
            <w:pPr>
              <w:pStyle w:val="48"/>
              <w:spacing w:beforeLines="0" w:afterLines="0"/>
              <w:rPr>
                <w:rFonts w:hint="default" w:ascii="Times New Roman" w:hAnsi="Times New Roman" w:cs="Times New Roman"/>
                <w:color w:val="auto"/>
                <w:sz w:val="24"/>
                <w:szCs w:val="24"/>
                <w:highlight w:val="none"/>
              </w:rPr>
            </w:pPr>
          </w:p>
        </w:tc>
      </w:tr>
      <w:tr w14:paraId="5F098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FC18418">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5</w:t>
            </w:r>
          </w:p>
        </w:tc>
        <w:tc>
          <w:tcPr>
            <w:tcW w:w="15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3D1CDF4">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PM</w:t>
            </w:r>
            <w:r>
              <w:rPr>
                <w:rFonts w:hint="default" w:ascii="Times New Roman" w:hAnsi="Times New Roman" w:cs="Times New Roman"/>
                <w:color w:val="auto"/>
                <w:sz w:val="24"/>
                <w:szCs w:val="24"/>
                <w:highlight w:val="none"/>
                <w:vertAlign w:val="subscript"/>
              </w:rPr>
              <w:t>10</w:t>
            </w:r>
          </w:p>
        </w:tc>
        <w:tc>
          <w:tcPr>
            <w:tcW w:w="953"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176B8766">
            <w:pPr>
              <w:pStyle w:val="48"/>
              <w:spacing w:beforeLines="0" w:afterLines="0"/>
              <w:rPr>
                <w:rFonts w:hint="default" w:ascii="Times New Roman" w:hAnsi="Times New Roman" w:cs="Times New Roman"/>
                <w:color w:val="auto"/>
                <w:sz w:val="24"/>
                <w:szCs w:val="24"/>
                <w:highlight w:val="none"/>
              </w:rPr>
            </w:pPr>
          </w:p>
        </w:tc>
        <w:tc>
          <w:tcPr>
            <w:tcW w:w="169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8E27414">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日平均</w:t>
            </w:r>
          </w:p>
        </w:tc>
        <w:tc>
          <w:tcPr>
            <w:tcW w:w="67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CCF4BF1">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150</w:t>
            </w:r>
          </w:p>
        </w:tc>
        <w:tc>
          <w:tcPr>
            <w:tcW w:w="3335"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551A73D0">
            <w:pPr>
              <w:pStyle w:val="48"/>
              <w:spacing w:beforeLines="0" w:afterLines="0"/>
              <w:rPr>
                <w:rFonts w:hint="default" w:ascii="Times New Roman" w:hAnsi="Times New Roman" w:cs="Times New Roman"/>
                <w:color w:val="auto"/>
                <w:sz w:val="24"/>
                <w:szCs w:val="24"/>
                <w:highlight w:val="none"/>
              </w:rPr>
            </w:pPr>
          </w:p>
        </w:tc>
      </w:tr>
      <w:tr w14:paraId="7D125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2AFBBC7">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6</w:t>
            </w:r>
          </w:p>
        </w:tc>
        <w:tc>
          <w:tcPr>
            <w:tcW w:w="15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AA3C778">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PM</w:t>
            </w:r>
            <w:r>
              <w:rPr>
                <w:rFonts w:hint="default" w:ascii="Times New Roman" w:hAnsi="Times New Roman" w:cs="Times New Roman"/>
                <w:color w:val="auto"/>
                <w:sz w:val="24"/>
                <w:szCs w:val="24"/>
                <w:highlight w:val="none"/>
                <w:vertAlign w:val="subscript"/>
              </w:rPr>
              <w:t>2.5</w:t>
            </w:r>
          </w:p>
        </w:tc>
        <w:tc>
          <w:tcPr>
            <w:tcW w:w="953"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C12AA78">
            <w:pPr>
              <w:pStyle w:val="48"/>
              <w:spacing w:beforeLines="0" w:afterLines="0"/>
              <w:rPr>
                <w:rFonts w:hint="default" w:ascii="Times New Roman" w:hAnsi="Times New Roman" w:cs="Times New Roman"/>
                <w:color w:val="auto"/>
                <w:sz w:val="24"/>
                <w:szCs w:val="24"/>
                <w:highlight w:val="none"/>
              </w:rPr>
            </w:pPr>
          </w:p>
        </w:tc>
        <w:tc>
          <w:tcPr>
            <w:tcW w:w="169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4251ABD">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日平均</w:t>
            </w:r>
          </w:p>
        </w:tc>
        <w:tc>
          <w:tcPr>
            <w:tcW w:w="67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50F393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75</w:t>
            </w:r>
          </w:p>
        </w:tc>
        <w:tc>
          <w:tcPr>
            <w:tcW w:w="3335"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4F22CAC9">
            <w:pPr>
              <w:pStyle w:val="48"/>
              <w:spacing w:beforeLines="0" w:afterLines="0"/>
              <w:rPr>
                <w:rFonts w:hint="default" w:ascii="Times New Roman" w:hAnsi="Times New Roman" w:cs="Times New Roman"/>
                <w:color w:val="auto"/>
                <w:sz w:val="24"/>
                <w:szCs w:val="24"/>
                <w:highlight w:val="none"/>
              </w:rPr>
            </w:pPr>
          </w:p>
        </w:tc>
      </w:tr>
      <w:tr w14:paraId="222F8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A77DDF7">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7</w:t>
            </w:r>
          </w:p>
        </w:tc>
        <w:tc>
          <w:tcPr>
            <w:tcW w:w="15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940DFD1">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TSP</w:t>
            </w:r>
          </w:p>
        </w:tc>
        <w:tc>
          <w:tcPr>
            <w:tcW w:w="953"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62FA5E65">
            <w:pPr>
              <w:pStyle w:val="48"/>
              <w:spacing w:beforeLines="0" w:afterLines="0"/>
              <w:rPr>
                <w:rFonts w:hint="default" w:ascii="Times New Roman" w:hAnsi="Times New Roman" w:cs="Times New Roman"/>
                <w:color w:val="auto"/>
                <w:sz w:val="24"/>
                <w:szCs w:val="24"/>
                <w:highlight w:val="none"/>
              </w:rPr>
            </w:pPr>
          </w:p>
        </w:tc>
        <w:tc>
          <w:tcPr>
            <w:tcW w:w="169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DC2D907">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日平均</w:t>
            </w:r>
          </w:p>
        </w:tc>
        <w:tc>
          <w:tcPr>
            <w:tcW w:w="67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D90698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300</w:t>
            </w:r>
          </w:p>
        </w:tc>
        <w:tc>
          <w:tcPr>
            <w:tcW w:w="3335"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7421E260">
            <w:pPr>
              <w:pStyle w:val="48"/>
              <w:spacing w:beforeLines="0" w:afterLines="0"/>
              <w:rPr>
                <w:rFonts w:hint="default" w:ascii="Times New Roman" w:hAnsi="Times New Roman" w:cs="Times New Roman"/>
                <w:color w:val="auto"/>
                <w:sz w:val="24"/>
                <w:szCs w:val="24"/>
                <w:highlight w:val="none"/>
              </w:rPr>
            </w:pPr>
          </w:p>
        </w:tc>
      </w:tr>
    </w:tbl>
    <w:p w14:paraId="1F906E80">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（2）地下水</w:t>
      </w:r>
    </w:p>
    <w:p w14:paraId="08A10F1E">
      <w:pPr>
        <w:spacing w:beforeLines="0" w:afterLines="0"/>
        <w:rPr>
          <w:rFonts w:hint="default" w:ascii="Times New Roman" w:hAnsi="Times New Roman" w:cs="Times New Roman"/>
          <w:color w:val="auto"/>
          <w:spacing w:val="-117"/>
          <w:sz w:val="24"/>
          <w:szCs w:val="24"/>
          <w:highlight w:val="none"/>
        </w:rPr>
      </w:pPr>
      <w:r>
        <w:rPr>
          <w:rFonts w:hint="default" w:ascii="Times New Roman" w:hAnsi="Times New Roman" w:cs="Times New Roman"/>
          <w:color w:val="auto"/>
          <w:sz w:val="24"/>
          <w:szCs w:val="24"/>
          <w:highlight w:val="none"/>
        </w:rPr>
        <w:t>地下水执行《地下水质量标准》（GB/T14848-2017）中Ⅲ类标准。具体见表2.4-2。</w:t>
      </w:r>
      <w:r>
        <w:rPr>
          <w:rFonts w:hint="default" w:ascii="Times New Roman" w:hAnsi="Times New Roman" w:cs="Times New Roman"/>
          <w:color w:val="auto"/>
          <w:spacing w:val="-117"/>
          <w:sz w:val="24"/>
          <w:szCs w:val="24"/>
          <w:highlight w:val="none"/>
        </w:rPr>
        <w:t xml:space="preserve"> </w:t>
      </w:r>
    </w:p>
    <w:p w14:paraId="33CF312B">
      <w:pPr>
        <w:spacing w:beforeLines="0" w:afterLines="0" w:line="240" w:lineRule="auto"/>
        <w:jc w:val="center"/>
        <w:rPr>
          <w:rFonts w:hint="default" w:ascii="Times New Roman" w:hAnsi="Times New Roman" w:cs="Times New Roman"/>
          <w:color w:val="auto"/>
          <w:sz w:val="24"/>
          <w:szCs w:val="24"/>
          <w:highlight w:val="none"/>
        </w:rPr>
      </w:pPr>
      <w:r>
        <w:rPr>
          <w:rStyle w:val="50"/>
          <w:rFonts w:hint="default" w:ascii="Times New Roman" w:hAnsi="Times New Roman" w:cs="Times New Roman"/>
          <w:color w:val="auto"/>
          <w:sz w:val="24"/>
          <w:szCs w:val="24"/>
          <w:highlight w:val="none"/>
        </w:rPr>
        <w:t>表 2.4-2</w:t>
      </w:r>
      <w:r>
        <w:rPr>
          <w:rStyle w:val="50"/>
          <w:rFonts w:hint="default" w:ascii="Times New Roman" w:hAnsi="Times New Roman" w:cs="Times New Roman"/>
          <w:color w:val="auto"/>
          <w:sz w:val="24"/>
          <w:szCs w:val="24"/>
          <w:highlight w:val="none"/>
        </w:rPr>
        <w:tab/>
      </w:r>
      <w:r>
        <w:rPr>
          <w:rStyle w:val="50"/>
          <w:rFonts w:hint="default" w:ascii="Times New Roman" w:hAnsi="Times New Roman" w:cs="Times New Roman"/>
          <w:color w:val="auto"/>
          <w:sz w:val="24"/>
          <w:szCs w:val="24"/>
          <w:highlight w:val="none"/>
        </w:rPr>
        <w:t>地下水环境质量标准</w:t>
      </w:r>
    </w:p>
    <w:tbl>
      <w:tblPr>
        <w:tblStyle w:val="31"/>
        <w:tblW w:w="0" w:type="auto"/>
        <w:tblInd w:w="23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
        <w:gridCol w:w="860"/>
        <w:gridCol w:w="2"/>
        <w:gridCol w:w="2282"/>
        <w:gridCol w:w="1322"/>
        <w:gridCol w:w="2"/>
        <w:gridCol w:w="1917"/>
        <w:gridCol w:w="2"/>
        <w:gridCol w:w="2565"/>
        <w:gridCol w:w="2"/>
      </w:tblGrid>
      <w:tr w14:paraId="521516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Before w:val="1"/>
          <w:wBefore w:w="2" w:type="dxa"/>
          <w:trHeight w:val="283" w:hRule="atLeast"/>
        </w:trPr>
        <w:tc>
          <w:tcPr>
            <w:tcW w:w="86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3594B7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序号</w:t>
            </w:r>
          </w:p>
        </w:tc>
        <w:tc>
          <w:tcPr>
            <w:tcW w:w="228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637DC41">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w:t>
            </w:r>
          </w:p>
        </w:tc>
        <w:tc>
          <w:tcPr>
            <w:tcW w:w="1324"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FB713A6">
            <w:pPr>
              <w:pStyle w:val="48"/>
              <w:spacing w:beforeLines="0" w:afterLine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单位</w:t>
            </w:r>
          </w:p>
        </w:tc>
        <w:tc>
          <w:tcPr>
            <w:tcW w:w="19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944F45B">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标准值</w:t>
            </w:r>
          </w:p>
        </w:tc>
        <w:tc>
          <w:tcPr>
            <w:tcW w:w="2567"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A4BA946">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标准来源</w:t>
            </w:r>
          </w:p>
        </w:tc>
      </w:tr>
      <w:tr w14:paraId="0A5E58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Before w:val="1"/>
          <w:wBefore w:w="2" w:type="dxa"/>
          <w:trHeight w:val="283" w:hRule="atLeast"/>
        </w:trPr>
        <w:tc>
          <w:tcPr>
            <w:tcW w:w="86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575A4C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w:t>
            </w:r>
          </w:p>
        </w:tc>
        <w:tc>
          <w:tcPr>
            <w:tcW w:w="228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A07B44C">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pH</w:t>
            </w:r>
          </w:p>
        </w:tc>
        <w:tc>
          <w:tcPr>
            <w:tcW w:w="1324"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9800CB">
            <w:pPr>
              <w:pStyle w:val="48"/>
              <w:spacing w:beforeLines="0" w:afterLine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无量纲</w:t>
            </w:r>
          </w:p>
        </w:tc>
        <w:tc>
          <w:tcPr>
            <w:tcW w:w="19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B012A7E">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6.5-8.5</w:t>
            </w:r>
          </w:p>
        </w:tc>
        <w:tc>
          <w:tcPr>
            <w:tcW w:w="2567" w:type="dxa"/>
            <w:gridSpan w:val="2"/>
            <w:vMerge w:val="restart"/>
            <w:tcBorders>
              <w:top w:val="single" w:color="000000" w:sz="4" w:space="0"/>
              <w:left w:val="single" w:color="000000" w:sz="4" w:space="0"/>
              <w:right w:val="single" w:color="000000" w:sz="4" w:space="0"/>
              <w:tl2br w:val="nil"/>
              <w:tr2bl w:val="nil"/>
            </w:tcBorders>
            <w:noWrap w:val="0"/>
            <w:vAlign w:val="center"/>
          </w:tcPr>
          <w:p w14:paraId="7836BB1D">
            <w:pPr>
              <w:pStyle w:val="48"/>
              <w:spacing w:beforeLines="0" w:afterLine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《地下水质量标准》</w:t>
            </w:r>
          </w:p>
          <w:p w14:paraId="537FB1AF">
            <w:pPr>
              <w:pStyle w:val="48"/>
              <w:spacing w:beforeLines="0" w:afterLine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(GB/T14848-2017)中的Ⅲ类标准</w:t>
            </w:r>
          </w:p>
        </w:tc>
      </w:tr>
      <w:tr w14:paraId="63F58F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Before w:val="1"/>
          <w:wBefore w:w="2" w:type="dxa"/>
          <w:trHeight w:val="283" w:hRule="atLeast"/>
        </w:trPr>
        <w:tc>
          <w:tcPr>
            <w:tcW w:w="86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6B72FFD">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w:t>
            </w:r>
          </w:p>
        </w:tc>
        <w:tc>
          <w:tcPr>
            <w:tcW w:w="228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CDDF50E">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总硬度</w:t>
            </w:r>
          </w:p>
        </w:tc>
        <w:tc>
          <w:tcPr>
            <w:tcW w:w="1324" w:type="dxa"/>
            <w:gridSpan w:val="2"/>
            <w:vMerge w:val="restart"/>
            <w:tcBorders>
              <w:top w:val="single" w:color="000000" w:sz="4" w:space="0"/>
              <w:left w:val="single" w:color="000000" w:sz="4" w:space="0"/>
              <w:right w:val="single" w:color="000000" w:sz="4" w:space="0"/>
              <w:tl2br w:val="nil"/>
              <w:tr2bl w:val="nil"/>
            </w:tcBorders>
            <w:noWrap w:val="0"/>
            <w:vAlign w:val="center"/>
          </w:tcPr>
          <w:p w14:paraId="6EF0D3BE">
            <w:pPr>
              <w:pStyle w:val="48"/>
              <w:spacing w:beforeLines="0" w:afterLine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mg/L</w:t>
            </w:r>
          </w:p>
        </w:tc>
        <w:tc>
          <w:tcPr>
            <w:tcW w:w="19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5E36B3C">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≤450</w:t>
            </w:r>
          </w:p>
        </w:tc>
        <w:tc>
          <w:tcPr>
            <w:tcW w:w="2567" w:type="dxa"/>
            <w:gridSpan w:val="2"/>
            <w:vMerge w:val="continue"/>
            <w:tcBorders>
              <w:left w:val="single" w:color="000000" w:sz="4" w:space="0"/>
              <w:right w:val="single" w:color="000000" w:sz="4" w:space="0"/>
              <w:tl2br w:val="nil"/>
              <w:tr2bl w:val="nil"/>
            </w:tcBorders>
            <w:noWrap w:val="0"/>
            <w:vAlign w:val="center"/>
          </w:tcPr>
          <w:p w14:paraId="03E97542">
            <w:pPr>
              <w:pStyle w:val="48"/>
              <w:spacing w:beforeLines="0" w:afterLines="0"/>
              <w:rPr>
                <w:rFonts w:hint="default" w:ascii="Times New Roman" w:hAnsi="Times New Roman" w:cs="Times New Roman"/>
                <w:color w:val="auto"/>
                <w:sz w:val="24"/>
                <w:szCs w:val="24"/>
                <w:highlight w:val="none"/>
              </w:rPr>
            </w:pPr>
          </w:p>
        </w:tc>
      </w:tr>
      <w:tr w14:paraId="3E59A5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Before w:val="1"/>
          <w:wBefore w:w="2" w:type="dxa"/>
          <w:trHeight w:val="283" w:hRule="atLeast"/>
        </w:trPr>
        <w:tc>
          <w:tcPr>
            <w:tcW w:w="86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3AFF2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w:t>
            </w:r>
          </w:p>
        </w:tc>
        <w:tc>
          <w:tcPr>
            <w:tcW w:w="228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01E2CEB">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耗氧量</w:t>
            </w:r>
          </w:p>
        </w:tc>
        <w:tc>
          <w:tcPr>
            <w:tcW w:w="1324" w:type="dxa"/>
            <w:gridSpan w:val="2"/>
            <w:vMerge w:val="continue"/>
            <w:tcBorders>
              <w:left w:val="single" w:color="000000" w:sz="4" w:space="0"/>
              <w:right w:val="single" w:color="000000" w:sz="4" w:space="0"/>
              <w:tl2br w:val="nil"/>
              <w:tr2bl w:val="nil"/>
            </w:tcBorders>
            <w:noWrap w:val="0"/>
            <w:vAlign w:val="center"/>
          </w:tcPr>
          <w:p w14:paraId="4718FE71">
            <w:pPr>
              <w:pStyle w:val="48"/>
              <w:spacing w:beforeLines="0" w:afterLines="0"/>
              <w:jc w:val="center"/>
              <w:rPr>
                <w:rFonts w:hint="default" w:ascii="Times New Roman" w:hAnsi="Times New Roman" w:cs="Times New Roman"/>
                <w:color w:val="auto"/>
                <w:sz w:val="24"/>
                <w:szCs w:val="24"/>
                <w:highlight w:val="none"/>
              </w:rPr>
            </w:pPr>
          </w:p>
        </w:tc>
        <w:tc>
          <w:tcPr>
            <w:tcW w:w="19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5352E8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≤3.0</w:t>
            </w:r>
          </w:p>
        </w:tc>
        <w:tc>
          <w:tcPr>
            <w:tcW w:w="2567" w:type="dxa"/>
            <w:gridSpan w:val="2"/>
            <w:vMerge w:val="continue"/>
            <w:tcBorders>
              <w:left w:val="single" w:color="000000" w:sz="4" w:space="0"/>
              <w:right w:val="single" w:color="000000" w:sz="4" w:space="0"/>
              <w:tl2br w:val="nil"/>
              <w:tr2bl w:val="nil"/>
            </w:tcBorders>
            <w:noWrap w:val="0"/>
            <w:vAlign w:val="center"/>
          </w:tcPr>
          <w:p w14:paraId="239DE1E3">
            <w:pPr>
              <w:pStyle w:val="48"/>
              <w:spacing w:beforeLines="0" w:afterLines="0"/>
              <w:rPr>
                <w:rFonts w:hint="default" w:ascii="Times New Roman" w:hAnsi="Times New Roman" w:cs="Times New Roman"/>
                <w:color w:val="auto"/>
                <w:sz w:val="24"/>
                <w:szCs w:val="24"/>
                <w:highlight w:val="none"/>
              </w:rPr>
            </w:pPr>
          </w:p>
        </w:tc>
      </w:tr>
      <w:tr w14:paraId="627D86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Before w:val="1"/>
          <w:wBefore w:w="2" w:type="dxa"/>
          <w:trHeight w:val="283" w:hRule="atLeast"/>
        </w:trPr>
        <w:tc>
          <w:tcPr>
            <w:tcW w:w="86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4596D4">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w:t>
            </w:r>
          </w:p>
        </w:tc>
        <w:tc>
          <w:tcPr>
            <w:tcW w:w="228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4879D7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氯化物</w:t>
            </w:r>
          </w:p>
        </w:tc>
        <w:tc>
          <w:tcPr>
            <w:tcW w:w="1324" w:type="dxa"/>
            <w:gridSpan w:val="2"/>
            <w:vMerge w:val="continue"/>
            <w:tcBorders>
              <w:left w:val="single" w:color="000000" w:sz="4" w:space="0"/>
              <w:right w:val="single" w:color="000000" w:sz="4" w:space="0"/>
              <w:tl2br w:val="nil"/>
              <w:tr2bl w:val="nil"/>
            </w:tcBorders>
            <w:noWrap w:val="0"/>
            <w:vAlign w:val="center"/>
          </w:tcPr>
          <w:p w14:paraId="3A30E608">
            <w:pPr>
              <w:pStyle w:val="48"/>
              <w:spacing w:beforeLines="0" w:afterLines="0"/>
              <w:jc w:val="center"/>
              <w:rPr>
                <w:rFonts w:hint="default" w:ascii="Times New Roman" w:hAnsi="Times New Roman" w:cs="Times New Roman"/>
                <w:color w:val="auto"/>
                <w:sz w:val="24"/>
                <w:szCs w:val="24"/>
                <w:highlight w:val="none"/>
              </w:rPr>
            </w:pPr>
          </w:p>
        </w:tc>
        <w:tc>
          <w:tcPr>
            <w:tcW w:w="19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BF1204">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≤250</w:t>
            </w:r>
          </w:p>
        </w:tc>
        <w:tc>
          <w:tcPr>
            <w:tcW w:w="2567" w:type="dxa"/>
            <w:gridSpan w:val="2"/>
            <w:vMerge w:val="continue"/>
            <w:tcBorders>
              <w:left w:val="single" w:color="000000" w:sz="4" w:space="0"/>
              <w:right w:val="single" w:color="000000" w:sz="4" w:space="0"/>
              <w:tl2br w:val="nil"/>
              <w:tr2bl w:val="nil"/>
            </w:tcBorders>
            <w:noWrap w:val="0"/>
            <w:vAlign w:val="center"/>
          </w:tcPr>
          <w:p w14:paraId="657E5653">
            <w:pPr>
              <w:pStyle w:val="48"/>
              <w:spacing w:beforeLines="0" w:afterLines="0"/>
              <w:rPr>
                <w:rFonts w:hint="default" w:ascii="Times New Roman" w:hAnsi="Times New Roman" w:cs="Times New Roman"/>
                <w:color w:val="auto"/>
                <w:sz w:val="24"/>
                <w:szCs w:val="24"/>
                <w:highlight w:val="none"/>
              </w:rPr>
            </w:pPr>
          </w:p>
        </w:tc>
      </w:tr>
      <w:tr w14:paraId="386372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Before w:val="1"/>
          <w:wBefore w:w="2" w:type="dxa"/>
          <w:trHeight w:val="283" w:hRule="atLeast"/>
        </w:trPr>
        <w:tc>
          <w:tcPr>
            <w:tcW w:w="86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A57153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5</w:t>
            </w:r>
          </w:p>
        </w:tc>
        <w:tc>
          <w:tcPr>
            <w:tcW w:w="228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EBAED24">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溶解性总固体</w:t>
            </w:r>
          </w:p>
        </w:tc>
        <w:tc>
          <w:tcPr>
            <w:tcW w:w="1324" w:type="dxa"/>
            <w:gridSpan w:val="2"/>
            <w:vMerge w:val="continue"/>
            <w:tcBorders>
              <w:left w:val="single" w:color="000000" w:sz="4" w:space="0"/>
              <w:right w:val="single" w:color="000000" w:sz="4" w:space="0"/>
              <w:tl2br w:val="nil"/>
              <w:tr2bl w:val="nil"/>
            </w:tcBorders>
            <w:noWrap w:val="0"/>
            <w:vAlign w:val="center"/>
          </w:tcPr>
          <w:p w14:paraId="3E41BCF3">
            <w:pPr>
              <w:pStyle w:val="48"/>
              <w:spacing w:beforeLines="0" w:afterLines="0"/>
              <w:jc w:val="center"/>
              <w:rPr>
                <w:rFonts w:hint="default" w:ascii="Times New Roman" w:hAnsi="Times New Roman" w:cs="Times New Roman"/>
                <w:color w:val="auto"/>
                <w:sz w:val="24"/>
                <w:szCs w:val="24"/>
                <w:highlight w:val="none"/>
              </w:rPr>
            </w:pPr>
          </w:p>
        </w:tc>
        <w:tc>
          <w:tcPr>
            <w:tcW w:w="19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EC46A01">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≤1000</w:t>
            </w:r>
          </w:p>
        </w:tc>
        <w:tc>
          <w:tcPr>
            <w:tcW w:w="2567" w:type="dxa"/>
            <w:gridSpan w:val="2"/>
            <w:vMerge w:val="continue"/>
            <w:tcBorders>
              <w:left w:val="single" w:color="000000" w:sz="4" w:space="0"/>
              <w:right w:val="single" w:color="000000" w:sz="4" w:space="0"/>
              <w:tl2br w:val="nil"/>
              <w:tr2bl w:val="nil"/>
            </w:tcBorders>
            <w:noWrap w:val="0"/>
            <w:vAlign w:val="center"/>
          </w:tcPr>
          <w:p w14:paraId="3DD422F4">
            <w:pPr>
              <w:pStyle w:val="48"/>
              <w:spacing w:beforeLines="0" w:afterLines="0"/>
              <w:rPr>
                <w:rFonts w:hint="default" w:ascii="Times New Roman" w:hAnsi="Times New Roman" w:cs="Times New Roman"/>
                <w:color w:val="auto"/>
                <w:sz w:val="24"/>
                <w:szCs w:val="24"/>
                <w:highlight w:val="none"/>
              </w:rPr>
            </w:pPr>
          </w:p>
        </w:tc>
      </w:tr>
      <w:tr w14:paraId="01B95C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Before w:val="1"/>
          <w:wBefore w:w="2" w:type="dxa"/>
          <w:trHeight w:val="283" w:hRule="atLeast"/>
        </w:trPr>
        <w:tc>
          <w:tcPr>
            <w:tcW w:w="86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F20E5DC">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6</w:t>
            </w:r>
          </w:p>
        </w:tc>
        <w:tc>
          <w:tcPr>
            <w:tcW w:w="228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6DD9AB">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氟化物</w:t>
            </w:r>
          </w:p>
        </w:tc>
        <w:tc>
          <w:tcPr>
            <w:tcW w:w="1324" w:type="dxa"/>
            <w:gridSpan w:val="2"/>
            <w:vMerge w:val="continue"/>
            <w:tcBorders>
              <w:left w:val="single" w:color="000000" w:sz="4" w:space="0"/>
              <w:right w:val="single" w:color="000000" w:sz="4" w:space="0"/>
              <w:tl2br w:val="nil"/>
              <w:tr2bl w:val="nil"/>
            </w:tcBorders>
            <w:noWrap w:val="0"/>
            <w:vAlign w:val="center"/>
          </w:tcPr>
          <w:p w14:paraId="67C2D9CB">
            <w:pPr>
              <w:pStyle w:val="48"/>
              <w:spacing w:beforeLines="0" w:afterLines="0"/>
              <w:jc w:val="center"/>
              <w:rPr>
                <w:rFonts w:hint="default" w:ascii="Times New Roman" w:hAnsi="Times New Roman" w:cs="Times New Roman"/>
                <w:color w:val="auto"/>
                <w:sz w:val="24"/>
                <w:szCs w:val="24"/>
                <w:highlight w:val="none"/>
              </w:rPr>
            </w:pPr>
          </w:p>
        </w:tc>
        <w:tc>
          <w:tcPr>
            <w:tcW w:w="19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DA4C2D">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≤1.0</w:t>
            </w:r>
          </w:p>
        </w:tc>
        <w:tc>
          <w:tcPr>
            <w:tcW w:w="2567" w:type="dxa"/>
            <w:gridSpan w:val="2"/>
            <w:vMerge w:val="continue"/>
            <w:tcBorders>
              <w:left w:val="single" w:color="000000" w:sz="4" w:space="0"/>
              <w:right w:val="single" w:color="000000" w:sz="4" w:space="0"/>
              <w:tl2br w:val="nil"/>
              <w:tr2bl w:val="nil"/>
            </w:tcBorders>
            <w:noWrap w:val="0"/>
            <w:vAlign w:val="center"/>
          </w:tcPr>
          <w:p w14:paraId="3FA414D4">
            <w:pPr>
              <w:pStyle w:val="48"/>
              <w:spacing w:beforeLines="0" w:afterLines="0"/>
              <w:rPr>
                <w:rFonts w:hint="default" w:ascii="Times New Roman" w:hAnsi="Times New Roman" w:cs="Times New Roman"/>
                <w:color w:val="auto"/>
                <w:sz w:val="24"/>
                <w:szCs w:val="24"/>
                <w:highlight w:val="none"/>
              </w:rPr>
            </w:pPr>
          </w:p>
        </w:tc>
      </w:tr>
      <w:tr w14:paraId="72DF0D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Before w:val="1"/>
          <w:wBefore w:w="2" w:type="dxa"/>
          <w:trHeight w:val="283" w:hRule="atLeast"/>
        </w:trPr>
        <w:tc>
          <w:tcPr>
            <w:tcW w:w="86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68324BA">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7</w:t>
            </w:r>
          </w:p>
        </w:tc>
        <w:tc>
          <w:tcPr>
            <w:tcW w:w="228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6797507">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氨氮</w:t>
            </w:r>
          </w:p>
        </w:tc>
        <w:tc>
          <w:tcPr>
            <w:tcW w:w="1324" w:type="dxa"/>
            <w:gridSpan w:val="2"/>
            <w:vMerge w:val="continue"/>
            <w:tcBorders>
              <w:left w:val="single" w:color="000000" w:sz="4" w:space="0"/>
              <w:right w:val="single" w:color="000000" w:sz="4" w:space="0"/>
              <w:tl2br w:val="nil"/>
              <w:tr2bl w:val="nil"/>
            </w:tcBorders>
            <w:noWrap w:val="0"/>
            <w:vAlign w:val="center"/>
          </w:tcPr>
          <w:p w14:paraId="266E0165">
            <w:pPr>
              <w:pStyle w:val="48"/>
              <w:spacing w:beforeLines="0" w:afterLines="0"/>
              <w:jc w:val="center"/>
              <w:rPr>
                <w:rFonts w:hint="default" w:ascii="Times New Roman" w:hAnsi="Times New Roman" w:cs="Times New Roman"/>
                <w:color w:val="auto"/>
                <w:sz w:val="24"/>
                <w:szCs w:val="24"/>
                <w:highlight w:val="none"/>
              </w:rPr>
            </w:pPr>
          </w:p>
        </w:tc>
        <w:tc>
          <w:tcPr>
            <w:tcW w:w="19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4EE28B6">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≤0.50</w:t>
            </w:r>
          </w:p>
        </w:tc>
        <w:tc>
          <w:tcPr>
            <w:tcW w:w="2567" w:type="dxa"/>
            <w:gridSpan w:val="2"/>
            <w:vMerge w:val="continue"/>
            <w:tcBorders>
              <w:left w:val="single" w:color="000000" w:sz="4" w:space="0"/>
              <w:right w:val="single" w:color="000000" w:sz="4" w:space="0"/>
              <w:tl2br w:val="nil"/>
              <w:tr2bl w:val="nil"/>
            </w:tcBorders>
            <w:noWrap w:val="0"/>
            <w:vAlign w:val="center"/>
          </w:tcPr>
          <w:p w14:paraId="4FF7FF6D">
            <w:pPr>
              <w:pStyle w:val="48"/>
              <w:spacing w:beforeLines="0" w:afterLines="0"/>
              <w:rPr>
                <w:rFonts w:hint="default" w:ascii="Times New Roman" w:hAnsi="Times New Roman" w:cs="Times New Roman"/>
                <w:color w:val="auto"/>
                <w:sz w:val="24"/>
                <w:szCs w:val="24"/>
                <w:highlight w:val="none"/>
              </w:rPr>
            </w:pPr>
          </w:p>
        </w:tc>
      </w:tr>
      <w:tr w14:paraId="700728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Before w:val="1"/>
          <w:wBefore w:w="2" w:type="dxa"/>
          <w:trHeight w:val="283" w:hRule="atLeast"/>
        </w:trPr>
        <w:tc>
          <w:tcPr>
            <w:tcW w:w="86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367C71A">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8</w:t>
            </w:r>
          </w:p>
        </w:tc>
        <w:tc>
          <w:tcPr>
            <w:tcW w:w="228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EBA5B63">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硝酸盐氮</w:t>
            </w:r>
          </w:p>
        </w:tc>
        <w:tc>
          <w:tcPr>
            <w:tcW w:w="1324" w:type="dxa"/>
            <w:gridSpan w:val="2"/>
            <w:vMerge w:val="continue"/>
            <w:tcBorders>
              <w:left w:val="single" w:color="000000" w:sz="4" w:space="0"/>
              <w:right w:val="single" w:color="000000" w:sz="4" w:space="0"/>
              <w:tl2br w:val="nil"/>
              <w:tr2bl w:val="nil"/>
            </w:tcBorders>
            <w:noWrap w:val="0"/>
            <w:vAlign w:val="center"/>
          </w:tcPr>
          <w:p w14:paraId="4085C28A">
            <w:pPr>
              <w:pStyle w:val="48"/>
              <w:spacing w:beforeLines="0" w:afterLines="0"/>
              <w:jc w:val="center"/>
              <w:rPr>
                <w:rFonts w:hint="default" w:ascii="Times New Roman" w:hAnsi="Times New Roman" w:cs="Times New Roman"/>
                <w:color w:val="auto"/>
                <w:sz w:val="24"/>
                <w:szCs w:val="24"/>
                <w:highlight w:val="none"/>
              </w:rPr>
            </w:pPr>
          </w:p>
        </w:tc>
        <w:tc>
          <w:tcPr>
            <w:tcW w:w="19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60B4131">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≤20.0</w:t>
            </w:r>
          </w:p>
        </w:tc>
        <w:tc>
          <w:tcPr>
            <w:tcW w:w="2567" w:type="dxa"/>
            <w:gridSpan w:val="2"/>
            <w:vMerge w:val="continue"/>
            <w:tcBorders>
              <w:left w:val="single" w:color="000000" w:sz="4" w:space="0"/>
              <w:right w:val="single" w:color="000000" w:sz="4" w:space="0"/>
              <w:tl2br w:val="nil"/>
              <w:tr2bl w:val="nil"/>
            </w:tcBorders>
            <w:noWrap w:val="0"/>
            <w:vAlign w:val="center"/>
          </w:tcPr>
          <w:p w14:paraId="5E3E5B00">
            <w:pPr>
              <w:pStyle w:val="48"/>
              <w:spacing w:beforeLines="0" w:afterLines="0"/>
              <w:rPr>
                <w:rFonts w:hint="default" w:ascii="Times New Roman" w:hAnsi="Times New Roman" w:cs="Times New Roman"/>
                <w:color w:val="auto"/>
                <w:sz w:val="24"/>
                <w:szCs w:val="24"/>
                <w:highlight w:val="none"/>
              </w:rPr>
            </w:pPr>
          </w:p>
        </w:tc>
      </w:tr>
      <w:tr w14:paraId="2F2A14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Before w:val="1"/>
          <w:wBefore w:w="2" w:type="dxa"/>
          <w:trHeight w:val="283" w:hRule="atLeast"/>
        </w:trPr>
        <w:tc>
          <w:tcPr>
            <w:tcW w:w="86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4C29D4B">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9</w:t>
            </w:r>
          </w:p>
        </w:tc>
        <w:tc>
          <w:tcPr>
            <w:tcW w:w="228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2A66BE3">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亚硝酸盐氮</w:t>
            </w:r>
          </w:p>
        </w:tc>
        <w:tc>
          <w:tcPr>
            <w:tcW w:w="1324" w:type="dxa"/>
            <w:gridSpan w:val="2"/>
            <w:vMerge w:val="continue"/>
            <w:tcBorders>
              <w:left w:val="single" w:color="000000" w:sz="4" w:space="0"/>
              <w:right w:val="single" w:color="000000" w:sz="4" w:space="0"/>
              <w:tl2br w:val="nil"/>
              <w:tr2bl w:val="nil"/>
            </w:tcBorders>
            <w:noWrap w:val="0"/>
            <w:vAlign w:val="center"/>
          </w:tcPr>
          <w:p w14:paraId="0FE2AC8F">
            <w:pPr>
              <w:pStyle w:val="48"/>
              <w:spacing w:beforeLines="0" w:afterLines="0"/>
              <w:jc w:val="center"/>
              <w:rPr>
                <w:rFonts w:hint="default" w:ascii="Times New Roman" w:hAnsi="Times New Roman" w:cs="Times New Roman"/>
                <w:color w:val="auto"/>
                <w:sz w:val="24"/>
                <w:szCs w:val="24"/>
                <w:highlight w:val="none"/>
              </w:rPr>
            </w:pPr>
          </w:p>
        </w:tc>
        <w:tc>
          <w:tcPr>
            <w:tcW w:w="19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B93AF6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≤1.00</w:t>
            </w:r>
          </w:p>
        </w:tc>
        <w:tc>
          <w:tcPr>
            <w:tcW w:w="2567" w:type="dxa"/>
            <w:gridSpan w:val="2"/>
            <w:vMerge w:val="continue"/>
            <w:tcBorders>
              <w:left w:val="single" w:color="000000" w:sz="4" w:space="0"/>
              <w:right w:val="single" w:color="000000" w:sz="4" w:space="0"/>
              <w:tl2br w:val="nil"/>
              <w:tr2bl w:val="nil"/>
            </w:tcBorders>
            <w:noWrap w:val="0"/>
            <w:vAlign w:val="center"/>
          </w:tcPr>
          <w:p w14:paraId="23A52ABC">
            <w:pPr>
              <w:pStyle w:val="48"/>
              <w:spacing w:beforeLines="0" w:afterLines="0"/>
              <w:rPr>
                <w:rFonts w:hint="default" w:ascii="Times New Roman" w:hAnsi="Times New Roman" w:cs="Times New Roman"/>
                <w:color w:val="auto"/>
                <w:sz w:val="24"/>
                <w:szCs w:val="24"/>
                <w:highlight w:val="none"/>
              </w:rPr>
            </w:pPr>
          </w:p>
        </w:tc>
      </w:tr>
      <w:tr w14:paraId="7A64AC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Before w:val="1"/>
          <w:wBefore w:w="2" w:type="dxa"/>
          <w:trHeight w:val="283" w:hRule="atLeast"/>
        </w:trPr>
        <w:tc>
          <w:tcPr>
            <w:tcW w:w="86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D1E828D">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10</w:t>
            </w:r>
          </w:p>
        </w:tc>
        <w:tc>
          <w:tcPr>
            <w:tcW w:w="228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6197CA">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硫酸盐</w:t>
            </w:r>
          </w:p>
        </w:tc>
        <w:tc>
          <w:tcPr>
            <w:tcW w:w="1324" w:type="dxa"/>
            <w:gridSpan w:val="2"/>
            <w:vMerge w:val="continue"/>
            <w:tcBorders>
              <w:left w:val="single" w:color="000000" w:sz="4" w:space="0"/>
              <w:right w:val="single" w:color="000000" w:sz="4" w:space="0"/>
              <w:tl2br w:val="nil"/>
              <w:tr2bl w:val="nil"/>
            </w:tcBorders>
            <w:noWrap w:val="0"/>
            <w:vAlign w:val="center"/>
          </w:tcPr>
          <w:p w14:paraId="13713C51">
            <w:pPr>
              <w:pStyle w:val="48"/>
              <w:spacing w:beforeLines="0" w:afterLines="0"/>
              <w:jc w:val="center"/>
              <w:rPr>
                <w:rFonts w:hint="default" w:ascii="Times New Roman" w:hAnsi="Times New Roman" w:cs="Times New Roman"/>
                <w:color w:val="auto"/>
                <w:sz w:val="24"/>
                <w:szCs w:val="24"/>
                <w:highlight w:val="none"/>
              </w:rPr>
            </w:pPr>
          </w:p>
        </w:tc>
        <w:tc>
          <w:tcPr>
            <w:tcW w:w="19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47EDB7B">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≤250</w:t>
            </w:r>
          </w:p>
        </w:tc>
        <w:tc>
          <w:tcPr>
            <w:tcW w:w="2567" w:type="dxa"/>
            <w:gridSpan w:val="2"/>
            <w:vMerge w:val="continue"/>
            <w:tcBorders>
              <w:left w:val="single" w:color="000000" w:sz="4" w:space="0"/>
              <w:right w:val="single" w:color="000000" w:sz="4" w:space="0"/>
              <w:tl2br w:val="nil"/>
              <w:tr2bl w:val="nil"/>
            </w:tcBorders>
            <w:noWrap w:val="0"/>
            <w:vAlign w:val="center"/>
          </w:tcPr>
          <w:p w14:paraId="36038792">
            <w:pPr>
              <w:pStyle w:val="48"/>
              <w:spacing w:beforeLines="0" w:afterLines="0"/>
              <w:rPr>
                <w:rFonts w:hint="default" w:ascii="Times New Roman" w:hAnsi="Times New Roman" w:cs="Times New Roman"/>
                <w:color w:val="auto"/>
                <w:sz w:val="24"/>
                <w:szCs w:val="24"/>
                <w:highlight w:val="none"/>
              </w:rPr>
            </w:pPr>
          </w:p>
        </w:tc>
      </w:tr>
      <w:tr w14:paraId="7D8169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Before w:val="1"/>
          <w:wBefore w:w="2" w:type="dxa"/>
          <w:trHeight w:val="283" w:hRule="atLeast"/>
        </w:trPr>
        <w:tc>
          <w:tcPr>
            <w:tcW w:w="86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D057DF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11</w:t>
            </w:r>
          </w:p>
        </w:tc>
        <w:tc>
          <w:tcPr>
            <w:tcW w:w="228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7CD74C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六价铬</w:t>
            </w:r>
          </w:p>
        </w:tc>
        <w:tc>
          <w:tcPr>
            <w:tcW w:w="1324" w:type="dxa"/>
            <w:gridSpan w:val="2"/>
            <w:vMerge w:val="continue"/>
            <w:tcBorders>
              <w:left w:val="single" w:color="000000" w:sz="4" w:space="0"/>
              <w:right w:val="single" w:color="000000" w:sz="4" w:space="0"/>
              <w:tl2br w:val="nil"/>
              <w:tr2bl w:val="nil"/>
            </w:tcBorders>
            <w:noWrap w:val="0"/>
            <w:vAlign w:val="center"/>
          </w:tcPr>
          <w:p w14:paraId="51006D6B">
            <w:pPr>
              <w:pStyle w:val="48"/>
              <w:spacing w:beforeLines="0" w:afterLines="0"/>
              <w:jc w:val="center"/>
              <w:rPr>
                <w:rFonts w:hint="default" w:ascii="Times New Roman" w:hAnsi="Times New Roman" w:cs="Times New Roman"/>
                <w:color w:val="auto"/>
                <w:sz w:val="24"/>
                <w:szCs w:val="24"/>
                <w:highlight w:val="none"/>
              </w:rPr>
            </w:pPr>
          </w:p>
        </w:tc>
        <w:tc>
          <w:tcPr>
            <w:tcW w:w="19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F21AB95">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≤0.05</w:t>
            </w:r>
          </w:p>
        </w:tc>
        <w:tc>
          <w:tcPr>
            <w:tcW w:w="2567" w:type="dxa"/>
            <w:gridSpan w:val="2"/>
            <w:vMerge w:val="continue"/>
            <w:tcBorders>
              <w:left w:val="single" w:color="000000" w:sz="4" w:space="0"/>
              <w:right w:val="single" w:color="000000" w:sz="4" w:space="0"/>
              <w:tl2br w:val="nil"/>
              <w:tr2bl w:val="nil"/>
            </w:tcBorders>
            <w:noWrap w:val="0"/>
            <w:vAlign w:val="center"/>
          </w:tcPr>
          <w:p w14:paraId="40B4D270">
            <w:pPr>
              <w:pStyle w:val="48"/>
              <w:spacing w:beforeLines="0" w:afterLines="0"/>
              <w:rPr>
                <w:rFonts w:hint="default" w:ascii="Times New Roman" w:hAnsi="Times New Roman" w:cs="Times New Roman"/>
                <w:color w:val="auto"/>
                <w:sz w:val="24"/>
                <w:szCs w:val="24"/>
                <w:highlight w:val="none"/>
              </w:rPr>
            </w:pPr>
          </w:p>
        </w:tc>
      </w:tr>
      <w:tr w14:paraId="0CA676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 w:type="dxa"/>
          <w:trHeight w:val="283" w:hRule="atLeast"/>
        </w:trPr>
        <w:tc>
          <w:tcPr>
            <w:tcW w:w="86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4C928C7">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12</w:t>
            </w:r>
          </w:p>
        </w:tc>
        <w:tc>
          <w:tcPr>
            <w:tcW w:w="2284"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E087603">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挥发酚</w:t>
            </w:r>
          </w:p>
        </w:tc>
        <w:tc>
          <w:tcPr>
            <w:tcW w:w="1322" w:type="dxa"/>
            <w:vMerge w:val="continue"/>
            <w:tcBorders>
              <w:left w:val="single" w:color="000000" w:sz="4" w:space="0"/>
              <w:right w:val="single" w:color="000000" w:sz="4" w:space="0"/>
              <w:tl2br w:val="nil"/>
              <w:tr2bl w:val="nil"/>
            </w:tcBorders>
            <w:noWrap w:val="0"/>
            <w:vAlign w:val="center"/>
          </w:tcPr>
          <w:p w14:paraId="5B251ED5">
            <w:pPr>
              <w:pStyle w:val="48"/>
              <w:spacing w:beforeLines="0" w:afterLines="0"/>
              <w:jc w:val="center"/>
              <w:rPr>
                <w:rFonts w:hint="default" w:ascii="Times New Roman" w:hAnsi="Times New Roman" w:cs="Times New Roman"/>
                <w:color w:val="auto"/>
                <w:sz w:val="24"/>
                <w:szCs w:val="24"/>
                <w:highlight w:val="none"/>
              </w:rPr>
            </w:pPr>
          </w:p>
        </w:tc>
        <w:tc>
          <w:tcPr>
            <w:tcW w:w="19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EE76A1C">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≤0.002</w:t>
            </w:r>
          </w:p>
        </w:tc>
        <w:tc>
          <w:tcPr>
            <w:tcW w:w="2567" w:type="dxa"/>
            <w:gridSpan w:val="2"/>
            <w:vMerge w:val="continue"/>
            <w:tcBorders>
              <w:left w:val="single" w:color="000000" w:sz="4" w:space="0"/>
              <w:right w:val="single" w:color="000000" w:sz="4" w:space="0"/>
              <w:tl2br w:val="nil"/>
              <w:tr2bl w:val="nil"/>
            </w:tcBorders>
            <w:noWrap w:val="0"/>
            <w:vAlign w:val="center"/>
          </w:tcPr>
          <w:p w14:paraId="6BFB9394">
            <w:pPr>
              <w:pStyle w:val="48"/>
              <w:spacing w:beforeLines="0" w:afterLines="0"/>
              <w:rPr>
                <w:rFonts w:hint="default" w:ascii="Times New Roman" w:hAnsi="Times New Roman" w:cs="Times New Roman"/>
                <w:color w:val="auto"/>
                <w:sz w:val="24"/>
                <w:szCs w:val="24"/>
                <w:highlight w:val="none"/>
              </w:rPr>
            </w:pPr>
          </w:p>
        </w:tc>
      </w:tr>
      <w:tr w14:paraId="2D5655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 w:type="dxa"/>
          <w:trHeight w:val="283" w:hRule="atLeast"/>
        </w:trPr>
        <w:tc>
          <w:tcPr>
            <w:tcW w:w="86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4605F1">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13</w:t>
            </w:r>
          </w:p>
        </w:tc>
        <w:tc>
          <w:tcPr>
            <w:tcW w:w="2284"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E997EE1">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氰化物</w:t>
            </w:r>
          </w:p>
        </w:tc>
        <w:tc>
          <w:tcPr>
            <w:tcW w:w="1322" w:type="dxa"/>
            <w:vMerge w:val="continue"/>
            <w:tcBorders>
              <w:left w:val="single" w:color="000000" w:sz="4" w:space="0"/>
              <w:right w:val="single" w:color="000000" w:sz="4" w:space="0"/>
              <w:tl2br w:val="nil"/>
              <w:tr2bl w:val="nil"/>
            </w:tcBorders>
            <w:noWrap w:val="0"/>
            <w:vAlign w:val="center"/>
          </w:tcPr>
          <w:p w14:paraId="6654FB80">
            <w:pPr>
              <w:pStyle w:val="48"/>
              <w:spacing w:beforeLines="0" w:afterLines="0"/>
              <w:jc w:val="center"/>
              <w:rPr>
                <w:rFonts w:hint="default" w:ascii="Times New Roman" w:hAnsi="Times New Roman" w:cs="Times New Roman"/>
                <w:color w:val="auto"/>
                <w:sz w:val="24"/>
                <w:szCs w:val="24"/>
                <w:highlight w:val="none"/>
              </w:rPr>
            </w:pPr>
          </w:p>
        </w:tc>
        <w:tc>
          <w:tcPr>
            <w:tcW w:w="19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F4BD79A">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≤0.05</w:t>
            </w:r>
          </w:p>
        </w:tc>
        <w:tc>
          <w:tcPr>
            <w:tcW w:w="2567" w:type="dxa"/>
            <w:gridSpan w:val="2"/>
            <w:vMerge w:val="continue"/>
            <w:tcBorders>
              <w:left w:val="single" w:color="000000" w:sz="4" w:space="0"/>
              <w:right w:val="single" w:color="000000" w:sz="4" w:space="0"/>
              <w:tl2br w:val="nil"/>
              <w:tr2bl w:val="nil"/>
            </w:tcBorders>
            <w:noWrap w:val="0"/>
            <w:vAlign w:val="center"/>
          </w:tcPr>
          <w:p w14:paraId="43865FA1">
            <w:pPr>
              <w:pStyle w:val="47"/>
              <w:kinsoku w:val="0"/>
              <w:overflowPunct w:val="0"/>
              <w:spacing w:before="92" w:beforeLines="0" w:afterLines="0"/>
              <w:ind w:left="1"/>
              <w:jc w:val="center"/>
              <w:rPr>
                <w:rFonts w:hint="default" w:ascii="Times New Roman" w:hAnsi="Times New Roman" w:cs="Times New Roman"/>
                <w:color w:val="auto"/>
                <w:sz w:val="24"/>
                <w:szCs w:val="24"/>
                <w:highlight w:val="none"/>
              </w:rPr>
            </w:pPr>
          </w:p>
        </w:tc>
      </w:tr>
      <w:tr w14:paraId="592CC1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 w:type="dxa"/>
          <w:trHeight w:val="283" w:hRule="atLeast"/>
        </w:trPr>
        <w:tc>
          <w:tcPr>
            <w:tcW w:w="86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4E5C40C">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14</w:t>
            </w:r>
          </w:p>
        </w:tc>
        <w:tc>
          <w:tcPr>
            <w:tcW w:w="2284"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242DC6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铁</w:t>
            </w:r>
          </w:p>
        </w:tc>
        <w:tc>
          <w:tcPr>
            <w:tcW w:w="1322" w:type="dxa"/>
            <w:vMerge w:val="continue"/>
            <w:tcBorders>
              <w:left w:val="single" w:color="000000" w:sz="4" w:space="0"/>
              <w:right w:val="single" w:color="000000" w:sz="4" w:space="0"/>
              <w:tl2br w:val="nil"/>
              <w:tr2bl w:val="nil"/>
            </w:tcBorders>
            <w:noWrap w:val="0"/>
            <w:vAlign w:val="center"/>
          </w:tcPr>
          <w:p w14:paraId="2000B9A6">
            <w:pPr>
              <w:pStyle w:val="48"/>
              <w:spacing w:beforeLines="0" w:afterLines="0"/>
              <w:jc w:val="center"/>
              <w:rPr>
                <w:rFonts w:hint="default" w:ascii="Times New Roman" w:hAnsi="Times New Roman" w:cs="Times New Roman"/>
                <w:color w:val="auto"/>
                <w:sz w:val="24"/>
                <w:szCs w:val="24"/>
                <w:highlight w:val="none"/>
              </w:rPr>
            </w:pPr>
          </w:p>
        </w:tc>
        <w:tc>
          <w:tcPr>
            <w:tcW w:w="19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F1C46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≤0.3</w:t>
            </w:r>
          </w:p>
        </w:tc>
        <w:tc>
          <w:tcPr>
            <w:tcW w:w="2567" w:type="dxa"/>
            <w:gridSpan w:val="2"/>
            <w:vMerge w:val="continue"/>
            <w:tcBorders>
              <w:left w:val="single" w:color="000000" w:sz="4" w:space="0"/>
              <w:right w:val="single" w:color="000000" w:sz="4" w:space="0"/>
              <w:tl2br w:val="nil"/>
              <w:tr2bl w:val="nil"/>
            </w:tcBorders>
            <w:noWrap w:val="0"/>
            <w:vAlign w:val="center"/>
          </w:tcPr>
          <w:p w14:paraId="422CFAEF">
            <w:pPr>
              <w:pStyle w:val="47"/>
              <w:kinsoku w:val="0"/>
              <w:overflowPunct w:val="0"/>
              <w:spacing w:before="93" w:beforeLines="0" w:afterLines="0"/>
              <w:ind w:right="1"/>
              <w:jc w:val="center"/>
              <w:rPr>
                <w:rFonts w:hint="default" w:ascii="Times New Roman" w:hAnsi="Times New Roman" w:cs="Times New Roman"/>
                <w:color w:val="auto"/>
                <w:sz w:val="24"/>
                <w:szCs w:val="24"/>
                <w:highlight w:val="none"/>
              </w:rPr>
            </w:pPr>
          </w:p>
        </w:tc>
      </w:tr>
      <w:tr w14:paraId="569551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 w:type="dxa"/>
          <w:trHeight w:val="283" w:hRule="atLeast"/>
        </w:trPr>
        <w:tc>
          <w:tcPr>
            <w:tcW w:w="86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5477283">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15</w:t>
            </w:r>
          </w:p>
        </w:tc>
        <w:tc>
          <w:tcPr>
            <w:tcW w:w="2284"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A89AE67">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汞</w:t>
            </w:r>
          </w:p>
        </w:tc>
        <w:tc>
          <w:tcPr>
            <w:tcW w:w="1322" w:type="dxa"/>
            <w:vMerge w:val="continue"/>
            <w:tcBorders>
              <w:left w:val="single" w:color="000000" w:sz="4" w:space="0"/>
              <w:right w:val="single" w:color="000000" w:sz="4" w:space="0"/>
              <w:tl2br w:val="nil"/>
              <w:tr2bl w:val="nil"/>
            </w:tcBorders>
            <w:noWrap w:val="0"/>
            <w:vAlign w:val="center"/>
          </w:tcPr>
          <w:p w14:paraId="3D92480F">
            <w:pPr>
              <w:pStyle w:val="48"/>
              <w:spacing w:beforeLines="0" w:afterLines="0"/>
              <w:jc w:val="center"/>
              <w:rPr>
                <w:rFonts w:hint="default" w:ascii="Times New Roman" w:hAnsi="Times New Roman" w:cs="Times New Roman"/>
                <w:color w:val="auto"/>
                <w:sz w:val="24"/>
                <w:szCs w:val="24"/>
                <w:highlight w:val="none"/>
              </w:rPr>
            </w:pPr>
          </w:p>
        </w:tc>
        <w:tc>
          <w:tcPr>
            <w:tcW w:w="19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32A1A9B">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≤0.001</w:t>
            </w:r>
          </w:p>
        </w:tc>
        <w:tc>
          <w:tcPr>
            <w:tcW w:w="2567" w:type="dxa"/>
            <w:gridSpan w:val="2"/>
            <w:vMerge w:val="continue"/>
            <w:tcBorders>
              <w:left w:val="single" w:color="000000" w:sz="4" w:space="0"/>
              <w:right w:val="single" w:color="000000" w:sz="4" w:space="0"/>
              <w:tl2br w:val="nil"/>
              <w:tr2bl w:val="nil"/>
            </w:tcBorders>
            <w:noWrap w:val="0"/>
            <w:vAlign w:val="center"/>
          </w:tcPr>
          <w:p w14:paraId="35EF7179">
            <w:pPr>
              <w:pStyle w:val="47"/>
              <w:kinsoku w:val="0"/>
              <w:overflowPunct w:val="0"/>
              <w:spacing w:before="93" w:beforeLines="0" w:afterLines="0"/>
              <w:jc w:val="center"/>
              <w:rPr>
                <w:rFonts w:hint="default" w:ascii="Times New Roman" w:hAnsi="Times New Roman" w:cs="Times New Roman"/>
                <w:color w:val="auto"/>
                <w:sz w:val="24"/>
                <w:szCs w:val="24"/>
                <w:highlight w:val="none"/>
              </w:rPr>
            </w:pPr>
          </w:p>
        </w:tc>
      </w:tr>
      <w:tr w14:paraId="4EDE4C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 w:type="dxa"/>
          <w:trHeight w:val="283" w:hRule="atLeast"/>
        </w:trPr>
        <w:tc>
          <w:tcPr>
            <w:tcW w:w="86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BFD974">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16</w:t>
            </w:r>
          </w:p>
        </w:tc>
        <w:tc>
          <w:tcPr>
            <w:tcW w:w="2284"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E66580A">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铅</w:t>
            </w:r>
          </w:p>
        </w:tc>
        <w:tc>
          <w:tcPr>
            <w:tcW w:w="1322" w:type="dxa"/>
            <w:vMerge w:val="continue"/>
            <w:tcBorders>
              <w:left w:val="single" w:color="000000" w:sz="4" w:space="0"/>
              <w:right w:val="single" w:color="000000" w:sz="4" w:space="0"/>
              <w:tl2br w:val="nil"/>
              <w:tr2bl w:val="nil"/>
            </w:tcBorders>
            <w:noWrap w:val="0"/>
            <w:vAlign w:val="center"/>
          </w:tcPr>
          <w:p w14:paraId="4F9CA8AA">
            <w:pPr>
              <w:pStyle w:val="48"/>
              <w:spacing w:beforeLines="0" w:afterLines="0"/>
              <w:jc w:val="center"/>
              <w:rPr>
                <w:rFonts w:hint="default" w:ascii="Times New Roman" w:hAnsi="Times New Roman" w:cs="Times New Roman"/>
                <w:color w:val="auto"/>
                <w:sz w:val="24"/>
                <w:szCs w:val="24"/>
                <w:highlight w:val="none"/>
              </w:rPr>
            </w:pPr>
          </w:p>
        </w:tc>
        <w:tc>
          <w:tcPr>
            <w:tcW w:w="19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08B108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≤0.01</w:t>
            </w:r>
          </w:p>
        </w:tc>
        <w:tc>
          <w:tcPr>
            <w:tcW w:w="2567" w:type="dxa"/>
            <w:gridSpan w:val="2"/>
            <w:vMerge w:val="continue"/>
            <w:tcBorders>
              <w:left w:val="single" w:color="000000" w:sz="4" w:space="0"/>
              <w:right w:val="single" w:color="000000" w:sz="4" w:space="0"/>
              <w:tl2br w:val="nil"/>
              <w:tr2bl w:val="nil"/>
            </w:tcBorders>
            <w:noWrap w:val="0"/>
            <w:vAlign w:val="center"/>
          </w:tcPr>
          <w:p w14:paraId="380CA2C2">
            <w:pPr>
              <w:pStyle w:val="47"/>
              <w:kinsoku w:val="0"/>
              <w:overflowPunct w:val="0"/>
              <w:spacing w:before="93" w:beforeLines="0" w:afterLines="0"/>
              <w:ind w:left="1"/>
              <w:jc w:val="center"/>
              <w:rPr>
                <w:rFonts w:hint="default" w:ascii="Times New Roman" w:hAnsi="Times New Roman" w:cs="Times New Roman"/>
                <w:color w:val="auto"/>
                <w:sz w:val="24"/>
                <w:szCs w:val="24"/>
                <w:highlight w:val="none"/>
              </w:rPr>
            </w:pPr>
          </w:p>
        </w:tc>
      </w:tr>
      <w:tr w14:paraId="4CE3E1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 w:type="dxa"/>
          <w:trHeight w:val="283" w:hRule="atLeast"/>
        </w:trPr>
        <w:tc>
          <w:tcPr>
            <w:tcW w:w="86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7EB75EC">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17</w:t>
            </w:r>
          </w:p>
        </w:tc>
        <w:tc>
          <w:tcPr>
            <w:tcW w:w="2284"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B26550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钠</w:t>
            </w:r>
          </w:p>
        </w:tc>
        <w:tc>
          <w:tcPr>
            <w:tcW w:w="1322" w:type="dxa"/>
            <w:vMerge w:val="continue"/>
            <w:tcBorders>
              <w:left w:val="single" w:color="000000" w:sz="4" w:space="0"/>
              <w:bottom w:val="single" w:color="000000" w:sz="4" w:space="0"/>
              <w:right w:val="single" w:color="000000" w:sz="4" w:space="0"/>
              <w:tl2br w:val="nil"/>
              <w:tr2bl w:val="nil"/>
            </w:tcBorders>
            <w:noWrap w:val="0"/>
            <w:vAlign w:val="center"/>
          </w:tcPr>
          <w:p w14:paraId="741DD63C">
            <w:pPr>
              <w:pStyle w:val="48"/>
              <w:spacing w:beforeLines="0" w:afterLines="0"/>
              <w:jc w:val="center"/>
              <w:rPr>
                <w:rFonts w:hint="default" w:ascii="Times New Roman" w:hAnsi="Times New Roman" w:cs="Times New Roman"/>
                <w:color w:val="auto"/>
                <w:sz w:val="24"/>
                <w:szCs w:val="24"/>
                <w:highlight w:val="none"/>
              </w:rPr>
            </w:pPr>
          </w:p>
        </w:tc>
        <w:tc>
          <w:tcPr>
            <w:tcW w:w="19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5252BD">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≤200</w:t>
            </w:r>
          </w:p>
        </w:tc>
        <w:tc>
          <w:tcPr>
            <w:tcW w:w="2567" w:type="dxa"/>
            <w:gridSpan w:val="2"/>
            <w:vMerge w:val="continue"/>
            <w:tcBorders>
              <w:left w:val="single" w:color="000000" w:sz="4" w:space="0"/>
              <w:bottom w:val="single" w:color="000000" w:sz="4" w:space="0"/>
              <w:right w:val="single" w:color="000000" w:sz="4" w:space="0"/>
              <w:tl2br w:val="nil"/>
              <w:tr2bl w:val="nil"/>
            </w:tcBorders>
            <w:noWrap w:val="0"/>
            <w:vAlign w:val="center"/>
          </w:tcPr>
          <w:p w14:paraId="1C55F227">
            <w:pPr>
              <w:pStyle w:val="47"/>
              <w:kinsoku w:val="0"/>
              <w:overflowPunct w:val="0"/>
              <w:spacing w:before="93" w:beforeLines="0" w:afterLines="0"/>
              <w:ind w:left="1"/>
              <w:jc w:val="center"/>
              <w:rPr>
                <w:rFonts w:hint="default" w:ascii="Times New Roman" w:hAnsi="Times New Roman" w:cs="Times New Roman"/>
                <w:color w:val="auto"/>
                <w:sz w:val="24"/>
                <w:szCs w:val="24"/>
                <w:highlight w:val="none"/>
              </w:rPr>
            </w:pPr>
          </w:p>
        </w:tc>
      </w:tr>
    </w:tbl>
    <w:p w14:paraId="7DD7AA39">
      <w:pPr>
        <w:pStyle w:val="14"/>
        <w:kinsoku w:val="0"/>
        <w:overflowPunct w:val="0"/>
        <w:spacing w:before="8" w:beforeLines="0" w:afterLines="0"/>
        <w:ind w:left="0"/>
        <w:rPr>
          <w:rFonts w:hint="default" w:ascii="Times New Roman" w:hAnsi="Times New Roman" w:cs="Times New Roman"/>
          <w:color w:val="auto"/>
          <w:sz w:val="8"/>
          <w:szCs w:val="24"/>
          <w:highlight w:val="none"/>
        </w:rPr>
      </w:pPr>
    </w:p>
    <w:p w14:paraId="69D5C07D">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（3）声环境</w:t>
      </w:r>
    </w:p>
    <w:p w14:paraId="59D8157E">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声环境执行《声环境质量标准》(GB3096-2008)中的2类标准。具体见表2.4-3。</w:t>
      </w:r>
    </w:p>
    <w:p w14:paraId="23502DF9">
      <w:pPr>
        <w:pStyle w:val="45"/>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表 2.4-3</w:t>
      </w:r>
      <w:r>
        <w:rPr>
          <w:rFonts w:hint="default" w:ascii="Times New Roman" w:hAnsi="Times New Roman" w:cs="Times New Roman"/>
          <w:color w:val="auto"/>
          <w:sz w:val="24"/>
          <w:szCs w:val="24"/>
          <w:highlight w:val="none"/>
        </w:rPr>
        <w:tab/>
      </w:r>
      <w:r>
        <w:rPr>
          <w:rFonts w:hint="default" w:ascii="Times New Roman" w:hAnsi="Times New Roman" w:cs="Times New Roman"/>
          <w:color w:val="auto"/>
          <w:sz w:val="24"/>
          <w:szCs w:val="24"/>
          <w:highlight w:val="none"/>
        </w:rPr>
        <w:t>声环境质量标准</w:t>
      </w:r>
      <w:r>
        <w:rPr>
          <w:rFonts w:hint="default" w:ascii="Times New Roman" w:hAnsi="Times New Roman" w:cs="Times New Roman"/>
          <w:color w:val="auto"/>
          <w:sz w:val="24"/>
          <w:szCs w:val="24"/>
          <w:highlight w:val="none"/>
        </w:rPr>
        <w:tab/>
      </w:r>
      <w:r>
        <w:rPr>
          <w:rFonts w:hint="default" w:ascii="Times New Roman" w:hAnsi="Times New Roman" w:cs="Times New Roman"/>
          <w:color w:val="auto"/>
          <w:sz w:val="24"/>
          <w:szCs w:val="24"/>
          <w:highlight w:val="none"/>
        </w:rPr>
        <w:t>单位：dB(A)</w:t>
      </w:r>
    </w:p>
    <w:tbl>
      <w:tblPr>
        <w:tblStyle w:val="31"/>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189"/>
        <w:gridCol w:w="845"/>
        <w:gridCol w:w="787"/>
        <w:gridCol w:w="6461"/>
      </w:tblGrid>
      <w:tr w14:paraId="431F7F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64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E8EEF1D">
            <w:pPr>
              <w:pStyle w:val="48"/>
              <w:spacing w:beforeLines="0" w:afterLine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类别</w:t>
            </w:r>
          </w:p>
        </w:tc>
        <w:tc>
          <w:tcPr>
            <w:tcW w:w="45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8F52BCD">
            <w:pPr>
              <w:pStyle w:val="48"/>
              <w:spacing w:beforeLines="0" w:afterLine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昼间</w:t>
            </w:r>
          </w:p>
        </w:tc>
        <w:tc>
          <w:tcPr>
            <w:tcW w:w="42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2217FE4">
            <w:pPr>
              <w:pStyle w:val="48"/>
              <w:spacing w:beforeLines="0" w:afterLine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夜间</w:t>
            </w:r>
          </w:p>
        </w:tc>
        <w:tc>
          <w:tcPr>
            <w:tcW w:w="347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63C2F27">
            <w:pPr>
              <w:pStyle w:val="48"/>
              <w:spacing w:beforeLines="0" w:afterLine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适用区域</w:t>
            </w:r>
          </w:p>
        </w:tc>
      </w:tr>
      <w:tr w14:paraId="18531A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64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E8E89C0">
            <w:pPr>
              <w:pStyle w:val="48"/>
              <w:spacing w:beforeLines="0" w:afterLine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2类</w:t>
            </w:r>
          </w:p>
        </w:tc>
        <w:tc>
          <w:tcPr>
            <w:tcW w:w="45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C57BFBF">
            <w:pPr>
              <w:pStyle w:val="48"/>
              <w:spacing w:beforeLines="0" w:afterLine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60</w:t>
            </w:r>
          </w:p>
        </w:tc>
        <w:tc>
          <w:tcPr>
            <w:tcW w:w="42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15A4FCA">
            <w:pPr>
              <w:pStyle w:val="48"/>
              <w:spacing w:beforeLines="0" w:afterLine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50</w:t>
            </w:r>
          </w:p>
        </w:tc>
        <w:tc>
          <w:tcPr>
            <w:tcW w:w="347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7662605">
            <w:pPr>
              <w:pStyle w:val="48"/>
              <w:spacing w:beforeLines="0" w:afterLine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指以商业金融、集市贸易为主要功能，或者居住、商业、工业混杂需要维护住宅安静的区域。</w:t>
            </w:r>
          </w:p>
        </w:tc>
      </w:tr>
    </w:tbl>
    <w:p w14:paraId="1E983961">
      <w:pPr>
        <w:spacing w:beforeLines="0" w:afterLines="0"/>
        <w:rPr>
          <w:rFonts w:hint="default" w:ascii="Times New Roman" w:hAnsi="Times New Roman" w:cs="Times New Roman"/>
          <w:color w:val="auto"/>
          <w:sz w:val="24"/>
          <w:szCs w:val="24"/>
          <w:highlight w:val="none"/>
        </w:rPr>
      </w:pPr>
    </w:p>
    <w:p w14:paraId="695B4F54">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（4）土壤环境质量标准</w:t>
      </w:r>
    </w:p>
    <w:p w14:paraId="21A72AC5">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矿区土壤环境执行《土壤环境质量 建设用地土壤污染风险管控标准（试行）》</w:t>
      </w:r>
    </w:p>
    <w:p w14:paraId="47738A52">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（GB36600-2018），矿区外土壤环境《土壤环境质量 农用地土壤污染风险管控标准（试行）》（GB15618-2018），标准限值具体见表2.4-4、表2.4-5。</w:t>
      </w:r>
    </w:p>
    <w:p w14:paraId="5A551151">
      <w:pPr>
        <w:pStyle w:val="45"/>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表 2.4-4</w:t>
      </w:r>
      <w:r>
        <w:rPr>
          <w:rFonts w:hint="default" w:ascii="Times New Roman" w:hAnsi="Times New Roman" w:cs="Times New Roman"/>
          <w:color w:val="auto"/>
          <w:sz w:val="24"/>
          <w:szCs w:val="24"/>
          <w:highlight w:val="none"/>
        </w:rPr>
        <w:tab/>
      </w:r>
      <w:r>
        <w:rPr>
          <w:rFonts w:hint="default" w:ascii="Times New Roman" w:hAnsi="Times New Roman" w:cs="Times New Roman"/>
          <w:color w:val="auto"/>
          <w:sz w:val="24"/>
          <w:szCs w:val="24"/>
          <w:highlight w:val="none"/>
        </w:rPr>
        <w:t>建设用地土壤污染风险管控标准</w:t>
      </w:r>
      <w:r>
        <w:rPr>
          <w:rFonts w:hint="default" w:ascii="Times New Roman" w:hAnsi="Times New Roman" w:cs="Times New Roman"/>
          <w:color w:val="auto"/>
          <w:sz w:val="24"/>
          <w:szCs w:val="24"/>
          <w:highlight w:val="none"/>
        </w:rPr>
        <w:tab/>
      </w:r>
      <w:r>
        <w:rPr>
          <w:rFonts w:hint="default" w:ascii="Times New Roman" w:hAnsi="Times New Roman" w:cs="Times New Roman"/>
          <w:color w:val="auto"/>
          <w:sz w:val="24"/>
          <w:szCs w:val="24"/>
          <w:highlight w:val="none"/>
        </w:rPr>
        <w:t>单位：mg/kg</w:t>
      </w:r>
    </w:p>
    <w:tbl>
      <w:tblPr>
        <w:tblStyle w:val="31"/>
        <w:tblW w:w="0" w:type="auto"/>
        <w:tblInd w:w="2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5"/>
        <w:gridCol w:w="2951"/>
        <w:gridCol w:w="1578"/>
        <w:gridCol w:w="3340"/>
      </w:tblGrid>
      <w:tr w14:paraId="2D851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85" w:type="dxa"/>
            <w:tcBorders>
              <w:top w:val="single" w:color="auto" w:sz="4" w:space="0"/>
              <w:left w:val="single" w:color="auto" w:sz="4" w:space="0"/>
              <w:bottom w:val="single" w:color="auto" w:sz="4" w:space="0"/>
              <w:right w:val="single" w:color="auto" w:sz="4" w:space="0"/>
              <w:tl2br w:val="nil"/>
              <w:tr2bl w:val="nil"/>
            </w:tcBorders>
            <w:noWrap w:val="0"/>
            <w:vAlign w:val="top"/>
          </w:tcPr>
          <w:p w14:paraId="677E2D83">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序号</w:t>
            </w:r>
          </w:p>
        </w:tc>
        <w:tc>
          <w:tcPr>
            <w:tcW w:w="2951" w:type="dxa"/>
            <w:tcBorders>
              <w:top w:val="single" w:color="auto" w:sz="4" w:space="0"/>
              <w:left w:val="single" w:color="auto" w:sz="4" w:space="0"/>
              <w:bottom w:val="single" w:color="auto" w:sz="4" w:space="0"/>
              <w:right w:val="single" w:color="auto" w:sz="4" w:space="0"/>
              <w:tl2br w:val="nil"/>
              <w:tr2bl w:val="nil"/>
            </w:tcBorders>
            <w:noWrap w:val="0"/>
            <w:vAlign w:val="top"/>
          </w:tcPr>
          <w:p w14:paraId="1D1213B8">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污染物名称</w:t>
            </w:r>
          </w:p>
        </w:tc>
        <w:tc>
          <w:tcPr>
            <w:tcW w:w="1578" w:type="dxa"/>
            <w:tcBorders>
              <w:top w:val="single" w:color="auto" w:sz="4" w:space="0"/>
              <w:left w:val="single" w:color="auto" w:sz="4" w:space="0"/>
              <w:bottom w:val="single" w:color="auto" w:sz="4" w:space="0"/>
              <w:right w:val="single" w:color="auto" w:sz="4" w:space="0"/>
              <w:tl2br w:val="nil"/>
              <w:tr2bl w:val="nil"/>
            </w:tcBorders>
            <w:noWrap w:val="0"/>
            <w:vAlign w:val="top"/>
          </w:tcPr>
          <w:p w14:paraId="7F9A589B">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筛选值</w:t>
            </w:r>
          </w:p>
        </w:tc>
        <w:tc>
          <w:tcPr>
            <w:tcW w:w="334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8F5A089">
            <w:pPr>
              <w:pStyle w:val="48"/>
              <w:spacing w:beforeLines="0" w:afterLine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标准来源</w:t>
            </w:r>
          </w:p>
        </w:tc>
      </w:tr>
      <w:tr w14:paraId="67675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85" w:type="dxa"/>
            <w:tcBorders>
              <w:top w:val="single" w:color="auto" w:sz="4" w:space="0"/>
              <w:left w:val="single" w:color="auto" w:sz="4" w:space="0"/>
              <w:bottom w:val="single" w:color="auto" w:sz="4" w:space="0"/>
              <w:right w:val="single" w:color="auto" w:sz="4" w:space="0"/>
              <w:tl2br w:val="nil"/>
              <w:tr2bl w:val="nil"/>
            </w:tcBorders>
            <w:noWrap w:val="0"/>
            <w:vAlign w:val="top"/>
          </w:tcPr>
          <w:p w14:paraId="7F0AE89A">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w:t>
            </w:r>
          </w:p>
        </w:tc>
        <w:tc>
          <w:tcPr>
            <w:tcW w:w="2951" w:type="dxa"/>
            <w:tcBorders>
              <w:top w:val="single" w:color="auto" w:sz="4" w:space="0"/>
              <w:left w:val="single" w:color="auto" w:sz="4" w:space="0"/>
              <w:bottom w:val="single" w:color="auto" w:sz="4" w:space="0"/>
              <w:right w:val="single" w:color="auto" w:sz="4" w:space="0"/>
              <w:tl2br w:val="nil"/>
              <w:tr2bl w:val="nil"/>
            </w:tcBorders>
            <w:noWrap w:val="0"/>
            <w:vAlign w:val="top"/>
          </w:tcPr>
          <w:p w14:paraId="1B61EF3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汞</w:t>
            </w:r>
          </w:p>
        </w:tc>
        <w:tc>
          <w:tcPr>
            <w:tcW w:w="1578" w:type="dxa"/>
            <w:tcBorders>
              <w:top w:val="single" w:color="auto" w:sz="4" w:space="0"/>
              <w:left w:val="single" w:color="auto" w:sz="4" w:space="0"/>
              <w:bottom w:val="single" w:color="auto" w:sz="4" w:space="0"/>
              <w:right w:val="single" w:color="auto" w:sz="4" w:space="0"/>
              <w:tl2br w:val="nil"/>
              <w:tr2bl w:val="nil"/>
            </w:tcBorders>
            <w:noWrap w:val="0"/>
            <w:vAlign w:val="top"/>
          </w:tcPr>
          <w:p w14:paraId="3176A327">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38</w:t>
            </w:r>
          </w:p>
        </w:tc>
        <w:tc>
          <w:tcPr>
            <w:tcW w:w="3340"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79482EC1">
            <w:pPr>
              <w:pStyle w:val="48"/>
              <w:spacing w:beforeLines="0" w:afterLine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《土壤环境质量 建设用地土壤污染风险管控标准（试行）》</w:t>
            </w:r>
          </w:p>
          <w:p w14:paraId="3EF7A718">
            <w:pPr>
              <w:pStyle w:val="48"/>
              <w:spacing w:beforeLines="0" w:afterLine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（GB36600-2018）第二类用地</w:t>
            </w:r>
          </w:p>
        </w:tc>
      </w:tr>
      <w:tr w14:paraId="01CAB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85" w:type="dxa"/>
            <w:tcBorders>
              <w:top w:val="single" w:color="auto" w:sz="4" w:space="0"/>
              <w:left w:val="single" w:color="auto" w:sz="4" w:space="0"/>
              <w:bottom w:val="single" w:color="auto" w:sz="4" w:space="0"/>
              <w:right w:val="single" w:color="auto" w:sz="4" w:space="0"/>
              <w:tl2br w:val="nil"/>
              <w:tr2bl w:val="nil"/>
            </w:tcBorders>
            <w:noWrap w:val="0"/>
            <w:vAlign w:val="top"/>
          </w:tcPr>
          <w:p w14:paraId="332EB637">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w:t>
            </w:r>
          </w:p>
        </w:tc>
        <w:tc>
          <w:tcPr>
            <w:tcW w:w="2951" w:type="dxa"/>
            <w:tcBorders>
              <w:top w:val="single" w:color="auto" w:sz="4" w:space="0"/>
              <w:left w:val="single" w:color="auto" w:sz="4" w:space="0"/>
              <w:bottom w:val="single" w:color="auto" w:sz="4" w:space="0"/>
              <w:right w:val="single" w:color="auto" w:sz="4" w:space="0"/>
              <w:tl2br w:val="nil"/>
              <w:tr2bl w:val="nil"/>
            </w:tcBorders>
            <w:noWrap w:val="0"/>
            <w:vAlign w:val="top"/>
          </w:tcPr>
          <w:p w14:paraId="3F44F60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砷</w:t>
            </w:r>
          </w:p>
        </w:tc>
        <w:tc>
          <w:tcPr>
            <w:tcW w:w="1578" w:type="dxa"/>
            <w:tcBorders>
              <w:top w:val="single" w:color="auto" w:sz="4" w:space="0"/>
              <w:left w:val="single" w:color="auto" w:sz="4" w:space="0"/>
              <w:bottom w:val="single" w:color="auto" w:sz="4" w:space="0"/>
              <w:right w:val="single" w:color="auto" w:sz="4" w:space="0"/>
              <w:tl2br w:val="nil"/>
              <w:tr2bl w:val="nil"/>
            </w:tcBorders>
            <w:noWrap w:val="0"/>
            <w:vAlign w:val="top"/>
          </w:tcPr>
          <w:p w14:paraId="022BC8FC">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60</w:t>
            </w:r>
          </w:p>
        </w:tc>
        <w:tc>
          <w:tcPr>
            <w:tcW w:w="334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03D1ADBD">
            <w:pPr>
              <w:pStyle w:val="48"/>
              <w:spacing w:beforeLines="0" w:afterLines="0"/>
              <w:jc w:val="center"/>
              <w:rPr>
                <w:rFonts w:hint="default" w:ascii="Times New Roman" w:hAnsi="Times New Roman" w:cs="Times New Roman"/>
                <w:color w:val="auto"/>
                <w:sz w:val="24"/>
                <w:szCs w:val="24"/>
                <w:highlight w:val="none"/>
              </w:rPr>
            </w:pPr>
          </w:p>
        </w:tc>
      </w:tr>
      <w:tr w14:paraId="77BC5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85" w:type="dxa"/>
            <w:tcBorders>
              <w:top w:val="single" w:color="auto" w:sz="4" w:space="0"/>
              <w:left w:val="single" w:color="auto" w:sz="4" w:space="0"/>
              <w:bottom w:val="single" w:color="auto" w:sz="4" w:space="0"/>
              <w:right w:val="single" w:color="auto" w:sz="4" w:space="0"/>
              <w:tl2br w:val="nil"/>
              <w:tr2bl w:val="nil"/>
            </w:tcBorders>
            <w:noWrap w:val="0"/>
            <w:vAlign w:val="top"/>
          </w:tcPr>
          <w:p w14:paraId="1409A00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w:t>
            </w:r>
          </w:p>
        </w:tc>
        <w:tc>
          <w:tcPr>
            <w:tcW w:w="2951" w:type="dxa"/>
            <w:tcBorders>
              <w:top w:val="single" w:color="auto" w:sz="4" w:space="0"/>
              <w:left w:val="single" w:color="auto" w:sz="4" w:space="0"/>
              <w:bottom w:val="single" w:color="auto" w:sz="4" w:space="0"/>
              <w:right w:val="single" w:color="auto" w:sz="4" w:space="0"/>
              <w:tl2br w:val="nil"/>
              <w:tr2bl w:val="nil"/>
            </w:tcBorders>
            <w:noWrap w:val="0"/>
            <w:vAlign w:val="top"/>
          </w:tcPr>
          <w:p w14:paraId="7A611F9D">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铜</w:t>
            </w:r>
          </w:p>
        </w:tc>
        <w:tc>
          <w:tcPr>
            <w:tcW w:w="1578" w:type="dxa"/>
            <w:tcBorders>
              <w:top w:val="single" w:color="auto" w:sz="4" w:space="0"/>
              <w:left w:val="single" w:color="auto" w:sz="4" w:space="0"/>
              <w:bottom w:val="single" w:color="auto" w:sz="4" w:space="0"/>
              <w:right w:val="single" w:color="auto" w:sz="4" w:space="0"/>
              <w:tl2br w:val="nil"/>
              <w:tr2bl w:val="nil"/>
            </w:tcBorders>
            <w:noWrap w:val="0"/>
            <w:vAlign w:val="top"/>
          </w:tcPr>
          <w:p w14:paraId="2A7E8611">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18000</w:t>
            </w:r>
          </w:p>
        </w:tc>
        <w:tc>
          <w:tcPr>
            <w:tcW w:w="334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33118EE0">
            <w:pPr>
              <w:pStyle w:val="48"/>
              <w:spacing w:beforeLines="0" w:afterLines="0"/>
              <w:jc w:val="center"/>
              <w:rPr>
                <w:rFonts w:hint="default" w:ascii="Times New Roman" w:hAnsi="Times New Roman" w:cs="Times New Roman"/>
                <w:color w:val="auto"/>
                <w:sz w:val="24"/>
                <w:szCs w:val="24"/>
                <w:highlight w:val="none"/>
              </w:rPr>
            </w:pPr>
          </w:p>
        </w:tc>
      </w:tr>
      <w:tr w14:paraId="15340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85" w:type="dxa"/>
            <w:tcBorders>
              <w:top w:val="single" w:color="auto" w:sz="4" w:space="0"/>
              <w:left w:val="single" w:color="auto" w:sz="4" w:space="0"/>
              <w:bottom w:val="single" w:color="auto" w:sz="4" w:space="0"/>
              <w:right w:val="single" w:color="auto" w:sz="4" w:space="0"/>
              <w:tl2br w:val="nil"/>
              <w:tr2bl w:val="nil"/>
            </w:tcBorders>
            <w:noWrap w:val="0"/>
            <w:vAlign w:val="top"/>
          </w:tcPr>
          <w:p w14:paraId="08F65C16">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w:t>
            </w:r>
          </w:p>
        </w:tc>
        <w:tc>
          <w:tcPr>
            <w:tcW w:w="2951" w:type="dxa"/>
            <w:tcBorders>
              <w:top w:val="single" w:color="auto" w:sz="4" w:space="0"/>
              <w:left w:val="single" w:color="auto" w:sz="4" w:space="0"/>
              <w:bottom w:val="single" w:color="auto" w:sz="4" w:space="0"/>
              <w:right w:val="single" w:color="auto" w:sz="4" w:space="0"/>
              <w:tl2br w:val="nil"/>
              <w:tr2bl w:val="nil"/>
            </w:tcBorders>
            <w:noWrap w:val="0"/>
            <w:vAlign w:val="top"/>
          </w:tcPr>
          <w:p w14:paraId="44145F8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铅</w:t>
            </w:r>
          </w:p>
        </w:tc>
        <w:tc>
          <w:tcPr>
            <w:tcW w:w="1578" w:type="dxa"/>
            <w:tcBorders>
              <w:top w:val="single" w:color="auto" w:sz="4" w:space="0"/>
              <w:left w:val="single" w:color="auto" w:sz="4" w:space="0"/>
              <w:bottom w:val="single" w:color="auto" w:sz="4" w:space="0"/>
              <w:right w:val="single" w:color="auto" w:sz="4" w:space="0"/>
              <w:tl2br w:val="nil"/>
              <w:tr2bl w:val="nil"/>
            </w:tcBorders>
            <w:noWrap w:val="0"/>
            <w:vAlign w:val="top"/>
          </w:tcPr>
          <w:p w14:paraId="454C619E">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800</w:t>
            </w:r>
          </w:p>
        </w:tc>
        <w:tc>
          <w:tcPr>
            <w:tcW w:w="334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72DCC145">
            <w:pPr>
              <w:pStyle w:val="48"/>
              <w:spacing w:beforeLines="0" w:afterLines="0"/>
              <w:jc w:val="center"/>
              <w:rPr>
                <w:rFonts w:hint="default" w:ascii="Times New Roman" w:hAnsi="Times New Roman" w:cs="Times New Roman"/>
                <w:color w:val="auto"/>
                <w:sz w:val="24"/>
                <w:szCs w:val="24"/>
                <w:highlight w:val="none"/>
              </w:rPr>
            </w:pPr>
          </w:p>
        </w:tc>
      </w:tr>
      <w:tr w14:paraId="3C51D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85" w:type="dxa"/>
            <w:tcBorders>
              <w:top w:val="single" w:color="auto" w:sz="4" w:space="0"/>
              <w:left w:val="single" w:color="auto" w:sz="4" w:space="0"/>
              <w:bottom w:val="single" w:color="auto" w:sz="4" w:space="0"/>
              <w:right w:val="single" w:color="auto" w:sz="4" w:space="0"/>
              <w:tl2br w:val="nil"/>
              <w:tr2bl w:val="nil"/>
            </w:tcBorders>
            <w:noWrap w:val="0"/>
            <w:vAlign w:val="top"/>
          </w:tcPr>
          <w:p w14:paraId="594AFEA6">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5</w:t>
            </w:r>
          </w:p>
        </w:tc>
        <w:tc>
          <w:tcPr>
            <w:tcW w:w="2951" w:type="dxa"/>
            <w:tcBorders>
              <w:top w:val="single" w:color="auto" w:sz="4" w:space="0"/>
              <w:left w:val="single" w:color="auto" w:sz="4" w:space="0"/>
              <w:bottom w:val="single" w:color="auto" w:sz="4" w:space="0"/>
              <w:right w:val="single" w:color="auto" w:sz="4" w:space="0"/>
              <w:tl2br w:val="nil"/>
              <w:tr2bl w:val="nil"/>
            </w:tcBorders>
            <w:noWrap w:val="0"/>
            <w:vAlign w:val="top"/>
          </w:tcPr>
          <w:p w14:paraId="1F5E1364">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铬(六价)</w:t>
            </w:r>
          </w:p>
        </w:tc>
        <w:tc>
          <w:tcPr>
            <w:tcW w:w="1578" w:type="dxa"/>
            <w:tcBorders>
              <w:top w:val="single" w:color="auto" w:sz="4" w:space="0"/>
              <w:left w:val="single" w:color="auto" w:sz="4" w:space="0"/>
              <w:bottom w:val="single" w:color="auto" w:sz="4" w:space="0"/>
              <w:right w:val="single" w:color="auto" w:sz="4" w:space="0"/>
              <w:tl2br w:val="nil"/>
              <w:tr2bl w:val="nil"/>
            </w:tcBorders>
            <w:noWrap w:val="0"/>
            <w:vAlign w:val="top"/>
          </w:tcPr>
          <w:p w14:paraId="2589D097">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5.7</w:t>
            </w:r>
          </w:p>
        </w:tc>
        <w:tc>
          <w:tcPr>
            <w:tcW w:w="334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70152C1A">
            <w:pPr>
              <w:pStyle w:val="48"/>
              <w:spacing w:beforeLines="0" w:afterLines="0"/>
              <w:jc w:val="center"/>
              <w:rPr>
                <w:rFonts w:hint="default" w:ascii="Times New Roman" w:hAnsi="Times New Roman" w:cs="Times New Roman"/>
                <w:color w:val="auto"/>
                <w:sz w:val="24"/>
                <w:szCs w:val="24"/>
                <w:highlight w:val="none"/>
              </w:rPr>
            </w:pPr>
          </w:p>
        </w:tc>
      </w:tr>
      <w:tr w14:paraId="708F6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85" w:type="dxa"/>
            <w:tcBorders>
              <w:top w:val="single" w:color="auto" w:sz="4" w:space="0"/>
              <w:left w:val="single" w:color="auto" w:sz="4" w:space="0"/>
              <w:bottom w:val="single" w:color="auto" w:sz="4" w:space="0"/>
              <w:right w:val="single" w:color="auto" w:sz="4" w:space="0"/>
              <w:tl2br w:val="nil"/>
              <w:tr2bl w:val="nil"/>
            </w:tcBorders>
            <w:noWrap w:val="0"/>
            <w:vAlign w:val="top"/>
          </w:tcPr>
          <w:p w14:paraId="4ABFCD41">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6</w:t>
            </w:r>
          </w:p>
        </w:tc>
        <w:tc>
          <w:tcPr>
            <w:tcW w:w="2951" w:type="dxa"/>
            <w:tcBorders>
              <w:top w:val="single" w:color="auto" w:sz="4" w:space="0"/>
              <w:left w:val="single" w:color="auto" w:sz="4" w:space="0"/>
              <w:bottom w:val="single" w:color="auto" w:sz="4" w:space="0"/>
              <w:right w:val="single" w:color="auto" w:sz="4" w:space="0"/>
              <w:tl2br w:val="nil"/>
              <w:tr2bl w:val="nil"/>
            </w:tcBorders>
            <w:noWrap w:val="0"/>
            <w:vAlign w:val="top"/>
          </w:tcPr>
          <w:p w14:paraId="01E15277">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镍</w:t>
            </w:r>
          </w:p>
        </w:tc>
        <w:tc>
          <w:tcPr>
            <w:tcW w:w="1578" w:type="dxa"/>
            <w:tcBorders>
              <w:top w:val="single" w:color="auto" w:sz="4" w:space="0"/>
              <w:left w:val="single" w:color="auto" w:sz="4" w:space="0"/>
              <w:bottom w:val="single" w:color="auto" w:sz="4" w:space="0"/>
              <w:right w:val="single" w:color="auto" w:sz="4" w:space="0"/>
              <w:tl2br w:val="nil"/>
              <w:tr2bl w:val="nil"/>
            </w:tcBorders>
            <w:noWrap w:val="0"/>
            <w:vAlign w:val="top"/>
          </w:tcPr>
          <w:p w14:paraId="5289C096">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900</w:t>
            </w:r>
          </w:p>
        </w:tc>
        <w:tc>
          <w:tcPr>
            <w:tcW w:w="334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1279DD01">
            <w:pPr>
              <w:pStyle w:val="48"/>
              <w:spacing w:beforeLines="0" w:afterLines="0"/>
              <w:jc w:val="center"/>
              <w:rPr>
                <w:rFonts w:hint="default" w:ascii="Times New Roman" w:hAnsi="Times New Roman" w:cs="Times New Roman"/>
                <w:color w:val="auto"/>
                <w:sz w:val="24"/>
                <w:szCs w:val="24"/>
                <w:highlight w:val="none"/>
              </w:rPr>
            </w:pPr>
          </w:p>
        </w:tc>
      </w:tr>
      <w:tr w14:paraId="66CF1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85" w:type="dxa"/>
            <w:tcBorders>
              <w:top w:val="single" w:color="auto" w:sz="4" w:space="0"/>
              <w:left w:val="single" w:color="auto" w:sz="4" w:space="0"/>
              <w:bottom w:val="single" w:color="auto" w:sz="4" w:space="0"/>
              <w:right w:val="single" w:color="auto" w:sz="4" w:space="0"/>
              <w:tl2br w:val="nil"/>
              <w:tr2bl w:val="nil"/>
            </w:tcBorders>
            <w:noWrap w:val="0"/>
            <w:vAlign w:val="top"/>
          </w:tcPr>
          <w:p w14:paraId="1F04B55A">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7</w:t>
            </w:r>
          </w:p>
        </w:tc>
        <w:tc>
          <w:tcPr>
            <w:tcW w:w="2951" w:type="dxa"/>
            <w:tcBorders>
              <w:top w:val="single" w:color="auto" w:sz="4" w:space="0"/>
              <w:left w:val="single" w:color="auto" w:sz="4" w:space="0"/>
              <w:bottom w:val="single" w:color="auto" w:sz="4" w:space="0"/>
              <w:right w:val="single" w:color="auto" w:sz="4" w:space="0"/>
              <w:tl2br w:val="nil"/>
              <w:tr2bl w:val="nil"/>
            </w:tcBorders>
            <w:noWrap w:val="0"/>
            <w:vAlign w:val="top"/>
          </w:tcPr>
          <w:p w14:paraId="54FDA2C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镉</w:t>
            </w:r>
          </w:p>
        </w:tc>
        <w:tc>
          <w:tcPr>
            <w:tcW w:w="1578" w:type="dxa"/>
            <w:tcBorders>
              <w:top w:val="single" w:color="auto" w:sz="4" w:space="0"/>
              <w:left w:val="single" w:color="auto" w:sz="4" w:space="0"/>
              <w:bottom w:val="single" w:color="auto" w:sz="4" w:space="0"/>
              <w:right w:val="single" w:color="auto" w:sz="4" w:space="0"/>
              <w:tl2br w:val="nil"/>
              <w:tr2bl w:val="nil"/>
            </w:tcBorders>
            <w:noWrap w:val="0"/>
            <w:vAlign w:val="top"/>
          </w:tcPr>
          <w:p w14:paraId="1E5DC86E">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65</w:t>
            </w:r>
          </w:p>
        </w:tc>
        <w:tc>
          <w:tcPr>
            <w:tcW w:w="334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18105B35">
            <w:pPr>
              <w:pStyle w:val="48"/>
              <w:spacing w:beforeLines="0" w:afterLines="0"/>
              <w:jc w:val="center"/>
              <w:rPr>
                <w:rFonts w:hint="default" w:ascii="Times New Roman" w:hAnsi="Times New Roman" w:cs="Times New Roman"/>
                <w:color w:val="auto"/>
                <w:sz w:val="24"/>
                <w:szCs w:val="24"/>
                <w:highlight w:val="none"/>
              </w:rPr>
            </w:pPr>
          </w:p>
        </w:tc>
      </w:tr>
      <w:tr w14:paraId="3A132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85" w:type="dxa"/>
            <w:tcBorders>
              <w:top w:val="single" w:color="auto" w:sz="4" w:space="0"/>
              <w:left w:val="single" w:color="auto" w:sz="4" w:space="0"/>
              <w:bottom w:val="single" w:color="auto" w:sz="4" w:space="0"/>
              <w:right w:val="single" w:color="auto" w:sz="4" w:space="0"/>
              <w:tl2br w:val="nil"/>
              <w:tr2bl w:val="nil"/>
            </w:tcBorders>
            <w:noWrap w:val="0"/>
            <w:vAlign w:val="top"/>
          </w:tcPr>
          <w:p w14:paraId="117AA285">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8</w:t>
            </w:r>
          </w:p>
        </w:tc>
        <w:tc>
          <w:tcPr>
            <w:tcW w:w="2951" w:type="dxa"/>
            <w:tcBorders>
              <w:top w:val="single" w:color="auto" w:sz="4" w:space="0"/>
              <w:left w:val="single" w:color="auto" w:sz="4" w:space="0"/>
              <w:bottom w:val="single" w:color="auto" w:sz="4" w:space="0"/>
              <w:right w:val="single" w:color="auto" w:sz="4" w:space="0"/>
              <w:tl2br w:val="nil"/>
              <w:tr2bl w:val="nil"/>
            </w:tcBorders>
            <w:noWrap w:val="0"/>
            <w:vAlign w:val="top"/>
          </w:tcPr>
          <w:p w14:paraId="2777A457">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苯</w:t>
            </w:r>
          </w:p>
        </w:tc>
        <w:tc>
          <w:tcPr>
            <w:tcW w:w="1578" w:type="dxa"/>
            <w:tcBorders>
              <w:top w:val="single" w:color="auto" w:sz="4" w:space="0"/>
              <w:left w:val="single" w:color="auto" w:sz="4" w:space="0"/>
              <w:bottom w:val="single" w:color="auto" w:sz="4" w:space="0"/>
              <w:right w:val="single" w:color="auto" w:sz="4" w:space="0"/>
              <w:tl2br w:val="nil"/>
              <w:tr2bl w:val="nil"/>
            </w:tcBorders>
            <w:noWrap w:val="0"/>
            <w:vAlign w:val="top"/>
          </w:tcPr>
          <w:p w14:paraId="264607D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w:t>
            </w:r>
          </w:p>
        </w:tc>
        <w:tc>
          <w:tcPr>
            <w:tcW w:w="334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05AB5885">
            <w:pPr>
              <w:pStyle w:val="48"/>
              <w:spacing w:beforeLines="0" w:afterLines="0"/>
              <w:jc w:val="center"/>
              <w:rPr>
                <w:rFonts w:hint="default" w:ascii="Times New Roman" w:hAnsi="Times New Roman" w:cs="Times New Roman"/>
                <w:color w:val="auto"/>
                <w:sz w:val="24"/>
                <w:szCs w:val="24"/>
                <w:highlight w:val="none"/>
              </w:rPr>
            </w:pPr>
          </w:p>
        </w:tc>
      </w:tr>
      <w:tr w14:paraId="55F5E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85" w:type="dxa"/>
            <w:tcBorders>
              <w:top w:val="single" w:color="auto" w:sz="4" w:space="0"/>
              <w:left w:val="single" w:color="auto" w:sz="4" w:space="0"/>
              <w:bottom w:val="single" w:color="auto" w:sz="4" w:space="0"/>
              <w:right w:val="single" w:color="auto" w:sz="4" w:space="0"/>
              <w:tl2br w:val="nil"/>
              <w:tr2bl w:val="nil"/>
            </w:tcBorders>
            <w:noWrap w:val="0"/>
            <w:vAlign w:val="top"/>
          </w:tcPr>
          <w:p w14:paraId="571CB6DD">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9</w:t>
            </w:r>
          </w:p>
        </w:tc>
        <w:tc>
          <w:tcPr>
            <w:tcW w:w="2951" w:type="dxa"/>
            <w:tcBorders>
              <w:top w:val="single" w:color="auto" w:sz="4" w:space="0"/>
              <w:left w:val="single" w:color="auto" w:sz="4" w:space="0"/>
              <w:bottom w:val="single" w:color="auto" w:sz="4" w:space="0"/>
              <w:right w:val="single" w:color="auto" w:sz="4" w:space="0"/>
              <w:tl2br w:val="nil"/>
              <w:tr2bl w:val="nil"/>
            </w:tcBorders>
            <w:noWrap w:val="0"/>
            <w:vAlign w:val="top"/>
          </w:tcPr>
          <w:p w14:paraId="6644603C">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甲苯</w:t>
            </w:r>
          </w:p>
        </w:tc>
        <w:tc>
          <w:tcPr>
            <w:tcW w:w="1578" w:type="dxa"/>
            <w:tcBorders>
              <w:top w:val="single" w:color="auto" w:sz="4" w:space="0"/>
              <w:left w:val="single" w:color="auto" w:sz="4" w:space="0"/>
              <w:bottom w:val="single" w:color="auto" w:sz="4" w:space="0"/>
              <w:right w:val="single" w:color="auto" w:sz="4" w:space="0"/>
              <w:tl2br w:val="nil"/>
              <w:tr2bl w:val="nil"/>
            </w:tcBorders>
            <w:noWrap w:val="0"/>
            <w:vAlign w:val="top"/>
          </w:tcPr>
          <w:p w14:paraId="689C4C03">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1200</w:t>
            </w:r>
          </w:p>
        </w:tc>
        <w:tc>
          <w:tcPr>
            <w:tcW w:w="334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7E404281">
            <w:pPr>
              <w:pStyle w:val="48"/>
              <w:spacing w:beforeLines="0" w:afterLines="0"/>
              <w:jc w:val="center"/>
              <w:rPr>
                <w:rFonts w:hint="default" w:ascii="Times New Roman" w:hAnsi="Times New Roman" w:cs="Times New Roman"/>
                <w:color w:val="auto"/>
                <w:sz w:val="24"/>
                <w:szCs w:val="24"/>
                <w:highlight w:val="none"/>
              </w:rPr>
            </w:pPr>
          </w:p>
        </w:tc>
      </w:tr>
      <w:tr w14:paraId="41096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85" w:type="dxa"/>
            <w:tcBorders>
              <w:top w:val="single" w:color="auto" w:sz="4" w:space="0"/>
              <w:left w:val="single" w:color="auto" w:sz="4" w:space="0"/>
              <w:bottom w:val="single" w:color="auto" w:sz="4" w:space="0"/>
              <w:right w:val="single" w:color="auto" w:sz="4" w:space="0"/>
              <w:tl2br w:val="nil"/>
              <w:tr2bl w:val="nil"/>
            </w:tcBorders>
            <w:noWrap w:val="0"/>
            <w:vAlign w:val="top"/>
          </w:tcPr>
          <w:p w14:paraId="66BFDF37">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10</w:t>
            </w:r>
          </w:p>
        </w:tc>
        <w:tc>
          <w:tcPr>
            <w:tcW w:w="2951" w:type="dxa"/>
            <w:tcBorders>
              <w:top w:val="single" w:color="auto" w:sz="4" w:space="0"/>
              <w:left w:val="single" w:color="auto" w:sz="4" w:space="0"/>
              <w:bottom w:val="single" w:color="auto" w:sz="4" w:space="0"/>
              <w:right w:val="single" w:color="auto" w:sz="4" w:space="0"/>
              <w:tl2br w:val="nil"/>
              <w:tr2bl w:val="nil"/>
            </w:tcBorders>
            <w:noWrap w:val="0"/>
            <w:vAlign w:val="top"/>
          </w:tcPr>
          <w:p w14:paraId="769CBECE">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乙苯</w:t>
            </w:r>
          </w:p>
        </w:tc>
        <w:tc>
          <w:tcPr>
            <w:tcW w:w="1578" w:type="dxa"/>
            <w:tcBorders>
              <w:top w:val="single" w:color="auto" w:sz="4" w:space="0"/>
              <w:left w:val="single" w:color="auto" w:sz="4" w:space="0"/>
              <w:bottom w:val="single" w:color="auto" w:sz="4" w:space="0"/>
              <w:right w:val="single" w:color="auto" w:sz="4" w:space="0"/>
              <w:tl2br w:val="nil"/>
              <w:tr2bl w:val="nil"/>
            </w:tcBorders>
            <w:noWrap w:val="0"/>
            <w:vAlign w:val="top"/>
          </w:tcPr>
          <w:p w14:paraId="7ABB0FCC">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28</w:t>
            </w:r>
          </w:p>
        </w:tc>
        <w:tc>
          <w:tcPr>
            <w:tcW w:w="334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1E460FA3">
            <w:pPr>
              <w:pStyle w:val="48"/>
              <w:spacing w:beforeLines="0" w:afterLines="0"/>
              <w:jc w:val="center"/>
              <w:rPr>
                <w:rFonts w:hint="default" w:ascii="Times New Roman" w:hAnsi="Times New Roman" w:cs="Times New Roman"/>
                <w:color w:val="auto"/>
                <w:sz w:val="24"/>
                <w:szCs w:val="24"/>
                <w:highlight w:val="none"/>
              </w:rPr>
            </w:pPr>
          </w:p>
        </w:tc>
      </w:tr>
      <w:tr w14:paraId="37FB2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85" w:type="dxa"/>
            <w:tcBorders>
              <w:top w:val="single" w:color="auto" w:sz="4" w:space="0"/>
              <w:left w:val="single" w:color="auto" w:sz="4" w:space="0"/>
              <w:bottom w:val="single" w:color="auto" w:sz="4" w:space="0"/>
              <w:right w:val="single" w:color="auto" w:sz="4" w:space="0"/>
              <w:tl2br w:val="nil"/>
              <w:tr2bl w:val="nil"/>
            </w:tcBorders>
            <w:noWrap w:val="0"/>
            <w:vAlign w:val="top"/>
          </w:tcPr>
          <w:p w14:paraId="2223149B">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11</w:t>
            </w:r>
          </w:p>
        </w:tc>
        <w:tc>
          <w:tcPr>
            <w:tcW w:w="2951" w:type="dxa"/>
            <w:tcBorders>
              <w:top w:val="single" w:color="auto" w:sz="4" w:space="0"/>
              <w:left w:val="single" w:color="auto" w:sz="4" w:space="0"/>
              <w:bottom w:val="single" w:color="auto" w:sz="4" w:space="0"/>
              <w:right w:val="single" w:color="auto" w:sz="4" w:space="0"/>
              <w:tl2br w:val="nil"/>
              <w:tr2bl w:val="nil"/>
            </w:tcBorders>
            <w:noWrap w:val="0"/>
            <w:vAlign w:val="top"/>
          </w:tcPr>
          <w:p w14:paraId="6B2E99E1">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间&amp;对-二甲苯</w:t>
            </w:r>
          </w:p>
        </w:tc>
        <w:tc>
          <w:tcPr>
            <w:tcW w:w="1578" w:type="dxa"/>
            <w:tcBorders>
              <w:top w:val="single" w:color="auto" w:sz="4" w:space="0"/>
              <w:left w:val="single" w:color="auto" w:sz="4" w:space="0"/>
              <w:bottom w:val="single" w:color="auto" w:sz="4" w:space="0"/>
              <w:right w:val="single" w:color="auto" w:sz="4" w:space="0"/>
              <w:tl2br w:val="nil"/>
              <w:tr2bl w:val="nil"/>
            </w:tcBorders>
            <w:noWrap w:val="0"/>
            <w:vAlign w:val="top"/>
          </w:tcPr>
          <w:p w14:paraId="7EB1DB7C">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570</w:t>
            </w:r>
          </w:p>
        </w:tc>
        <w:tc>
          <w:tcPr>
            <w:tcW w:w="334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D9F41F2">
            <w:pPr>
              <w:pStyle w:val="48"/>
              <w:spacing w:beforeLines="0" w:afterLines="0"/>
              <w:jc w:val="center"/>
              <w:rPr>
                <w:rFonts w:hint="default" w:ascii="Times New Roman" w:hAnsi="Times New Roman" w:cs="Times New Roman"/>
                <w:color w:val="auto"/>
                <w:sz w:val="24"/>
                <w:szCs w:val="24"/>
                <w:highlight w:val="none"/>
              </w:rPr>
            </w:pPr>
          </w:p>
        </w:tc>
      </w:tr>
      <w:tr w14:paraId="79C4F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85" w:type="dxa"/>
            <w:tcBorders>
              <w:top w:val="single" w:color="auto" w:sz="4" w:space="0"/>
              <w:left w:val="single" w:color="auto" w:sz="4" w:space="0"/>
              <w:bottom w:val="single" w:color="auto" w:sz="4" w:space="0"/>
              <w:right w:val="single" w:color="auto" w:sz="4" w:space="0"/>
              <w:tl2br w:val="nil"/>
              <w:tr2bl w:val="nil"/>
            </w:tcBorders>
            <w:noWrap w:val="0"/>
            <w:vAlign w:val="top"/>
          </w:tcPr>
          <w:p w14:paraId="3390DA77">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12</w:t>
            </w:r>
          </w:p>
        </w:tc>
        <w:tc>
          <w:tcPr>
            <w:tcW w:w="2951" w:type="dxa"/>
            <w:tcBorders>
              <w:top w:val="single" w:color="auto" w:sz="4" w:space="0"/>
              <w:left w:val="single" w:color="auto" w:sz="4" w:space="0"/>
              <w:bottom w:val="single" w:color="auto" w:sz="4" w:space="0"/>
              <w:right w:val="single" w:color="auto" w:sz="4" w:space="0"/>
              <w:tl2br w:val="nil"/>
              <w:tr2bl w:val="nil"/>
            </w:tcBorders>
            <w:noWrap w:val="0"/>
            <w:vAlign w:val="top"/>
          </w:tcPr>
          <w:p w14:paraId="6E77D074">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苯乙烯</w:t>
            </w:r>
          </w:p>
        </w:tc>
        <w:tc>
          <w:tcPr>
            <w:tcW w:w="1578" w:type="dxa"/>
            <w:tcBorders>
              <w:top w:val="single" w:color="auto" w:sz="4" w:space="0"/>
              <w:left w:val="single" w:color="auto" w:sz="4" w:space="0"/>
              <w:bottom w:val="single" w:color="auto" w:sz="4" w:space="0"/>
              <w:right w:val="single" w:color="auto" w:sz="4" w:space="0"/>
              <w:tl2br w:val="nil"/>
              <w:tr2bl w:val="nil"/>
            </w:tcBorders>
            <w:noWrap w:val="0"/>
            <w:vAlign w:val="top"/>
          </w:tcPr>
          <w:p w14:paraId="72085624">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1290</w:t>
            </w:r>
          </w:p>
        </w:tc>
        <w:tc>
          <w:tcPr>
            <w:tcW w:w="334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1BFAAAE2">
            <w:pPr>
              <w:pStyle w:val="48"/>
              <w:spacing w:beforeLines="0" w:afterLines="0"/>
              <w:jc w:val="center"/>
              <w:rPr>
                <w:rFonts w:hint="default" w:ascii="Times New Roman" w:hAnsi="Times New Roman" w:cs="Times New Roman"/>
                <w:color w:val="auto"/>
                <w:sz w:val="24"/>
                <w:szCs w:val="24"/>
                <w:highlight w:val="none"/>
              </w:rPr>
            </w:pPr>
          </w:p>
        </w:tc>
      </w:tr>
      <w:tr w14:paraId="0EB9E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85" w:type="dxa"/>
            <w:tcBorders>
              <w:top w:val="single" w:color="auto" w:sz="4" w:space="0"/>
              <w:left w:val="single" w:color="auto" w:sz="4" w:space="0"/>
              <w:bottom w:val="single" w:color="auto" w:sz="4" w:space="0"/>
              <w:right w:val="single" w:color="auto" w:sz="4" w:space="0"/>
              <w:tl2br w:val="nil"/>
              <w:tr2bl w:val="nil"/>
            </w:tcBorders>
            <w:noWrap w:val="0"/>
            <w:vAlign w:val="top"/>
          </w:tcPr>
          <w:p w14:paraId="1CDAF338">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13</w:t>
            </w:r>
          </w:p>
        </w:tc>
        <w:tc>
          <w:tcPr>
            <w:tcW w:w="2951" w:type="dxa"/>
            <w:tcBorders>
              <w:top w:val="single" w:color="auto" w:sz="4" w:space="0"/>
              <w:left w:val="single" w:color="auto" w:sz="4" w:space="0"/>
              <w:bottom w:val="single" w:color="auto" w:sz="4" w:space="0"/>
              <w:right w:val="single" w:color="auto" w:sz="4" w:space="0"/>
              <w:tl2br w:val="nil"/>
              <w:tr2bl w:val="nil"/>
            </w:tcBorders>
            <w:noWrap w:val="0"/>
            <w:vAlign w:val="top"/>
          </w:tcPr>
          <w:p w14:paraId="713022DB">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邻-二甲苯</w:t>
            </w:r>
          </w:p>
        </w:tc>
        <w:tc>
          <w:tcPr>
            <w:tcW w:w="1578" w:type="dxa"/>
            <w:tcBorders>
              <w:top w:val="single" w:color="auto" w:sz="4" w:space="0"/>
              <w:left w:val="single" w:color="auto" w:sz="4" w:space="0"/>
              <w:bottom w:val="single" w:color="auto" w:sz="4" w:space="0"/>
              <w:right w:val="single" w:color="auto" w:sz="4" w:space="0"/>
              <w:tl2br w:val="nil"/>
              <w:tr2bl w:val="nil"/>
            </w:tcBorders>
            <w:noWrap w:val="0"/>
            <w:vAlign w:val="top"/>
          </w:tcPr>
          <w:p w14:paraId="1A10CA97">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640</w:t>
            </w:r>
          </w:p>
        </w:tc>
        <w:tc>
          <w:tcPr>
            <w:tcW w:w="334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55DA4C47">
            <w:pPr>
              <w:pStyle w:val="48"/>
              <w:spacing w:beforeLines="0" w:afterLines="0"/>
              <w:jc w:val="center"/>
              <w:rPr>
                <w:rFonts w:hint="default" w:ascii="Times New Roman" w:hAnsi="Times New Roman" w:cs="Times New Roman"/>
                <w:color w:val="auto"/>
                <w:sz w:val="24"/>
                <w:szCs w:val="24"/>
                <w:highlight w:val="none"/>
              </w:rPr>
            </w:pPr>
          </w:p>
        </w:tc>
      </w:tr>
      <w:tr w14:paraId="2EC3D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85" w:type="dxa"/>
            <w:tcBorders>
              <w:top w:val="single" w:color="auto" w:sz="4" w:space="0"/>
              <w:left w:val="single" w:color="auto" w:sz="4" w:space="0"/>
              <w:bottom w:val="single" w:color="auto" w:sz="4" w:space="0"/>
              <w:right w:val="single" w:color="auto" w:sz="4" w:space="0"/>
              <w:tl2br w:val="nil"/>
              <w:tr2bl w:val="nil"/>
            </w:tcBorders>
            <w:noWrap w:val="0"/>
            <w:vAlign w:val="top"/>
          </w:tcPr>
          <w:p w14:paraId="6D0B2CF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14</w:t>
            </w:r>
          </w:p>
        </w:tc>
        <w:tc>
          <w:tcPr>
            <w:tcW w:w="2951" w:type="dxa"/>
            <w:tcBorders>
              <w:top w:val="single" w:color="auto" w:sz="4" w:space="0"/>
              <w:left w:val="single" w:color="auto" w:sz="4" w:space="0"/>
              <w:bottom w:val="single" w:color="auto" w:sz="4" w:space="0"/>
              <w:right w:val="single" w:color="auto" w:sz="4" w:space="0"/>
              <w:tl2br w:val="nil"/>
              <w:tr2bl w:val="nil"/>
            </w:tcBorders>
            <w:noWrap w:val="0"/>
            <w:vAlign w:val="top"/>
          </w:tcPr>
          <w:p w14:paraId="6CCB2E8B">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1,2-二氯丙烷</w:t>
            </w:r>
          </w:p>
        </w:tc>
        <w:tc>
          <w:tcPr>
            <w:tcW w:w="1578" w:type="dxa"/>
            <w:tcBorders>
              <w:top w:val="single" w:color="auto" w:sz="4" w:space="0"/>
              <w:left w:val="single" w:color="auto" w:sz="4" w:space="0"/>
              <w:bottom w:val="single" w:color="auto" w:sz="4" w:space="0"/>
              <w:right w:val="single" w:color="auto" w:sz="4" w:space="0"/>
              <w:tl2br w:val="nil"/>
              <w:tr2bl w:val="nil"/>
            </w:tcBorders>
            <w:noWrap w:val="0"/>
            <w:vAlign w:val="top"/>
          </w:tcPr>
          <w:p w14:paraId="561FA826">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5</w:t>
            </w:r>
          </w:p>
        </w:tc>
        <w:tc>
          <w:tcPr>
            <w:tcW w:w="334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265BB2C">
            <w:pPr>
              <w:pStyle w:val="48"/>
              <w:spacing w:beforeLines="0" w:afterLines="0"/>
              <w:jc w:val="center"/>
              <w:rPr>
                <w:rFonts w:hint="default" w:ascii="Times New Roman" w:hAnsi="Times New Roman" w:cs="Times New Roman"/>
                <w:color w:val="auto"/>
                <w:sz w:val="24"/>
                <w:szCs w:val="24"/>
                <w:highlight w:val="none"/>
              </w:rPr>
            </w:pPr>
          </w:p>
        </w:tc>
      </w:tr>
      <w:tr w14:paraId="300EB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85" w:type="dxa"/>
            <w:tcBorders>
              <w:top w:val="single" w:color="auto" w:sz="4" w:space="0"/>
              <w:left w:val="single" w:color="auto" w:sz="4" w:space="0"/>
              <w:bottom w:val="single" w:color="auto" w:sz="4" w:space="0"/>
              <w:right w:val="single" w:color="auto" w:sz="4" w:space="0"/>
              <w:tl2br w:val="nil"/>
              <w:tr2bl w:val="nil"/>
            </w:tcBorders>
            <w:noWrap w:val="0"/>
            <w:vAlign w:val="top"/>
          </w:tcPr>
          <w:p w14:paraId="2349FD4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15</w:t>
            </w:r>
          </w:p>
        </w:tc>
        <w:tc>
          <w:tcPr>
            <w:tcW w:w="2951" w:type="dxa"/>
            <w:tcBorders>
              <w:top w:val="single" w:color="auto" w:sz="4" w:space="0"/>
              <w:left w:val="single" w:color="auto" w:sz="4" w:space="0"/>
              <w:bottom w:val="single" w:color="auto" w:sz="4" w:space="0"/>
              <w:right w:val="single" w:color="auto" w:sz="4" w:space="0"/>
              <w:tl2br w:val="nil"/>
              <w:tr2bl w:val="nil"/>
            </w:tcBorders>
            <w:noWrap w:val="0"/>
            <w:vAlign w:val="top"/>
          </w:tcPr>
          <w:p w14:paraId="60BA90A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氯甲烷</w:t>
            </w:r>
          </w:p>
        </w:tc>
        <w:tc>
          <w:tcPr>
            <w:tcW w:w="1578" w:type="dxa"/>
            <w:tcBorders>
              <w:top w:val="single" w:color="auto" w:sz="4" w:space="0"/>
              <w:left w:val="single" w:color="auto" w:sz="4" w:space="0"/>
              <w:bottom w:val="single" w:color="auto" w:sz="4" w:space="0"/>
              <w:right w:val="single" w:color="auto" w:sz="4" w:space="0"/>
              <w:tl2br w:val="nil"/>
              <w:tr2bl w:val="nil"/>
            </w:tcBorders>
            <w:noWrap w:val="0"/>
            <w:vAlign w:val="top"/>
          </w:tcPr>
          <w:p w14:paraId="094C0A74">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37</w:t>
            </w:r>
          </w:p>
        </w:tc>
        <w:tc>
          <w:tcPr>
            <w:tcW w:w="334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3779408F">
            <w:pPr>
              <w:pStyle w:val="48"/>
              <w:spacing w:beforeLines="0" w:afterLines="0"/>
              <w:jc w:val="center"/>
              <w:rPr>
                <w:rFonts w:hint="default" w:ascii="Times New Roman" w:hAnsi="Times New Roman" w:cs="Times New Roman"/>
                <w:color w:val="auto"/>
                <w:sz w:val="24"/>
                <w:szCs w:val="24"/>
                <w:highlight w:val="none"/>
              </w:rPr>
            </w:pPr>
          </w:p>
        </w:tc>
      </w:tr>
      <w:tr w14:paraId="3DC35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85" w:type="dxa"/>
            <w:tcBorders>
              <w:top w:val="single" w:color="auto" w:sz="4" w:space="0"/>
              <w:left w:val="single" w:color="auto" w:sz="4" w:space="0"/>
              <w:bottom w:val="single" w:color="auto" w:sz="4" w:space="0"/>
              <w:right w:val="single" w:color="auto" w:sz="4" w:space="0"/>
              <w:tl2br w:val="nil"/>
              <w:tr2bl w:val="nil"/>
            </w:tcBorders>
            <w:noWrap w:val="0"/>
            <w:vAlign w:val="top"/>
          </w:tcPr>
          <w:p w14:paraId="7EBA105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16</w:t>
            </w:r>
          </w:p>
        </w:tc>
        <w:tc>
          <w:tcPr>
            <w:tcW w:w="2951" w:type="dxa"/>
            <w:tcBorders>
              <w:top w:val="single" w:color="auto" w:sz="4" w:space="0"/>
              <w:left w:val="single" w:color="auto" w:sz="4" w:space="0"/>
              <w:bottom w:val="single" w:color="auto" w:sz="4" w:space="0"/>
              <w:right w:val="single" w:color="auto" w:sz="4" w:space="0"/>
              <w:tl2br w:val="nil"/>
              <w:tr2bl w:val="nil"/>
            </w:tcBorders>
            <w:noWrap w:val="0"/>
            <w:vAlign w:val="top"/>
          </w:tcPr>
          <w:p w14:paraId="110A6613">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氯乙烯</w:t>
            </w:r>
          </w:p>
        </w:tc>
        <w:tc>
          <w:tcPr>
            <w:tcW w:w="1578" w:type="dxa"/>
            <w:tcBorders>
              <w:top w:val="single" w:color="auto" w:sz="4" w:space="0"/>
              <w:left w:val="single" w:color="auto" w:sz="4" w:space="0"/>
              <w:bottom w:val="single" w:color="auto" w:sz="4" w:space="0"/>
              <w:right w:val="single" w:color="auto" w:sz="4" w:space="0"/>
              <w:tl2br w:val="nil"/>
              <w:tr2bl w:val="nil"/>
            </w:tcBorders>
            <w:noWrap w:val="0"/>
            <w:vAlign w:val="top"/>
          </w:tcPr>
          <w:p w14:paraId="6D990714">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0.43</w:t>
            </w:r>
          </w:p>
        </w:tc>
        <w:tc>
          <w:tcPr>
            <w:tcW w:w="334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0FC61C7D">
            <w:pPr>
              <w:pStyle w:val="48"/>
              <w:spacing w:beforeLines="0" w:afterLines="0"/>
              <w:jc w:val="center"/>
              <w:rPr>
                <w:rFonts w:hint="default" w:ascii="Times New Roman" w:hAnsi="Times New Roman" w:cs="Times New Roman"/>
                <w:color w:val="auto"/>
                <w:sz w:val="24"/>
                <w:szCs w:val="24"/>
                <w:highlight w:val="none"/>
              </w:rPr>
            </w:pPr>
          </w:p>
        </w:tc>
      </w:tr>
      <w:tr w14:paraId="695C8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85" w:type="dxa"/>
            <w:tcBorders>
              <w:top w:val="single" w:color="auto" w:sz="4" w:space="0"/>
              <w:left w:val="single" w:color="auto" w:sz="4" w:space="0"/>
              <w:bottom w:val="single" w:color="auto" w:sz="4" w:space="0"/>
              <w:right w:val="single" w:color="auto" w:sz="4" w:space="0"/>
              <w:tl2br w:val="nil"/>
              <w:tr2bl w:val="nil"/>
            </w:tcBorders>
            <w:noWrap w:val="0"/>
            <w:vAlign w:val="top"/>
          </w:tcPr>
          <w:p w14:paraId="6C30A33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17</w:t>
            </w:r>
          </w:p>
        </w:tc>
        <w:tc>
          <w:tcPr>
            <w:tcW w:w="2951" w:type="dxa"/>
            <w:tcBorders>
              <w:top w:val="single" w:color="auto" w:sz="4" w:space="0"/>
              <w:left w:val="single" w:color="auto" w:sz="4" w:space="0"/>
              <w:bottom w:val="single" w:color="auto" w:sz="4" w:space="0"/>
              <w:right w:val="single" w:color="auto" w:sz="4" w:space="0"/>
              <w:tl2br w:val="nil"/>
              <w:tr2bl w:val="nil"/>
            </w:tcBorders>
            <w:noWrap w:val="0"/>
            <w:vAlign w:val="top"/>
          </w:tcPr>
          <w:p w14:paraId="4E075B3B">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1,1-二氯乙烯</w:t>
            </w:r>
          </w:p>
        </w:tc>
        <w:tc>
          <w:tcPr>
            <w:tcW w:w="1578" w:type="dxa"/>
            <w:tcBorders>
              <w:top w:val="single" w:color="auto" w:sz="4" w:space="0"/>
              <w:left w:val="single" w:color="auto" w:sz="4" w:space="0"/>
              <w:bottom w:val="single" w:color="auto" w:sz="4" w:space="0"/>
              <w:right w:val="single" w:color="auto" w:sz="4" w:space="0"/>
              <w:tl2br w:val="nil"/>
              <w:tr2bl w:val="nil"/>
            </w:tcBorders>
            <w:noWrap w:val="0"/>
            <w:vAlign w:val="top"/>
          </w:tcPr>
          <w:p w14:paraId="6EC431DD">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66</w:t>
            </w:r>
          </w:p>
        </w:tc>
        <w:tc>
          <w:tcPr>
            <w:tcW w:w="334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4DF696EE">
            <w:pPr>
              <w:pStyle w:val="48"/>
              <w:spacing w:beforeLines="0" w:afterLines="0"/>
              <w:jc w:val="center"/>
              <w:rPr>
                <w:rFonts w:hint="default" w:ascii="Times New Roman" w:hAnsi="Times New Roman" w:cs="Times New Roman"/>
                <w:color w:val="auto"/>
                <w:sz w:val="24"/>
                <w:szCs w:val="24"/>
                <w:highlight w:val="none"/>
              </w:rPr>
            </w:pPr>
          </w:p>
        </w:tc>
      </w:tr>
      <w:tr w14:paraId="24CBE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85" w:type="dxa"/>
            <w:tcBorders>
              <w:top w:val="single" w:color="auto" w:sz="4" w:space="0"/>
              <w:left w:val="single" w:color="auto" w:sz="4" w:space="0"/>
              <w:bottom w:val="single" w:color="auto" w:sz="4" w:space="0"/>
              <w:right w:val="single" w:color="auto" w:sz="4" w:space="0"/>
              <w:tl2br w:val="nil"/>
              <w:tr2bl w:val="nil"/>
            </w:tcBorders>
            <w:noWrap w:val="0"/>
            <w:vAlign w:val="top"/>
          </w:tcPr>
          <w:p w14:paraId="0664D51C">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18</w:t>
            </w:r>
          </w:p>
        </w:tc>
        <w:tc>
          <w:tcPr>
            <w:tcW w:w="2951" w:type="dxa"/>
            <w:tcBorders>
              <w:top w:val="single" w:color="auto" w:sz="4" w:space="0"/>
              <w:left w:val="single" w:color="auto" w:sz="4" w:space="0"/>
              <w:bottom w:val="single" w:color="auto" w:sz="4" w:space="0"/>
              <w:right w:val="single" w:color="auto" w:sz="4" w:space="0"/>
              <w:tl2br w:val="nil"/>
              <w:tr2bl w:val="nil"/>
            </w:tcBorders>
            <w:noWrap w:val="0"/>
            <w:vAlign w:val="top"/>
          </w:tcPr>
          <w:p w14:paraId="27DD55C1">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二氯甲烷</w:t>
            </w:r>
          </w:p>
        </w:tc>
        <w:tc>
          <w:tcPr>
            <w:tcW w:w="1578" w:type="dxa"/>
            <w:tcBorders>
              <w:top w:val="single" w:color="auto" w:sz="4" w:space="0"/>
              <w:left w:val="single" w:color="auto" w:sz="4" w:space="0"/>
              <w:bottom w:val="single" w:color="auto" w:sz="4" w:space="0"/>
              <w:right w:val="single" w:color="auto" w:sz="4" w:space="0"/>
              <w:tl2br w:val="nil"/>
              <w:tr2bl w:val="nil"/>
            </w:tcBorders>
            <w:noWrap w:val="0"/>
            <w:vAlign w:val="top"/>
          </w:tcPr>
          <w:p w14:paraId="60B8524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616</w:t>
            </w:r>
          </w:p>
        </w:tc>
        <w:tc>
          <w:tcPr>
            <w:tcW w:w="334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687670DC">
            <w:pPr>
              <w:pStyle w:val="48"/>
              <w:spacing w:beforeLines="0" w:afterLines="0"/>
              <w:jc w:val="center"/>
              <w:rPr>
                <w:rFonts w:hint="default" w:ascii="Times New Roman" w:hAnsi="Times New Roman" w:cs="Times New Roman"/>
                <w:color w:val="auto"/>
                <w:sz w:val="24"/>
                <w:szCs w:val="24"/>
                <w:highlight w:val="none"/>
              </w:rPr>
            </w:pPr>
          </w:p>
        </w:tc>
      </w:tr>
      <w:tr w14:paraId="0D13F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85" w:type="dxa"/>
            <w:tcBorders>
              <w:top w:val="single" w:color="auto" w:sz="4" w:space="0"/>
              <w:left w:val="single" w:color="auto" w:sz="4" w:space="0"/>
              <w:bottom w:val="single" w:color="auto" w:sz="4" w:space="0"/>
              <w:right w:val="single" w:color="auto" w:sz="4" w:space="0"/>
              <w:tl2br w:val="nil"/>
              <w:tr2bl w:val="nil"/>
            </w:tcBorders>
            <w:noWrap w:val="0"/>
            <w:vAlign w:val="top"/>
          </w:tcPr>
          <w:p w14:paraId="42372756">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19</w:t>
            </w:r>
          </w:p>
        </w:tc>
        <w:tc>
          <w:tcPr>
            <w:tcW w:w="2951" w:type="dxa"/>
            <w:tcBorders>
              <w:top w:val="single" w:color="auto" w:sz="4" w:space="0"/>
              <w:left w:val="single" w:color="auto" w:sz="4" w:space="0"/>
              <w:bottom w:val="single" w:color="auto" w:sz="4" w:space="0"/>
              <w:right w:val="single" w:color="auto" w:sz="4" w:space="0"/>
              <w:tl2br w:val="nil"/>
              <w:tr2bl w:val="nil"/>
            </w:tcBorders>
            <w:noWrap w:val="0"/>
            <w:vAlign w:val="top"/>
          </w:tcPr>
          <w:p w14:paraId="51C8003D">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反-1,2-二氯乙烯</w:t>
            </w:r>
          </w:p>
        </w:tc>
        <w:tc>
          <w:tcPr>
            <w:tcW w:w="1578" w:type="dxa"/>
            <w:tcBorders>
              <w:top w:val="single" w:color="auto" w:sz="4" w:space="0"/>
              <w:left w:val="single" w:color="auto" w:sz="4" w:space="0"/>
              <w:bottom w:val="single" w:color="auto" w:sz="4" w:space="0"/>
              <w:right w:val="single" w:color="auto" w:sz="4" w:space="0"/>
              <w:tl2br w:val="nil"/>
              <w:tr2bl w:val="nil"/>
            </w:tcBorders>
            <w:noWrap w:val="0"/>
            <w:vAlign w:val="top"/>
          </w:tcPr>
          <w:p w14:paraId="2E5E90E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54</w:t>
            </w:r>
          </w:p>
        </w:tc>
        <w:tc>
          <w:tcPr>
            <w:tcW w:w="334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6AF63A5C">
            <w:pPr>
              <w:pStyle w:val="48"/>
              <w:spacing w:beforeLines="0" w:afterLines="0"/>
              <w:jc w:val="center"/>
              <w:rPr>
                <w:rFonts w:hint="default" w:ascii="Times New Roman" w:hAnsi="Times New Roman" w:cs="Times New Roman"/>
                <w:color w:val="auto"/>
                <w:sz w:val="24"/>
                <w:szCs w:val="24"/>
                <w:highlight w:val="none"/>
              </w:rPr>
            </w:pPr>
          </w:p>
        </w:tc>
      </w:tr>
      <w:tr w14:paraId="629B3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85" w:type="dxa"/>
            <w:tcBorders>
              <w:top w:val="single" w:color="auto" w:sz="4" w:space="0"/>
              <w:left w:val="single" w:color="auto" w:sz="4" w:space="0"/>
              <w:bottom w:val="single" w:color="auto" w:sz="4" w:space="0"/>
              <w:right w:val="single" w:color="auto" w:sz="4" w:space="0"/>
              <w:tl2br w:val="nil"/>
              <w:tr2bl w:val="nil"/>
            </w:tcBorders>
            <w:noWrap w:val="0"/>
            <w:vAlign w:val="top"/>
          </w:tcPr>
          <w:p w14:paraId="50891866">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20</w:t>
            </w:r>
          </w:p>
        </w:tc>
        <w:tc>
          <w:tcPr>
            <w:tcW w:w="2951" w:type="dxa"/>
            <w:tcBorders>
              <w:top w:val="single" w:color="auto" w:sz="4" w:space="0"/>
              <w:left w:val="single" w:color="auto" w:sz="4" w:space="0"/>
              <w:bottom w:val="single" w:color="auto" w:sz="4" w:space="0"/>
              <w:right w:val="single" w:color="auto" w:sz="4" w:space="0"/>
              <w:tl2br w:val="nil"/>
              <w:tr2bl w:val="nil"/>
            </w:tcBorders>
            <w:noWrap w:val="0"/>
            <w:vAlign w:val="top"/>
          </w:tcPr>
          <w:p w14:paraId="7123EA2B">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1,1-二氯乙烷</w:t>
            </w:r>
          </w:p>
        </w:tc>
        <w:tc>
          <w:tcPr>
            <w:tcW w:w="1578" w:type="dxa"/>
            <w:tcBorders>
              <w:top w:val="single" w:color="auto" w:sz="4" w:space="0"/>
              <w:left w:val="single" w:color="auto" w:sz="4" w:space="0"/>
              <w:bottom w:val="single" w:color="auto" w:sz="4" w:space="0"/>
              <w:right w:val="single" w:color="auto" w:sz="4" w:space="0"/>
              <w:tl2br w:val="nil"/>
              <w:tr2bl w:val="nil"/>
            </w:tcBorders>
            <w:noWrap w:val="0"/>
            <w:vAlign w:val="top"/>
          </w:tcPr>
          <w:p w14:paraId="1AAAD06E">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9</w:t>
            </w:r>
          </w:p>
        </w:tc>
        <w:tc>
          <w:tcPr>
            <w:tcW w:w="334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78B14D27">
            <w:pPr>
              <w:pStyle w:val="48"/>
              <w:spacing w:beforeLines="0" w:afterLines="0"/>
              <w:jc w:val="center"/>
              <w:rPr>
                <w:rFonts w:hint="default" w:ascii="Times New Roman" w:hAnsi="Times New Roman" w:cs="Times New Roman"/>
                <w:color w:val="auto"/>
                <w:sz w:val="24"/>
                <w:szCs w:val="24"/>
                <w:highlight w:val="none"/>
              </w:rPr>
            </w:pPr>
          </w:p>
        </w:tc>
      </w:tr>
      <w:tr w14:paraId="10A49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85" w:type="dxa"/>
            <w:tcBorders>
              <w:top w:val="single" w:color="auto" w:sz="4" w:space="0"/>
              <w:left w:val="single" w:color="auto" w:sz="4" w:space="0"/>
              <w:bottom w:val="single" w:color="auto" w:sz="4" w:space="0"/>
              <w:right w:val="single" w:color="auto" w:sz="4" w:space="0"/>
              <w:tl2br w:val="nil"/>
              <w:tr2bl w:val="nil"/>
            </w:tcBorders>
            <w:noWrap w:val="0"/>
            <w:vAlign w:val="top"/>
          </w:tcPr>
          <w:p w14:paraId="39427A9A">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21</w:t>
            </w:r>
          </w:p>
        </w:tc>
        <w:tc>
          <w:tcPr>
            <w:tcW w:w="2951" w:type="dxa"/>
            <w:tcBorders>
              <w:top w:val="single" w:color="auto" w:sz="4" w:space="0"/>
              <w:left w:val="single" w:color="auto" w:sz="4" w:space="0"/>
              <w:bottom w:val="single" w:color="auto" w:sz="4" w:space="0"/>
              <w:right w:val="single" w:color="auto" w:sz="4" w:space="0"/>
              <w:tl2br w:val="nil"/>
              <w:tr2bl w:val="nil"/>
            </w:tcBorders>
            <w:noWrap w:val="0"/>
            <w:vAlign w:val="top"/>
          </w:tcPr>
          <w:p w14:paraId="1CAF5D8B">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顺-1,2-二氯乙烯</w:t>
            </w:r>
          </w:p>
        </w:tc>
        <w:tc>
          <w:tcPr>
            <w:tcW w:w="1578" w:type="dxa"/>
            <w:tcBorders>
              <w:top w:val="single" w:color="auto" w:sz="4" w:space="0"/>
              <w:left w:val="single" w:color="auto" w:sz="4" w:space="0"/>
              <w:bottom w:val="single" w:color="auto" w:sz="4" w:space="0"/>
              <w:right w:val="single" w:color="auto" w:sz="4" w:space="0"/>
              <w:tl2br w:val="nil"/>
              <w:tr2bl w:val="nil"/>
            </w:tcBorders>
            <w:noWrap w:val="0"/>
            <w:vAlign w:val="top"/>
          </w:tcPr>
          <w:p w14:paraId="7867D82A">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596</w:t>
            </w:r>
          </w:p>
        </w:tc>
        <w:tc>
          <w:tcPr>
            <w:tcW w:w="334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55692235">
            <w:pPr>
              <w:pStyle w:val="48"/>
              <w:spacing w:beforeLines="0" w:afterLines="0"/>
              <w:jc w:val="center"/>
              <w:rPr>
                <w:rFonts w:hint="default" w:ascii="Times New Roman" w:hAnsi="Times New Roman" w:cs="Times New Roman"/>
                <w:color w:val="auto"/>
                <w:sz w:val="24"/>
                <w:szCs w:val="24"/>
                <w:highlight w:val="none"/>
              </w:rPr>
            </w:pPr>
          </w:p>
        </w:tc>
      </w:tr>
      <w:tr w14:paraId="15C05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85" w:type="dxa"/>
            <w:tcBorders>
              <w:top w:val="single" w:color="auto" w:sz="4" w:space="0"/>
              <w:left w:val="single" w:color="auto" w:sz="4" w:space="0"/>
              <w:bottom w:val="single" w:color="auto" w:sz="4" w:space="0"/>
              <w:right w:val="single" w:color="auto" w:sz="4" w:space="0"/>
              <w:tl2br w:val="nil"/>
              <w:tr2bl w:val="nil"/>
            </w:tcBorders>
            <w:noWrap w:val="0"/>
            <w:vAlign w:val="top"/>
          </w:tcPr>
          <w:p w14:paraId="13505573">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22</w:t>
            </w:r>
          </w:p>
        </w:tc>
        <w:tc>
          <w:tcPr>
            <w:tcW w:w="2951" w:type="dxa"/>
            <w:tcBorders>
              <w:top w:val="single" w:color="auto" w:sz="4" w:space="0"/>
              <w:left w:val="single" w:color="auto" w:sz="4" w:space="0"/>
              <w:bottom w:val="single" w:color="auto" w:sz="4" w:space="0"/>
              <w:right w:val="single" w:color="auto" w:sz="4" w:space="0"/>
              <w:tl2br w:val="nil"/>
              <w:tr2bl w:val="nil"/>
            </w:tcBorders>
            <w:noWrap w:val="0"/>
            <w:vAlign w:val="top"/>
          </w:tcPr>
          <w:p w14:paraId="10A6137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1,1,1-三氯乙烷</w:t>
            </w:r>
          </w:p>
        </w:tc>
        <w:tc>
          <w:tcPr>
            <w:tcW w:w="1578" w:type="dxa"/>
            <w:tcBorders>
              <w:top w:val="single" w:color="auto" w:sz="4" w:space="0"/>
              <w:left w:val="single" w:color="auto" w:sz="4" w:space="0"/>
              <w:bottom w:val="single" w:color="auto" w:sz="4" w:space="0"/>
              <w:right w:val="single" w:color="auto" w:sz="4" w:space="0"/>
              <w:tl2br w:val="nil"/>
              <w:tr2bl w:val="nil"/>
            </w:tcBorders>
            <w:noWrap w:val="0"/>
            <w:vAlign w:val="top"/>
          </w:tcPr>
          <w:p w14:paraId="5D77EC38">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840</w:t>
            </w:r>
          </w:p>
        </w:tc>
        <w:tc>
          <w:tcPr>
            <w:tcW w:w="334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32B2B276">
            <w:pPr>
              <w:pStyle w:val="48"/>
              <w:spacing w:beforeLines="0" w:afterLines="0"/>
              <w:jc w:val="center"/>
              <w:rPr>
                <w:rFonts w:hint="default" w:ascii="Times New Roman" w:hAnsi="Times New Roman" w:cs="Times New Roman"/>
                <w:color w:val="auto"/>
                <w:sz w:val="24"/>
                <w:szCs w:val="24"/>
                <w:highlight w:val="none"/>
              </w:rPr>
            </w:pPr>
          </w:p>
        </w:tc>
      </w:tr>
      <w:tr w14:paraId="319FC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85" w:type="dxa"/>
            <w:tcBorders>
              <w:top w:val="single" w:color="auto" w:sz="4" w:space="0"/>
              <w:left w:val="single" w:color="auto" w:sz="4" w:space="0"/>
              <w:bottom w:val="single" w:color="auto" w:sz="4" w:space="0"/>
              <w:right w:val="single" w:color="auto" w:sz="4" w:space="0"/>
              <w:tl2br w:val="nil"/>
              <w:tr2bl w:val="nil"/>
            </w:tcBorders>
            <w:noWrap w:val="0"/>
            <w:vAlign w:val="top"/>
          </w:tcPr>
          <w:p w14:paraId="59293AE8">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23</w:t>
            </w:r>
          </w:p>
        </w:tc>
        <w:tc>
          <w:tcPr>
            <w:tcW w:w="2951" w:type="dxa"/>
            <w:tcBorders>
              <w:top w:val="single" w:color="auto" w:sz="4" w:space="0"/>
              <w:left w:val="single" w:color="auto" w:sz="4" w:space="0"/>
              <w:bottom w:val="single" w:color="auto" w:sz="4" w:space="0"/>
              <w:right w:val="single" w:color="auto" w:sz="4" w:space="0"/>
              <w:tl2br w:val="nil"/>
              <w:tr2bl w:val="nil"/>
            </w:tcBorders>
            <w:noWrap w:val="0"/>
            <w:vAlign w:val="top"/>
          </w:tcPr>
          <w:p w14:paraId="0730A65E">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四氯化碳</w:t>
            </w:r>
          </w:p>
        </w:tc>
        <w:tc>
          <w:tcPr>
            <w:tcW w:w="1578" w:type="dxa"/>
            <w:tcBorders>
              <w:top w:val="single" w:color="auto" w:sz="4" w:space="0"/>
              <w:left w:val="single" w:color="auto" w:sz="4" w:space="0"/>
              <w:bottom w:val="single" w:color="auto" w:sz="4" w:space="0"/>
              <w:right w:val="single" w:color="auto" w:sz="4" w:space="0"/>
              <w:tl2br w:val="nil"/>
              <w:tr2bl w:val="nil"/>
            </w:tcBorders>
            <w:noWrap w:val="0"/>
            <w:vAlign w:val="top"/>
          </w:tcPr>
          <w:p w14:paraId="1E82C3E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2.8</w:t>
            </w:r>
          </w:p>
        </w:tc>
        <w:tc>
          <w:tcPr>
            <w:tcW w:w="334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0F28006F">
            <w:pPr>
              <w:pStyle w:val="48"/>
              <w:spacing w:beforeLines="0" w:afterLines="0"/>
              <w:jc w:val="center"/>
              <w:rPr>
                <w:rFonts w:hint="default" w:ascii="Times New Roman" w:hAnsi="Times New Roman" w:cs="Times New Roman"/>
                <w:color w:val="auto"/>
                <w:sz w:val="24"/>
                <w:szCs w:val="24"/>
                <w:highlight w:val="none"/>
              </w:rPr>
            </w:pPr>
          </w:p>
        </w:tc>
      </w:tr>
      <w:tr w14:paraId="32AF5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85" w:type="dxa"/>
            <w:tcBorders>
              <w:top w:val="single" w:color="auto" w:sz="4" w:space="0"/>
              <w:left w:val="single" w:color="auto" w:sz="4" w:space="0"/>
              <w:bottom w:val="single" w:color="auto" w:sz="4" w:space="0"/>
              <w:right w:val="single" w:color="auto" w:sz="4" w:space="0"/>
              <w:tl2br w:val="nil"/>
              <w:tr2bl w:val="nil"/>
            </w:tcBorders>
            <w:noWrap w:val="0"/>
            <w:vAlign w:val="top"/>
          </w:tcPr>
          <w:p w14:paraId="71F19903">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24</w:t>
            </w:r>
          </w:p>
        </w:tc>
        <w:tc>
          <w:tcPr>
            <w:tcW w:w="2951" w:type="dxa"/>
            <w:tcBorders>
              <w:top w:val="single" w:color="auto" w:sz="4" w:space="0"/>
              <w:left w:val="single" w:color="auto" w:sz="4" w:space="0"/>
              <w:bottom w:val="single" w:color="auto" w:sz="4" w:space="0"/>
              <w:right w:val="single" w:color="auto" w:sz="4" w:space="0"/>
              <w:tl2br w:val="nil"/>
              <w:tr2bl w:val="nil"/>
            </w:tcBorders>
            <w:noWrap w:val="0"/>
            <w:vAlign w:val="top"/>
          </w:tcPr>
          <w:p w14:paraId="041EC61D">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1,2-二氯乙烷</w:t>
            </w:r>
          </w:p>
        </w:tc>
        <w:tc>
          <w:tcPr>
            <w:tcW w:w="1578" w:type="dxa"/>
            <w:tcBorders>
              <w:top w:val="single" w:color="auto" w:sz="4" w:space="0"/>
              <w:left w:val="single" w:color="auto" w:sz="4" w:space="0"/>
              <w:bottom w:val="single" w:color="auto" w:sz="4" w:space="0"/>
              <w:right w:val="single" w:color="auto" w:sz="4" w:space="0"/>
              <w:tl2br w:val="nil"/>
              <w:tr2bl w:val="nil"/>
            </w:tcBorders>
            <w:noWrap w:val="0"/>
            <w:vAlign w:val="top"/>
          </w:tcPr>
          <w:p w14:paraId="3BDE7E91">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5</w:t>
            </w:r>
          </w:p>
        </w:tc>
        <w:tc>
          <w:tcPr>
            <w:tcW w:w="334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A68E64F">
            <w:pPr>
              <w:pStyle w:val="48"/>
              <w:spacing w:beforeLines="0" w:afterLines="0"/>
              <w:jc w:val="center"/>
              <w:rPr>
                <w:rFonts w:hint="default" w:ascii="Times New Roman" w:hAnsi="Times New Roman" w:cs="Times New Roman"/>
                <w:color w:val="auto"/>
                <w:sz w:val="24"/>
                <w:szCs w:val="24"/>
                <w:highlight w:val="none"/>
              </w:rPr>
            </w:pPr>
          </w:p>
        </w:tc>
      </w:tr>
      <w:tr w14:paraId="61D6C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85" w:type="dxa"/>
            <w:tcBorders>
              <w:top w:val="single" w:color="auto" w:sz="4" w:space="0"/>
              <w:left w:val="single" w:color="auto" w:sz="4" w:space="0"/>
              <w:bottom w:val="single" w:color="auto" w:sz="4" w:space="0"/>
              <w:right w:val="single" w:color="auto" w:sz="4" w:space="0"/>
              <w:tl2br w:val="nil"/>
              <w:tr2bl w:val="nil"/>
            </w:tcBorders>
            <w:noWrap w:val="0"/>
            <w:vAlign w:val="top"/>
          </w:tcPr>
          <w:p w14:paraId="7A08CA27">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25</w:t>
            </w:r>
          </w:p>
        </w:tc>
        <w:tc>
          <w:tcPr>
            <w:tcW w:w="2951" w:type="dxa"/>
            <w:tcBorders>
              <w:top w:val="single" w:color="auto" w:sz="4" w:space="0"/>
              <w:left w:val="single" w:color="auto" w:sz="4" w:space="0"/>
              <w:bottom w:val="single" w:color="auto" w:sz="4" w:space="0"/>
              <w:right w:val="single" w:color="auto" w:sz="4" w:space="0"/>
              <w:tl2br w:val="nil"/>
              <w:tr2bl w:val="nil"/>
            </w:tcBorders>
            <w:noWrap w:val="0"/>
            <w:vAlign w:val="top"/>
          </w:tcPr>
          <w:p w14:paraId="7B7107B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三氯乙烯</w:t>
            </w:r>
          </w:p>
        </w:tc>
        <w:tc>
          <w:tcPr>
            <w:tcW w:w="1578" w:type="dxa"/>
            <w:tcBorders>
              <w:top w:val="single" w:color="auto" w:sz="4" w:space="0"/>
              <w:left w:val="single" w:color="auto" w:sz="4" w:space="0"/>
              <w:bottom w:val="single" w:color="auto" w:sz="4" w:space="0"/>
              <w:right w:val="single" w:color="auto" w:sz="4" w:space="0"/>
              <w:tl2br w:val="nil"/>
              <w:tr2bl w:val="nil"/>
            </w:tcBorders>
            <w:noWrap w:val="0"/>
            <w:vAlign w:val="top"/>
          </w:tcPr>
          <w:p w14:paraId="56A017CA">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2.8</w:t>
            </w:r>
          </w:p>
        </w:tc>
        <w:tc>
          <w:tcPr>
            <w:tcW w:w="334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0E3B149A">
            <w:pPr>
              <w:pStyle w:val="48"/>
              <w:spacing w:beforeLines="0" w:afterLines="0"/>
              <w:jc w:val="center"/>
              <w:rPr>
                <w:rFonts w:hint="default" w:ascii="Times New Roman" w:hAnsi="Times New Roman" w:cs="Times New Roman"/>
                <w:color w:val="auto"/>
                <w:sz w:val="24"/>
                <w:szCs w:val="24"/>
                <w:highlight w:val="none"/>
              </w:rPr>
            </w:pPr>
          </w:p>
        </w:tc>
      </w:tr>
      <w:tr w14:paraId="663D4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85" w:type="dxa"/>
            <w:tcBorders>
              <w:top w:val="single" w:color="auto" w:sz="4" w:space="0"/>
              <w:left w:val="single" w:color="auto" w:sz="4" w:space="0"/>
              <w:bottom w:val="single" w:color="auto" w:sz="4" w:space="0"/>
              <w:right w:val="single" w:color="auto" w:sz="4" w:space="0"/>
              <w:tl2br w:val="nil"/>
              <w:tr2bl w:val="nil"/>
            </w:tcBorders>
            <w:noWrap w:val="0"/>
            <w:vAlign w:val="top"/>
          </w:tcPr>
          <w:p w14:paraId="1A6BFC0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26</w:t>
            </w:r>
          </w:p>
        </w:tc>
        <w:tc>
          <w:tcPr>
            <w:tcW w:w="2951" w:type="dxa"/>
            <w:tcBorders>
              <w:top w:val="single" w:color="auto" w:sz="4" w:space="0"/>
              <w:left w:val="single" w:color="auto" w:sz="4" w:space="0"/>
              <w:bottom w:val="single" w:color="auto" w:sz="4" w:space="0"/>
              <w:right w:val="single" w:color="auto" w:sz="4" w:space="0"/>
              <w:tl2br w:val="nil"/>
              <w:tr2bl w:val="nil"/>
            </w:tcBorders>
            <w:noWrap w:val="0"/>
            <w:vAlign w:val="top"/>
          </w:tcPr>
          <w:p w14:paraId="32EA7348">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1,1,2-三氯乙烷</w:t>
            </w:r>
          </w:p>
        </w:tc>
        <w:tc>
          <w:tcPr>
            <w:tcW w:w="1578" w:type="dxa"/>
            <w:tcBorders>
              <w:top w:val="single" w:color="auto" w:sz="4" w:space="0"/>
              <w:left w:val="single" w:color="auto" w:sz="4" w:space="0"/>
              <w:bottom w:val="single" w:color="auto" w:sz="4" w:space="0"/>
              <w:right w:val="single" w:color="auto" w:sz="4" w:space="0"/>
              <w:tl2br w:val="nil"/>
              <w:tr2bl w:val="nil"/>
            </w:tcBorders>
            <w:noWrap w:val="0"/>
            <w:vAlign w:val="top"/>
          </w:tcPr>
          <w:p w14:paraId="35F9370B">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2.8</w:t>
            </w:r>
          </w:p>
        </w:tc>
        <w:tc>
          <w:tcPr>
            <w:tcW w:w="334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01940C5D">
            <w:pPr>
              <w:pStyle w:val="48"/>
              <w:spacing w:beforeLines="0" w:afterLines="0"/>
              <w:jc w:val="center"/>
              <w:rPr>
                <w:rFonts w:hint="default" w:ascii="Times New Roman" w:hAnsi="Times New Roman" w:cs="Times New Roman"/>
                <w:color w:val="auto"/>
                <w:sz w:val="24"/>
                <w:szCs w:val="24"/>
                <w:highlight w:val="none"/>
              </w:rPr>
            </w:pPr>
          </w:p>
        </w:tc>
      </w:tr>
      <w:tr w14:paraId="7504C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85" w:type="dxa"/>
            <w:tcBorders>
              <w:top w:val="single" w:color="auto" w:sz="4" w:space="0"/>
              <w:left w:val="single" w:color="auto" w:sz="4" w:space="0"/>
              <w:bottom w:val="single" w:color="auto" w:sz="4" w:space="0"/>
              <w:right w:val="single" w:color="auto" w:sz="4" w:space="0"/>
              <w:tl2br w:val="nil"/>
              <w:tr2bl w:val="nil"/>
            </w:tcBorders>
            <w:noWrap w:val="0"/>
            <w:vAlign w:val="top"/>
          </w:tcPr>
          <w:p w14:paraId="59C6995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27</w:t>
            </w:r>
          </w:p>
        </w:tc>
        <w:tc>
          <w:tcPr>
            <w:tcW w:w="2951" w:type="dxa"/>
            <w:tcBorders>
              <w:top w:val="single" w:color="auto" w:sz="4" w:space="0"/>
              <w:left w:val="single" w:color="auto" w:sz="4" w:space="0"/>
              <w:bottom w:val="single" w:color="auto" w:sz="4" w:space="0"/>
              <w:right w:val="single" w:color="auto" w:sz="4" w:space="0"/>
              <w:tl2br w:val="nil"/>
              <w:tr2bl w:val="nil"/>
            </w:tcBorders>
            <w:noWrap w:val="0"/>
            <w:vAlign w:val="top"/>
          </w:tcPr>
          <w:p w14:paraId="4A3C79B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四氯乙烯</w:t>
            </w:r>
          </w:p>
        </w:tc>
        <w:tc>
          <w:tcPr>
            <w:tcW w:w="1578" w:type="dxa"/>
            <w:tcBorders>
              <w:top w:val="single" w:color="auto" w:sz="4" w:space="0"/>
              <w:left w:val="single" w:color="auto" w:sz="4" w:space="0"/>
              <w:bottom w:val="single" w:color="auto" w:sz="4" w:space="0"/>
              <w:right w:val="single" w:color="auto" w:sz="4" w:space="0"/>
              <w:tl2br w:val="nil"/>
              <w:tr2bl w:val="nil"/>
            </w:tcBorders>
            <w:noWrap w:val="0"/>
            <w:vAlign w:val="top"/>
          </w:tcPr>
          <w:p w14:paraId="3F1657F4">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53</w:t>
            </w:r>
          </w:p>
        </w:tc>
        <w:tc>
          <w:tcPr>
            <w:tcW w:w="334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7C175C5E">
            <w:pPr>
              <w:pStyle w:val="48"/>
              <w:spacing w:beforeLines="0" w:afterLines="0"/>
              <w:jc w:val="center"/>
              <w:rPr>
                <w:rFonts w:hint="default" w:ascii="Times New Roman" w:hAnsi="Times New Roman" w:cs="Times New Roman"/>
                <w:color w:val="auto"/>
                <w:sz w:val="24"/>
                <w:szCs w:val="24"/>
                <w:highlight w:val="none"/>
              </w:rPr>
            </w:pPr>
          </w:p>
        </w:tc>
      </w:tr>
      <w:tr w14:paraId="70A33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85" w:type="dxa"/>
            <w:tcBorders>
              <w:top w:val="single" w:color="auto" w:sz="4" w:space="0"/>
              <w:left w:val="single" w:color="auto" w:sz="4" w:space="0"/>
              <w:bottom w:val="single" w:color="auto" w:sz="4" w:space="0"/>
              <w:right w:val="single" w:color="auto" w:sz="4" w:space="0"/>
              <w:tl2br w:val="nil"/>
              <w:tr2bl w:val="nil"/>
            </w:tcBorders>
            <w:noWrap w:val="0"/>
            <w:vAlign w:val="top"/>
          </w:tcPr>
          <w:p w14:paraId="52634986">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28</w:t>
            </w:r>
          </w:p>
        </w:tc>
        <w:tc>
          <w:tcPr>
            <w:tcW w:w="2951" w:type="dxa"/>
            <w:tcBorders>
              <w:top w:val="single" w:color="auto" w:sz="4" w:space="0"/>
              <w:left w:val="single" w:color="auto" w:sz="4" w:space="0"/>
              <w:bottom w:val="single" w:color="auto" w:sz="4" w:space="0"/>
              <w:right w:val="single" w:color="auto" w:sz="4" w:space="0"/>
              <w:tl2br w:val="nil"/>
              <w:tr2bl w:val="nil"/>
            </w:tcBorders>
            <w:noWrap w:val="0"/>
            <w:vAlign w:val="top"/>
          </w:tcPr>
          <w:p w14:paraId="7B76804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1,1,1,2-四氯乙烷</w:t>
            </w:r>
          </w:p>
        </w:tc>
        <w:tc>
          <w:tcPr>
            <w:tcW w:w="1578" w:type="dxa"/>
            <w:tcBorders>
              <w:top w:val="single" w:color="auto" w:sz="4" w:space="0"/>
              <w:left w:val="single" w:color="auto" w:sz="4" w:space="0"/>
              <w:bottom w:val="single" w:color="auto" w:sz="4" w:space="0"/>
              <w:right w:val="single" w:color="auto" w:sz="4" w:space="0"/>
              <w:tl2br w:val="nil"/>
              <w:tr2bl w:val="nil"/>
            </w:tcBorders>
            <w:noWrap w:val="0"/>
            <w:vAlign w:val="top"/>
          </w:tcPr>
          <w:p w14:paraId="28AED3B8">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10</w:t>
            </w:r>
          </w:p>
        </w:tc>
        <w:tc>
          <w:tcPr>
            <w:tcW w:w="334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38480F8E">
            <w:pPr>
              <w:pStyle w:val="48"/>
              <w:spacing w:beforeLines="0" w:afterLines="0"/>
              <w:jc w:val="center"/>
              <w:rPr>
                <w:rFonts w:hint="default" w:ascii="Times New Roman" w:hAnsi="Times New Roman" w:cs="Times New Roman"/>
                <w:color w:val="auto"/>
                <w:sz w:val="24"/>
                <w:szCs w:val="24"/>
                <w:highlight w:val="none"/>
              </w:rPr>
            </w:pPr>
          </w:p>
        </w:tc>
      </w:tr>
      <w:tr w14:paraId="09B96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85" w:type="dxa"/>
            <w:tcBorders>
              <w:top w:val="single" w:color="auto" w:sz="4" w:space="0"/>
              <w:left w:val="single" w:color="auto" w:sz="4" w:space="0"/>
              <w:bottom w:val="single" w:color="auto" w:sz="4" w:space="0"/>
              <w:right w:val="single" w:color="auto" w:sz="4" w:space="0"/>
              <w:tl2br w:val="nil"/>
              <w:tr2bl w:val="nil"/>
            </w:tcBorders>
            <w:noWrap w:val="0"/>
            <w:vAlign w:val="top"/>
          </w:tcPr>
          <w:p w14:paraId="3AE31606">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29</w:t>
            </w:r>
          </w:p>
        </w:tc>
        <w:tc>
          <w:tcPr>
            <w:tcW w:w="2951" w:type="dxa"/>
            <w:tcBorders>
              <w:top w:val="single" w:color="auto" w:sz="4" w:space="0"/>
              <w:left w:val="single" w:color="auto" w:sz="4" w:space="0"/>
              <w:bottom w:val="single" w:color="auto" w:sz="4" w:space="0"/>
              <w:right w:val="single" w:color="auto" w:sz="4" w:space="0"/>
              <w:tl2br w:val="nil"/>
              <w:tr2bl w:val="nil"/>
            </w:tcBorders>
            <w:noWrap w:val="0"/>
            <w:vAlign w:val="top"/>
          </w:tcPr>
          <w:p w14:paraId="57A99BC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1,1,2,2-四氯乙烷</w:t>
            </w:r>
          </w:p>
        </w:tc>
        <w:tc>
          <w:tcPr>
            <w:tcW w:w="1578" w:type="dxa"/>
            <w:tcBorders>
              <w:top w:val="single" w:color="auto" w:sz="4" w:space="0"/>
              <w:left w:val="single" w:color="auto" w:sz="4" w:space="0"/>
              <w:bottom w:val="single" w:color="auto" w:sz="4" w:space="0"/>
              <w:right w:val="single" w:color="auto" w:sz="4" w:space="0"/>
              <w:tl2br w:val="nil"/>
              <w:tr2bl w:val="nil"/>
            </w:tcBorders>
            <w:noWrap w:val="0"/>
            <w:vAlign w:val="top"/>
          </w:tcPr>
          <w:p w14:paraId="636E07AB">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6.8</w:t>
            </w:r>
          </w:p>
        </w:tc>
        <w:tc>
          <w:tcPr>
            <w:tcW w:w="334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6EF83B9">
            <w:pPr>
              <w:pStyle w:val="48"/>
              <w:spacing w:beforeLines="0" w:afterLines="0"/>
              <w:jc w:val="center"/>
              <w:rPr>
                <w:rFonts w:hint="default" w:ascii="Times New Roman" w:hAnsi="Times New Roman" w:cs="Times New Roman"/>
                <w:color w:val="auto"/>
                <w:sz w:val="24"/>
                <w:szCs w:val="24"/>
                <w:highlight w:val="none"/>
              </w:rPr>
            </w:pPr>
          </w:p>
        </w:tc>
      </w:tr>
      <w:tr w14:paraId="4040E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85" w:type="dxa"/>
            <w:tcBorders>
              <w:top w:val="single" w:color="auto" w:sz="4" w:space="0"/>
              <w:left w:val="single" w:color="auto" w:sz="4" w:space="0"/>
              <w:bottom w:val="single" w:color="auto" w:sz="4" w:space="0"/>
              <w:right w:val="single" w:color="auto" w:sz="4" w:space="0"/>
              <w:tl2br w:val="nil"/>
              <w:tr2bl w:val="nil"/>
            </w:tcBorders>
            <w:noWrap w:val="0"/>
            <w:vAlign w:val="top"/>
          </w:tcPr>
          <w:p w14:paraId="2F9CB465">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30</w:t>
            </w:r>
          </w:p>
        </w:tc>
        <w:tc>
          <w:tcPr>
            <w:tcW w:w="2951" w:type="dxa"/>
            <w:tcBorders>
              <w:top w:val="single" w:color="auto" w:sz="4" w:space="0"/>
              <w:left w:val="single" w:color="auto" w:sz="4" w:space="0"/>
              <w:bottom w:val="single" w:color="auto" w:sz="4" w:space="0"/>
              <w:right w:val="single" w:color="auto" w:sz="4" w:space="0"/>
              <w:tl2br w:val="nil"/>
              <w:tr2bl w:val="nil"/>
            </w:tcBorders>
            <w:noWrap w:val="0"/>
            <w:vAlign w:val="top"/>
          </w:tcPr>
          <w:p w14:paraId="57302043">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1,2,3-三氯丙烷</w:t>
            </w:r>
          </w:p>
        </w:tc>
        <w:tc>
          <w:tcPr>
            <w:tcW w:w="1578" w:type="dxa"/>
            <w:tcBorders>
              <w:top w:val="single" w:color="auto" w:sz="4" w:space="0"/>
              <w:left w:val="single" w:color="auto" w:sz="4" w:space="0"/>
              <w:bottom w:val="single" w:color="auto" w:sz="4" w:space="0"/>
              <w:right w:val="single" w:color="auto" w:sz="4" w:space="0"/>
              <w:tl2br w:val="nil"/>
              <w:tr2bl w:val="nil"/>
            </w:tcBorders>
            <w:noWrap w:val="0"/>
            <w:vAlign w:val="top"/>
          </w:tcPr>
          <w:p w14:paraId="5A9A30C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0.5</w:t>
            </w:r>
          </w:p>
        </w:tc>
        <w:tc>
          <w:tcPr>
            <w:tcW w:w="334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5152BC6D">
            <w:pPr>
              <w:pStyle w:val="48"/>
              <w:spacing w:beforeLines="0" w:afterLines="0"/>
              <w:jc w:val="center"/>
              <w:rPr>
                <w:rFonts w:hint="default" w:ascii="Times New Roman" w:hAnsi="Times New Roman" w:cs="Times New Roman"/>
                <w:color w:val="auto"/>
                <w:sz w:val="24"/>
                <w:szCs w:val="24"/>
                <w:highlight w:val="none"/>
              </w:rPr>
            </w:pPr>
          </w:p>
        </w:tc>
      </w:tr>
      <w:tr w14:paraId="09552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85" w:type="dxa"/>
            <w:tcBorders>
              <w:top w:val="single" w:color="auto" w:sz="4" w:space="0"/>
              <w:left w:val="single" w:color="auto" w:sz="4" w:space="0"/>
              <w:bottom w:val="single" w:color="auto" w:sz="4" w:space="0"/>
              <w:right w:val="single" w:color="auto" w:sz="4" w:space="0"/>
              <w:tl2br w:val="nil"/>
              <w:tr2bl w:val="nil"/>
            </w:tcBorders>
            <w:noWrap w:val="0"/>
            <w:vAlign w:val="top"/>
          </w:tcPr>
          <w:p w14:paraId="2199133D">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31</w:t>
            </w:r>
          </w:p>
        </w:tc>
        <w:tc>
          <w:tcPr>
            <w:tcW w:w="2951" w:type="dxa"/>
            <w:tcBorders>
              <w:top w:val="single" w:color="auto" w:sz="4" w:space="0"/>
              <w:left w:val="single" w:color="auto" w:sz="4" w:space="0"/>
              <w:bottom w:val="single" w:color="auto" w:sz="4" w:space="0"/>
              <w:right w:val="single" w:color="auto" w:sz="4" w:space="0"/>
              <w:tl2br w:val="nil"/>
              <w:tr2bl w:val="nil"/>
            </w:tcBorders>
            <w:noWrap w:val="0"/>
            <w:vAlign w:val="top"/>
          </w:tcPr>
          <w:p w14:paraId="06698295">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氯苯</w:t>
            </w:r>
          </w:p>
        </w:tc>
        <w:tc>
          <w:tcPr>
            <w:tcW w:w="1578" w:type="dxa"/>
            <w:tcBorders>
              <w:top w:val="single" w:color="auto" w:sz="4" w:space="0"/>
              <w:left w:val="single" w:color="auto" w:sz="4" w:space="0"/>
              <w:bottom w:val="single" w:color="auto" w:sz="4" w:space="0"/>
              <w:right w:val="single" w:color="auto" w:sz="4" w:space="0"/>
              <w:tl2br w:val="nil"/>
              <w:tr2bl w:val="nil"/>
            </w:tcBorders>
            <w:noWrap w:val="0"/>
            <w:vAlign w:val="top"/>
          </w:tcPr>
          <w:p w14:paraId="4421CEEB">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270</w:t>
            </w:r>
          </w:p>
        </w:tc>
        <w:tc>
          <w:tcPr>
            <w:tcW w:w="334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6EF7F540">
            <w:pPr>
              <w:pStyle w:val="48"/>
              <w:spacing w:beforeLines="0" w:afterLines="0"/>
              <w:jc w:val="center"/>
              <w:rPr>
                <w:rFonts w:hint="default" w:ascii="Times New Roman" w:hAnsi="Times New Roman" w:cs="Times New Roman"/>
                <w:color w:val="auto"/>
                <w:sz w:val="24"/>
                <w:szCs w:val="24"/>
                <w:highlight w:val="none"/>
              </w:rPr>
            </w:pPr>
          </w:p>
        </w:tc>
      </w:tr>
      <w:tr w14:paraId="3158C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85" w:type="dxa"/>
            <w:tcBorders>
              <w:top w:val="single" w:color="auto" w:sz="4" w:space="0"/>
              <w:left w:val="single" w:color="auto" w:sz="4" w:space="0"/>
              <w:bottom w:val="single" w:color="auto" w:sz="4" w:space="0"/>
              <w:right w:val="single" w:color="auto" w:sz="4" w:space="0"/>
              <w:tl2br w:val="nil"/>
              <w:tr2bl w:val="nil"/>
            </w:tcBorders>
            <w:noWrap w:val="0"/>
            <w:vAlign w:val="top"/>
          </w:tcPr>
          <w:p w14:paraId="32939C26">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32</w:t>
            </w:r>
          </w:p>
        </w:tc>
        <w:tc>
          <w:tcPr>
            <w:tcW w:w="2951" w:type="dxa"/>
            <w:tcBorders>
              <w:top w:val="single" w:color="auto" w:sz="4" w:space="0"/>
              <w:left w:val="single" w:color="auto" w:sz="4" w:space="0"/>
              <w:bottom w:val="single" w:color="auto" w:sz="4" w:space="0"/>
              <w:right w:val="single" w:color="auto" w:sz="4" w:space="0"/>
              <w:tl2br w:val="nil"/>
              <w:tr2bl w:val="nil"/>
            </w:tcBorders>
            <w:noWrap w:val="0"/>
            <w:vAlign w:val="top"/>
          </w:tcPr>
          <w:p w14:paraId="12332F3C">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氯仿</w:t>
            </w:r>
          </w:p>
        </w:tc>
        <w:tc>
          <w:tcPr>
            <w:tcW w:w="1578" w:type="dxa"/>
            <w:tcBorders>
              <w:top w:val="single" w:color="auto" w:sz="4" w:space="0"/>
              <w:left w:val="single" w:color="auto" w:sz="4" w:space="0"/>
              <w:bottom w:val="single" w:color="auto" w:sz="4" w:space="0"/>
              <w:right w:val="single" w:color="auto" w:sz="4" w:space="0"/>
              <w:tl2br w:val="nil"/>
              <w:tr2bl w:val="nil"/>
            </w:tcBorders>
            <w:noWrap w:val="0"/>
            <w:vAlign w:val="top"/>
          </w:tcPr>
          <w:p w14:paraId="3D7DB96B">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0.9</w:t>
            </w:r>
          </w:p>
        </w:tc>
        <w:tc>
          <w:tcPr>
            <w:tcW w:w="334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17CC2C76">
            <w:pPr>
              <w:pStyle w:val="48"/>
              <w:spacing w:beforeLines="0" w:afterLines="0"/>
              <w:jc w:val="center"/>
              <w:rPr>
                <w:rFonts w:hint="default" w:ascii="Times New Roman" w:hAnsi="Times New Roman" w:cs="Times New Roman"/>
                <w:color w:val="auto"/>
                <w:sz w:val="24"/>
                <w:szCs w:val="24"/>
                <w:highlight w:val="none"/>
              </w:rPr>
            </w:pPr>
          </w:p>
        </w:tc>
      </w:tr>
      <w:tr w14:paraId="02384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trPr>
        <w:tc>
          <w:tcPr>
            <w:tcW w:w="1085" w:type="dxa"/>
            <w:tcBorders>
              <w:top w:val="single" w:color="auto" w:sz="4" w:space="0"/>
              <w:left w:val="single" w:color="auto" w:sz="4" w:space="0"/>
              <w:bottom w:val="single" w:color="auto" w:sz="4" w:space="0"/>
              <w:right w:val="single" w:color="auto" w:sz="4" w:space="0"/>
              <w:tl2br w:val="nil"/>
              <w:tr2bl w:val="nil"/>
            </w:tcBorders>
            <w:noWrap w:val="0"/>
            <w:vAlign w:val="top"/>
          </w:tcPr>
          <w:p w14:paraId="39E8B1EE">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33</w:t>
            </w:r>
          </w:p>
        </w:tc>
        <w:tc>
          <w:tcPr>
            <w:tcW w:w="2951" w:type="dxa"/>
            <w:tcBorders>
              <w:top w:val="single" w:color="auto" w:sz="4" w:space="0"/>
              <w:left w:val="single" w:color="auto" w:sz="4" w:space="0"/>
              <w:bottom w:val="single" w:color="auto" w:sz="4" w:space="0"/>
              <w:right w:val="single" w:color="auto" w:sz="4" w:space="0"/>
              <w:tl2br w:val="nil"/>
              <w:tr2bl w:val="nil"/>
            </w:tcBorders>
            <w:noWrap w:val="0"/>
            <w:vAlign w:val="top"/>
          </w:tcPr>
          <w:p w14:paraId="307BBE06">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2-氯酚</w:t>
            </w:r>
          </w:p>
        </w:tc>
        <w:tc>
          <w:tcPr>
            <w:tcW w:w="1578" w:type="dxa"/>
            <w:tcBorders>
              <w:top w:val="single" w:color="auto" w:sz="4" w:space="0"/>
              <w:left w:val="single" w:color="auto" w:sz="4" w:space="0"/>
              <w:bottom w:val="single" w:color="auto" w:sz="4" w:space="0"/>
              <w:right w:val="single" w:color="auto" w:sz="4" w:space="0"/>
              <w:tl2br w:val="nil"/>
              <w:tr2bl w:val="nil"/>
            </w:tcBorders>
            <w:noWrap w:val="0"/>
            <w:vAlign w:val="top"/>
          </w:tcPr>
          <w:p w14:paraId="33F49F6C">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2256</w:t>
            </w:r>
          </w:p>
        </w:tc>
        <w:tc>
          <w:tcPr>
            <w:tcW w:w="334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9C9AEA3">
            <w:pPr>
              <w:pStyle w:val="48"/>
              <w:spacing w:beforeLines="0" w:afterLines="0"/>
              <w:jc w:val="center"/>
              <w:rPr>
                <w:rFonts w:hint="default" w:ascii="Times New Roman" w:hAnsi="Times New Roman" w:cs="Times New Roman"/>
                <w:color w:val="auto"/>
                <w:sz w:val="24"/>
                <w:szCs w:val="24"/>
                <w:highlight w:val="none"/>
              </w:rPr>
            </w:pPr>
          </w:p>
        </w:tc>
      </w:tr>
      <w:tr w14:paraId="32384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85" w:type="dxa"/>
            <w:tcBorders>
              <w:top w:val="single" w:color="auto" w:sz="4" w:space="0"/>
              <w:left w:val="single" w:color="auto" w:sz="4" w:space="0"/>
              <w:bottom w:val="single" w:color="auto" w:sz="4" w:space="0"/>
              <w:right w:val="single" w:color="auto" w:sz="4" w:space="0"/>
              <w:tl2br w:val="nil"/>
              <w:tr2bl w:val="nil"/>
            </w:tcBorders>
            <w:noWrap w:val="0"/>
            <w:vAlign w:val="top"/>
          </w:tcPr>
          <w:p w14:paraId="1A93571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34</w:t>
            </w:r>
          </w:p>
        </w:tc>
        <w:tc>
          <w:tcPr>
            <w:tcW w:w="2951" w:type="dxa"/>
            <w:tcBorders>
              <w:top w:val="single" w:color="auto" w:sz="4" w:space="0"/>
              <w:left w:val="single" w:color="auto" w:sz="4" w:space="0"/>
              <w:bottom w:val="single" w:color="auto" w:sz="4" w:space="0"/>
              <w:right w:val="single" w:color="auto" w:sz="4" w:space="0"/>
              <w:tl2br w:val="nil"/>
              <w:tr2bl w:val="nil"/>
            </w:tcBorders>
            <w:noWrap w:val="0"/>
            <w:vAlign w:val="top"/>
          </w:tcPr>
          <w:p w14:paraId="77858CDD">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萘</w:t>
            </w:r>
          </w:p>
        </w:tc>
        <w:tc>
          <w:tcPr>
            <w:tcW w:w="1578" w:type="dxa"/>
            <w:tcBorders>
              <w:top w:val="single" w:color="auto" w:sz="4" w:space="0"/>
              <w:left w:val="single" w:color="auto" w:sz="4" w:space="0"/>
              <w:bottom w:val="single" w:color="auto" w:sz="4" w:space="0"/>
              <w:right w:val="single" w:color="auto" w:sz="4" w:space="0"/>
              <w:tl2br w:val="nil"/>
              <w:tr2bl w:val="nil"/>
            </w:tcBorders>
            <w:noWrap w:val="0"/>
            <w:vAlign w:val="top"/>
          </w:tcPr>
          <w:p w14:paraId="02004858">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70</w:t>
            </w:r>
          </w:p>
        </w:tc>
        <w:tc>
          <w:tcPr>
            <w:tcW w:w="334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495D89B0">
            <w:pPr>
              <w:pStyle w:val="48"/>
              <w:spacing w:beforeLines="0" w:afterLines="0"/>
              <w:jc w:val="center"/>
              <w:rPr>
                <w:rFonts w:hint="default" w:ascii="Times New Roman" w:hAnsi="Times New Roman" w:cs="Times New Roman"/>
                <w:color w:val="auto"/>
                <w:sz w:val="24"/>
                <w:szCs w:val="24"/>
                <w:highlight w:val="none"/>
              </w:rPr>
            </w:pPr>
          </w:p>
        </w:tc>
      </w:tr>
      <w:tr w14:paraId="01F8C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85" w:type="dxa"/>
            <w:tcBorders>
              <w:top w:val="single" w:color="auto" w:sz="4" w:space="0"/>
              <w:left w:val="single" w:color="auto" w:sz="4" w:space="0"/>
              <w:bottom w:val="single" w:color="auto" w:sz="4" w:space="0"/>
              <w:right w:val="single" w:color="auto" w:sz="4" w:space="0"/>
              <w:tl2br w:val="nil"/>
              <w:tr2bl w:val="nil"/>
            </w:tcBorders>
            <w:noWrap w:val="0"/>
            <w:vAlign w:val="top"/>
          </w:tcPr>
          <w:p w14:paraId="1EC13DA1">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35</w:t>
            </w:r>
          </w:p>
        </w:tc>
        <w:tc>
          <w:tcPr>
            <w:tcW w:w="2951" w:type="dxa"/>
            <w:tcBorders>
              <w:top w:val="single" w:color="auto" w:sz="4" w:space="0"/>
              <w:left w:val="single" w:color="auto" w:sz="4" w:space="0"/>
              <w:bottom w:val="single" w:color="auto" w:sz="4" w:space="0"/>
              <w:right w:val="single" w:color="auto" w:sz="4" w:space="0"/>
              <w:tl2br w:val="nil"/>
              <w:tr2bl w:val="nil"/>
            </w:tcBorders>
            <w:noWrap w:val="0"/>
            <w:vAlign w:val="top"/>
          </w:tcPr>
          <w:p w14:paraId="660146F4">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苯并(a)蒽</w:t>
            </w:r>
          </w:p>
        </w:tc>
        <w:tc>
          <w:tcPr>
            <w:tcW w:w="1578" w:type="dxa"/>
            <w:tcBorders>
              <w:top w:val="single" w:color="auto" w:sz="4" w:space="0"/>
              <w:left w:val="single" w:color="auto" w:sz="4" w:space="0"/>
              <w:bottom w:val="single" w:color="auto" w:sz="4" w:space="0"/>
              <w:right w:val="single" w:color="auto" w:sz="4" w:space="0"/>
              <w:tl2br w:val="nil"/>
              <w:tr2bl w:val="nil"/>
            </w:tcBorders>
            <w:noWrap w:val="0"/>
            <w:vAlign w:val="top"/>
          </w:tcPr>
          <w:p w14:paraId="5E7594D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15</w:t>
            </w:r>
          </w:p>
        </w:tc>
        <w:tc>
          <w:tcPr>
            <w:tcW w:w="334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0E3AC958">
            <w:pPr>
              <w:pStyle w:val="48"/>
              <w:spacing w:beforeLines="0" w:afterLines="0"/>
              <w:jc w:val="center"/>
              <w:rPr>
                <w:rFonts w:hint="default" w:ascii="Times New Roman" w:hAnsi="Times New Roman" w:cs="Times New Roman"/>
                <w:color w:val="auto"/>
                <w:sz w:val="24"/>
                <w:szCs w:val="24"/>
                <w:highlight w:val="none"/>
              </w:rPr>
            </w:pPr>
          </w:p>
        </w:tc>
      </w:tr>
      <w:tr w14:paraId="45449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85" w:type="dxa"/>
            <w:tcBorders>
              <w:top w:val="single" w:color="auto" w:sz="4" w:space="0"/>
              <w:left w:val="single" w:color="auto" w:sz="4" w:space="0"/>
              <w:bottom w:val="single" w:color="auto" w:sz="4" w:space="0"/>
              <w:right w:val="single" w:color="auto" w:sz="4" w:space="0"/>
              <w:tl2br w:val="nil"/>
              <w:tr2bl w:val="nil"/>
            </w:tcBorders>
            <w:noWrap w:val="0"/>
            <w:vAlign w:val="top"/>
          </w:tcPr>
          <w:p w14:paraId="0C321A4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36</w:t>
            </w:r>
          </w:p>
        </w:tc>
        <w:tc>
          <w:tcPr>
            <w:tcW w:w="2951" w:type="dxa"/>
            <w:tcBorders>
              <w:top w:val="single" w:color="auto" w:sz="4" w:space="0"/>
              <w:left w:val="single" w:color="auto" w:sz="4" w:space="0"/>
              <w:bottom w:val="single" w:color="auto" w:sz="4" w:space="0"/>
              <w:right w:val="single" w:color="auto" w:sz="4" w:space="0"/>
              <w:tl2br w:val="nil"/>
              <w:tr2bl w:val="nil"/>
            </w:tcBorders>
            <w:noWrap w:val="0"/>
            <w:vAlign w:val="top"/>
          </w:tcPr>
          <w:p w14:paraId="2413B016">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䓛</w:t>
            </w:r>
          </w:p>
        </w:tc>
        <w:tc>
          <w:tcPr>
            <w:tcW w:w="1578" w:type="dxa"/>
            <w:tcBorders>
              <w:top w:val="single" w:color="auto" w:sz="4" w:space="0"/>
              <w:left w:val="single" w:color="auto" w:sz="4" w:space="0"/>
              <w:bottom w:val="single" w:color="auto" w:sz="4" w:space="0"/>
              <w:right w:val="single" w:color="auto" w:sz="4" w:space="0"/>
              <w:tl2br w:val="nil"/>
              <w:tr2bl w:val="nil"/>
            </w:tcBorders>
            <w:noWrap w:val="0"/>
            <w:vAlign w:val="top"/>
          </w:tcPr>
          <w:p w14:paraId="1EFEB93E">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1293</w:t>
            </w:r>
          </w:p>
        </w:tc>
        <w:tc>
          <w:tcPr>
            <w:tcW w:w="334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5FEC9CB7">
            <w:pPr>
              <w:pStyle w:val="48"/>
              <w:spacing w:beforeLines="0" w:afterLines="0"/>
              <w:jc w:val="center"/>
              <w:rPr>
                <w:rFonts w:hint="default" w:ascii="Times New Roman" w:hAnsi="Times New Roman" w:cs="Times New Roman"/>
                <w:color w:val="auto"/>
                <w:sz w:val="24"/>
                <w:szCs w:val="24"/>
                <w:highlight w:val="none"/>
              </w:rPr>
            </w:pPr>
          </w:p>
        </w:tc>
      </w:tr>
      <w:tr w14:paraId="2BDBE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85" w:type="dxa"/>
            <w:tcBorders>
              <w:top w:val="single" w:color="auto" w:sz="4" w:space="0"/>
              <w:left w:val="single" w:color="auto" w:sz="4" w:space="0"/>
              <w:bottom w:val="single" w:color="auto" w:sz="4" w:space="0"/>
              <w:right w:val="single" w:color="auto" w:sz="4" w:space="0"/>
              <w:tl2br w:val="nil"/>
              <w:tr2bl w:val="nil"/>
            </w:tcBorders>
            <w:noWrap w:val="0"/>
            <w:vAlign w:val="top"/>
          </w:tcPr>
          <w:p w14:paraId="29C77E66">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37</w:t>
            </w:r>
          </w:p>
        </w:tc>
        <w:tc>
          <w:tcPr>
            <w:tcW w:w="2951" w:type="dxa"/>
            <w:tcBorders>
              <w:top w:val="single" w:color="auto" w:sz="4" w:space="0"/>
              <w:left w:val="single" w:color="auto" w:sz="4" w:space="0"/>
              <w:bottom w:val="single" w:color="auto" w:sz="4" w:space="0"/>
              <w:right w:val="single" w:color="auto" w:sz="4" w:space="0"/>
              <w:tl2br w:val="nil"/>
              <w:tr2bl w:val="nil"/>
            </w:tcBorders>
            <w:noWrap w:val="0"/>
            <w:vAlign w:val="top"/>
          </w:tcPr>
          <w:p w14:paraId="62FAB837">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苯并(b)荧蒽</w:t>
            </w:r>
          </w:p>
        </w:tc>
        <w:tc>
          <w:tcPr>
            <w:tcW w:w="1578" w:type="dxa"/>
            <w:tcBorders>
              <w:top w:val="single" w:color="auto" w:sz="4" w:space="0"/>
              <w:left w:val="single" w:color="auto" w:sz="4" w:space="0"/>
              <w:bottom w:val="single" w:color="auto" w:sz="4" w:space="0"/>
              <w:right w:val="single" w:color="auto" w:sz="4" w:space="0"/>
              <w:tl2br w:val="nil"/>
              <w:tr2bl w:val="nil"/>
            </w:tcBorders>
            <w:noWrap w:val="0"/>
            <w:vAlign w:val="top"/>
          </w:tcPr>
          <w:p w14:paraId="2CA5806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15</w:t>
            </w:r>
          </w:p>
        </w:tc>
        <w:tc>
          <w:tcPr>
            <w:tcW w:w="334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12C4F7D">
            <w:pPr>
              <w:pStyle w:val="48"/>
              <w:spacing w:beforeLines="0" w:afterLines="0"/>
              <w:jc w:val="center"/>
              <w:rPr>
                <w:rFonts w:hint="default" w:ascii="Times New Roman" w:hAnsi="Times New Roman" w:cs="Times New Roman"/>
                <w:color w:val="auto"/>
                <w:sz w:val="24"/>
                <w:szCs w:val="24"/>
                <w:highlight w:val="none"/>
              </w:rPr>
            </w:pPr>
          </w:p>
        </w:tc>
      </w:tr>
      <w:tr w14:paraId="6BFAD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85" w:type="dxa"/>
            <w:tcBorders>
              <w:top w:val="single" w:color="auto" w:sz="4" w:space="0"/>
              <w:left w:val="single" w:color="auto" w:sz="4" w:space="0"/>
              <w:bottom w:val="single" w:color="auto" w:sz="4" w:space="0"/>
              <w:right w:val="single" w:color="auto" w:sz="4" w:space="0"/>
              <w:tl2br w:val="nil"/>
              <w:tr2bl w:val="nil"/>
            </w:tcBorders>
            <w:noWrap w:val="0"/>
            <w:vAlign w:val="top"/>
          </w:tcPr>
          <w:p w14:paraId="41175F5C">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38</w:t>
            </w:r>
          </w:p>
        </w:tc>
        <w:tc>
          <w:tcPr>
            <w:tcW w:w="2951" w:type="dxa"/>
            <w:tcBorders>
              <w:top w:val="single" w:color="auto" w:sz="4" w:space="0"/>
              <w:left w:val="single" w:color="auto" w:sz="4" w:space="0"/>
              <w:bottom w:val="single" w:color="auto" w:sz="4" w:space="0"/>
              <w:right w:val="single" w:color="auto" w:sz="4" w:space="0"/>
              <w:tl2br w:val="nil"/>
              <w:tr2bl w:val="nil"/>
            </w:tcBorders>
            <w:noWrap w:val="0"/>
            <w:vAlign w:val="top"/>
          </w:tcPr>
          <w:p w14:paraId="586B2888">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苯并(k)荧蒽</w:t>
            </w:r>
          </w:p>
        </w:tc>
        <w:tc>
          <w:tcPr>
            <w:tcW w:w="1578" w:type="dxa"/>
            <w:tcBorders>
              <w:top w:val="single" w:color="auto" w:sz="4" w:space="0"/>
              <w:left w:val="single" w:color="auto" w:sz="4" w:space="0"/>
              <w:bottom w:val="single" w:color="auto" w:sz="4" w:space="0"/>
              <w:right w:val="single" w:color="auto" w:sz="4" w:space="0"/>
              <w:tl2br w:val="nil"/>
              <w:tr2bl w:val="nil"/>
            </w:tcBorders>
            <w:noWrap w:val="0"/>
            <w:vAlign w:val="top"/>
          </w:tcPr>
          <w:p w14:paraId="228EDA7B">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151</w:t>
            </w:r>
          </w:p>
        </w:tc>
        <w:tc>
          <w:tcPr>
            <w:tcW w:w="334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1AB73995">
            <w:pPr>
              <w:pStyle w:val="48"/>
              <w:spacing w:beforeLines="0" w:afterLines="0"/>
              <w:jc w:val="center"/>
              <w:rPr>
                <w:rFonts w:hint="default" w:ascii="Times New Roman" w:hAnsi="Times New Roman" w:cs="Times New Roman"/>
                <w:color w:val="auto"/>
                <w:sz w:val="24"/>
                <w:szCs w:val="24"/>
                <w:highlight w:val="none"/>
              </w:rPr>
            </w:pPr>
          </w:p>
        </w:tc>
      </w:tr>
      <w:tr w14:paraId="53026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85" w:type="dxa"/>
            <w:tcBorders>
              <w:top w:val="single" w:color="auto" w:sz="4" w:space="0"/>
              <w:left w:val="single" w:color="auto" w:sz="4" w:space="0"/>
              <w:bottom w:val="single" w:color="auto" w:sz="4" w:space="0"/>
              <w:right w:val="single" w:color="auto" w:sz="4" w:space="0"/>
              <w:tl2br w:val="nil"/>
              <w:tr2bl w:val="nil"/>
            </w:tcBorders>
            <w:noWrap w:val="0"/>
            <w:vAlign w:val="top"/>
          </w:tcPr>
          <w:p w14:paraId="5DC94A0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39</w:t>
            </w:r>
          </w:p>
        </w:tc>
        <w:tc>
          <w:tcPr>
            <w:tcW w:w="2951" w:type="dxa"/>
            <w:tcBorders>
              <w:top w:val="single" w:color="auto" w:sz="4" w:space="0"/>
              <w:left w:val="single" w:color="auto" w:sz="4" w:space="0"/>
              <w:bottom w:val="single" w:color="auto" w:sz="4" w:space="0"/>
              <w:right w:val="single" w:color="auto" w:sz="4" w:space="0"/>
              <w:tl2br w:val="nil"/>
              <w:tr2bl w:val="nil"/>
            </w:tcBorders>
            <w:noWrap w:val="0"/>
            <w:vAlign w:val="top"/>
          </w:tcPr>
          <w:p w14:paraId="310BCDC8">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苯并(a)芘</w:t>
            </w:r>
          </w:p>
        </w:tc>
        <w:tc>
          <w:tcPr>
            <w:tcW w:w="1578" w:type="dxa"/>
            <w:tcBorders>
              <w:top w:val="single" w:color="auto" w:sz="4" w:space="0"/>
              <w:left w:val="single" w:color="auto" w:sz="4" w:space="0"/>
              <w:bottom w:val="single" w:color="auto" w:sz="4" w:space="0"/>
              <w:right w:val="single" w:color="auto" w:sz="4" w:space="0"/>
              <w:tl2br w:val="nil"/>
              <w:tr2bl w:val="nil"/>
            </w:tcBorders>
            <w:noWrap w:val="0"/>
            <w:vAlign w:val="top"/>
          </w:tcPr>
          <w:p w14:paraId="651F4BB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1.5</w:t>
            </w:r>
          </w:p>
        </w:tc>
        <w:tc>
          <w:tcPr>
            <w:tcW w:w="334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05DC372E">
            <w:pPr>
              <w:pStyle w:val="48"/>
              <w:spacing w:beforeLines="0" w:afterLines="0"/>
              <w:jc w:val="center"/>
              <w:rPr>
                <w:rFonts w:hint="default" w:ascii="Times New Roman" w:hAnsi="Times New Roman" w:cs="Times New Roman"/>
                <w:color w:val="auto"/>
                <w:sz w:val="24"/>
                <w:szCs w:val="24"/>
                <w:highlight w:val="none"/>
              </w:rPr>
            </w:pPr>
          </w:p>
        </w:tc>
      </w:tr>
      <w:tr w14:paraId="5C394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85" w:type="dxa"/>
            <w:tcBorders>
              <w:top w:val="single" w:color="auto" w:sz="4" w:space="0"/>
              <w:left w:val="single" w:color="auto" w:sz="4" w:space="0"/>
              <w:bottom w:val="single" w:color="auto" w:sz="4" w:space="0"/>
              <w:right w:val="single" w:color="auto" w:sz="4" w:space="0"/>
              <w:tl2br w:val="nil"/>
              <w:tr2bl w:val="nil"/>
            </w:tcBorders>
            <w:noWrap w:val="0"/>
            <w:vAlign w:val="top"/>
          </w:tcPr>
          <w:p w14:paraId="44F5F883">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40</w:t>
            </w:r>
          </w:p>
        </w:tc>
        <w:tc>
          <w:tcPr>
            <w:tcW w:w="2951" w:type="dxa"/>
            <w:tcBorders>
              <w:top w:val="single" w:color="auto" w:sz="4" w:space="0"/>
              <w:left w:val="single" w:color="auto" w:sz="4" w:space="0"/>
              <w:bottom w:val="single" w:color="auto" w:sz="4" w:space="0"/>
              <w:right w:val="single" w:color="auto" w:sz="4" w:space="0"/>
              <w:tl2br w:val="nil"/>
              <w:tr2bl w:val="nil"/>
            </w:tcBorders>
            <w:noWrap w:val="0"/>
            <w:vAlign w:val="top"/>
          </w:tcPr>
          <w:p w14:paraId="79D2E5D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茚并(1,2,3-cd)芘</w:t>
            </w:r>
          </w:p>
        </w:tc>
        <w:tc>
          <w:tcPr>
            <w:tcW w:w="1578" w:type="dxa"/>
            <w:tcBorders>
              <w:top w:val="single" w:color="auto" w:sz="4" w:space="0"/>
              <w:left w:val="single" w:color="auto" w:sz="4" w:space="0"/>
              <w:bottom w:val="single" w:color="auto" w:sz="4" w:space="0"/>
              <w:right w:val="single" w:color="auto" w:sz="4" w:space="0"/>
              <w:tl2br w:val="nil"/>
              <w:tr2bl w:val="nil"/>
            </w:tcBorders>
            <w:noWrap w:val="0"/>
            <w:vAlign w:val="top"/>
          </w:tcPr>
          <w:p w14:paraId="1F7129B1">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15</w:t>
            </w:r>
          </w:p>
        </w:tc>
        <w:tc>
          <w:tcPr>
            <w:tcW w:w="334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72AD3B17">
            <w:pPr>
              <w:pStyle w:val="48"/>
              <w:spacing w:beforeLines="0" w:afterLines="0"/>
              <w:jc w:val="center"/>
              <w:rPr>
                <w:rFonts w:hint="default" w:ascii="Times New Roman" w:hAnsi="Times New Roman" w:cs="Times New Roman"/>
                <w:color w:val="auto"/>
                <w:sz w:val="24"/>
                <w:szCs w:val="24"/>
                <w:highlight w:val="none"/>
              </w:rPr>
            </w:pPr>
          </w:p>
        </w:tc>
      </w:tr>
      <w:tr w14:paraId="5909B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85" w:type="dxa"/>
            <w:tcBorders>
              <w:top w:val="single" w:color="auto" w:sz="4" w:space="0"/>
              <w:left w:val="single" w:color="auto" w:sz="4" w:space="0"/>
              <w:bottom w:val="single" w:color="auto" w:sz="4" w:space="0"/>
              <w:right w:val="single" w:color="auto" w:sz="4" w:space="0"/>
              <w:tl2br w:val="nil"/>
              <w:tr2bl w:val="nil"/>
            </w:tcBorders>
            <w:noWrap w:val="0"/>
            <w:vAlign w:val="top"/>
          </w:tcPr>
          <w:p w14:paraId="1C59AEDA">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41</w:t>
            </w:r>
          </w:p>
        </w:tc>
        <w:tc>
          <w:tcPr>
            <w:tcW w:w="2951" w:type="dxa"/>
            <w:tcBorders>
              <w:top w:val="single" w:color="auto" w:sz="4" w:space="0"/>
              <w:left w:val="single" w:color="auto" w:sz="4" w:space="0"/>
              <w:bottom w:val="single" w:color="auto" w:sz="4" w:space="0"/>
              <w:right w:val="single" w:color="auto" w:sz="4" w:space="0"/>
              <w:tl2br w:val="nil"/>
              <w:tr2bl w:val="nil"/>
            </w:tcBorders>
            <w:noWrap w:val="0"/>
            <w:vAlign w:val="top"/>
          </w:tcPr>
          <w:p w14:paraId="13BE707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硝基苯</w:t>
            </w:r>
          </w:p>
        </w:tc>
        <w:tc>
          <w:tcPr>
            <w:tcW w:w="1578" w:type="dxa"/>
            <w:tcBorders>
              <w:top w:val="single" w:color="auto" w:sz="4" w:space="0"/>
              <w:left w:val="single" w:color="auto" w:sz="4" w:space="0"/>
              <w:bottom w:val="single" w:color="auto" w:sz="4" w:space="0"/>
              <w:right w:val="single" w:color="auto" w:sz="4" w:space="0"/>
              <w:tl2br w:val="nil"/>
              <w:tr2bl w:val="nil"/>
            </w:tcBorders>
            <w:noWrap w:val="0"/>
            <w:vAlign w:val="top"/>
          </w:tcPr>
          <w:p w14:paraId="71832C9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76</w:t>
            </w:r>
          </w:p>
        </w:tc>
        <w:tc>
          <w:tcPr>
            <w:tcW w:w="334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4B46112">
            <w:pPr>
              <w:pStyle w:val="48"/>
              <w:spacing w:beforeLines="0" w:afterLines="0"/>
              <w:jc w:val="center"/>
              <w:rPr>
                <w:rFonts w:hint="default" w:ascii="Times New Roman" w:hAnsi="Times New Roman" w:cs="Times New Roman"/>
                <w:color w:val="auto"/>
                <w:sz w:val="24"/>
                <w:szCs w:val="24"/>
                <w:highlight w:val="none"/>
              </w:rPr>
            </w:pPr>
          </w:p>
        </w:tc>
      </w:tr>
      <w:tr w14:paraId="7CD84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85" w:type="dxa"/>
            <w:tcBorders>
              <w:top w:val="single" w:color="auto" w:sz="4" w:space="0"/>
              <w:left w:val="single" w:color="auto" w:sz="4" w:space="0"/>
              <w:bottom w:val="single" w:color="auto" w:sz="4" w:space="0"/>
              <w:right w:val="single" w:color="auto" w:sz="4" w:space="0"/>
              <w:tl2br w:val="nil"/>
              <w:tr2bl w:val="nil"/>
            </w:tcBorders>
            <w:noWrap w:val="0"/>
            <w:vAlign w:val="top"/>
          </w:tcPr>
          <w:p w14:paraId="740FD6EC">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42</w:t>
            </w:r>
          </w:p>
        </w:tc>
        <w:tc>
          <w:tcPr>
            <w:tcW w:w="2951" w:type="dxa"/>
            <w:tcBorders>
              <w:top w:val="single" w:color="auto" w:sz="4" w:space="0"/>
              <w:left w:val="single" w:color="auto" w:sz="4" w:space="0"/>
              <w:bottom w:val="single" w:color="auto" w:sz="4" w:space="0"/>
              <w:right w:val="single" w:color="auto" w:sz="4" w:space="0"/>
              <w:tl2br w:val="nil"/>
              <w:tr2bl w:val="nil"/>
            </w:tcBorders>
            <w:noWrap w:val="0"/>
            <w:vAlign w:val="top"/>
          </w:tcPr>
          <w:p w14:paraId="36B8BD5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1,4-二氯苯</w:t>
            </w:r>
          </w:p>
        </w:tc>
        <w:tc>
          <w:tcPr>
            <w:tcW w:w="1578" w:type="dxa"/>
            <w:tcBorders>
              <w:top w:val="single" w:color="auto" w:sz="4" w:space="0"/>
              <w:left w:val="single" w:color="auto" w:sz="4" w:space="0"/>
              <w:bottom w:val="single" w:color="auto" w:sz="4" w:space="0"/>
              <w:right w:val="single" w:color="auto" w:sz="4" w:space="0"/>
              <w:tl2br w:val="nil"/>
              <w:tr2bl w:val="nil"/>
            </w:tcBorders>
            <w:noWrap w:val="0"/>
            <w:vAlign w:val="top"/>
          </w:tcPr>
          <w:p w14:paraId="4FCA8B94">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20</w:t>
            </w:r>
          </w:p>
        </w:tc>
        <w:tc>
          <w:tcPr>
            <w:tcW w:w="334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57FEC7A7">
            <w:pPr>
              <w:pStyle w:val="48"/>
              <w:spacing w:beforeLines="0" w:afterLines="0"/>
              <w:jc w:val="center"/>
              <w:rPr>
                <w:rFonts w:hint="default" w:ascii="Times New Roman" w:hAnsi="Times New Roman" w:cs="Times New Roman"/>
                <w:color w:val="auto"/>
                <w:sz w:val="24"/>
                <w:szCs w:val="24"/>
                <w:highlight w:val="none"/>
              </w:rPr>
            </w:pPr>
          </w:p>
        </w:tc>
      </w:tr>
      <w:tr w14:paraId="7B592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85" w:type="dxa"/>
            <w:tcBorders>
              <w:top w:val="single" w:color="auto" w:sz="4" w:space="0"/>
              <w:left w:val="single" w:color="auto" w:sz="4" w:space="0"/>
              <w:bottom w:val="single" w:color="auto" w:sz="4" w:space="0"/>
              <w:right w:val="single" w:color="auto" w:sz="4" w:space="0"/>
              <w:tl2br w:val="nil"/>
              <w:tr2bl w:val="nil"/>
            </w:tcBorders>
            <w:noWrap w:val="0"/>
            <w:vAlign w:val="top"/>
          </w:tcPr>
          <w:p w14:paraId="30B2861D">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43</w:t>
            </w:r>
          </w:p>
        </w:tc>
        <w:tc>
          <w:tcPr>
            <w:tcW w:w="2951" w:type="dxa"/>
            <w:tcBorders>
              <w:top w:val="single" w:color="auto" w:sz="4" w:space="0"/>
              <w:left w:val="single" w:color="auto" w:sz="4" w:space="0"/>
              <w:bottom w:val="single" w:color="auto" w:sz="4" w:space="0"/>
              <w:right w:val="single" w:color="auto" w:sz="4" w:space="0"/>
              <w:tl2br w:val="nil"/>
              <w:tr2bl w:val="nil"/>
            </w:tcBorders>
            <w:noWrap w:val="0"/>
            <w:vAlign w:val="top"/>
          </w:tcPr>
          <w:p w14:paraId="5788A7B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1,2-二氯苯</w:t>
            </w:r>
          </w:p>
        </w:tc>
        <w:tc>
          <w:tcPr>
            <w:tcW w:w="1578" w:type="dxa"/>
            <w:tcBorders>
              <w:top w:val="single" w:color="auto" w:sz="4" w:space="0"/>
              <w:left w:val="single" w:color="auto" w:sz="4" w:space="0"/>
              <w:bottom w:val="single" w:color="auto" w:sz="4" w:space="0"/>
              <w:right w:val="single" w:color="auto" w:sz="4" w:space="0"/>
              <w:tl2br w:val="nil"/>
              <w:tr2bl w:val="nil"/>
            </w:tcBorders>
            <w:noWrap w:val="0"/>
            <w:vAlign w:val="top"/>
          </w:tcPr>
          <w:p w14:paraId="714FF614">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560</w:t>
            </w:r>
          </w:p>
        </w:tc>
        <w:tc>
          <w:tcPr>
            <w:tcW w:w="334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6F5A5BA3">
            <w:pPr>
              <w:pStyle w:val="48"/>
              <w:spacing w:beforeLines="0" w:afterLines="0"/>
              <w:jc w:val="center"/>
              <w:rPr>
                <w:rFonts w:hint="default" w:ascii="Times New Roman" w:hAnsi="Times New Roman" w:cs="Times New Roman"/>
                <w:color w:val="auto"/>
                <w:sz w:val="24"/>
                <w:szCs w:val="24"/>
                <w:highlight w:val="none"/>
              </w:rPr>
            </w:pPr>
          </w:p>
        </w:tc>
      </w:tr>
      <w:tr w14:paraId="1C886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85" w:type="dxa"/>
            <w:tcBorders>
              <w:top w:val="single" w:color="auto" w:sz="4" w:space="0"/>
              <w:left w:val="single" w:color="auto" w:sz="4" w:space="0"/>
              <w:bottom w:val="single" w:color="auto" w:sz="4" w:space="0"/>
              <w:right w:val="single" w:color="auto" w:sz="4" w:space="0"/>
              <w:tl2br w:val="nil"/>
              <w:tr2bl w:val="nil"/>
            </w:tcBorders>
            <w:noWrap w:val="0"/>
            <w:vAlign w:val="top"/>
          </w:tcPr>
          <w:p w14:paraId="358A3461">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44</w:t>
            </w:r>
          </w:p>
        </w:tc>
        <w:tc>
          <w:tcPr>
            <w:tcW w:w="2951" w:type="dxa"/>
            <w:tcBorders>
              <w:top w:val="single" w:color="auto" w:sz="4" w:space="0"/>
              <w:left w:val="single" w:color="auto" w:sz="4" w:space="0"/>
              <w:bottom w:val="single" w:color="auto" w:sz="4" w:space="0"/>
              <w:right w:val="single" w:color="auto" w:sz="4" w:space="0"/>
              <w:tl2br w:val="nil"/>
              <w:tr2bl w:val="nil"/>
            </w:tcBorders>
            <w:noWrap w:val="0"/>
            <w:vAlign w:val="top"/>
          </w:tcPr>
          <w:p w14:paraId="4DB73FFC">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苯胺</w:t>
            </w:r>
          </w:p>
        </w:tc>
        <w:tc>
          <w:tcPr>
            <w:tcW w:w="1578" w:type="dxa"/>
            <w:tcBorders>
              <w:top w:val="single" w:color="auto" w:sz="4" w:space="0"/>
              <w:left w:val="single" w:color="auto" w:sz="4" w:space="0"/>
              <w:bottom w:val="single" w:color="auto" w:sz="4" w:space="0"/>
              <w:right w:val="single" w:color="auto" w:sz="4" w:space="0"/>
              <w:tl2br w:val="nil"/>
              <w:tr2bl w:val="nil"/>
            </w:tcBorders>
            <w:noWrap w:val="0"/>
            <w:vAlign w:val="top"/>
          </w:tcPr>
          <w:p w14:paraId="4A63006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260</w:t>
            </w:r>
          </w:p>
        </w:tc>
        <w:tc>
          <w:tcPr>
            <w:tcW w:w="334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46092C07">
            <w:pPr>
              <w:pStyle w:val="48"/>
              <w:spacing w:beforeLines="0" w:afterLines="0"/>
              <w:jc w:val="center"/>
              <w:rPr>
                <w:rFonts w:hint="default" w:ascii="Times New Roman" w:hAnsi="Times New Roman" w:cs="Times New Roman"/>
                <w:color w:val="auto"/>
                <w:sz w:val="24"/>
                <w:szCs w:val="24"/>
                <w:highlight w:val="none"/>
              </w:rPr>
            </w:pPr>
          </w:p>
        </w:tc>
      </w:tr>
      <w:tr w14:paraId="11BB0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trPr>
        <w:tc>
          <w:tcPr>
            <w:tcW w:w="1085" w:type="dxa"/>
            <w:tcBorders>
              <w:top w:val="single" w:color="auto" w:sz="4" w:space="0"/>
              <w:left w:val="single" w:color="auto" w:sz="4" w:space="0"/>
              <w:bottom w:val="single" w:color="auto" w:sz="4" w:space="0"/>
              <w:right w:val="single" w:color="auto" w:sz="4" w:space="0"/>
              <w:tl2br w:val="nil"/>
              <w:tr2bl w:val="nil"/>
            </w:tcBorders>
            <w:noWrap w:val="0"/>
            <w:vAlign w:val="top"/>
          </w:tcPr>
          <w:p w14:paraId="33518DCC">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45</w:t>
            </w:r>
          </w:p>
        </w:tc>
        <w:tc>
          <w:tcPr>
            <w:tcW w:w="2951" w:type="dxa"/>
            <w:tcBorders>
              <w:top w:val="single" w:color="auto" w:sz="4" w:space="0"/>
              <w:left w:val="single" w:color="auto" w:sz="4" w:space="0"/>
              <w:bottom w:val="single" w:color="auto" w:sz="4" w:space="0"/>
              <w:right w:val="single" w:color="auto" w:sz="4" w:space="0"/>
              <w:tl2br w:val="nil"/>
              <w:tr2bl w:val="nil"/>
            </w:tcBorders>
            <w:noWrap w:val="0"/>
            <w:vAlign w:val="top"/>
          </w:tcPr>
          <w:p w14:paraId="1BF15FF5">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二苯并[a,h]蒽</w:t>
            </w:r>
          </w:p>
        </w:tc>
        <w:tc>
          <w:tcPr>
            <w:tcW w:w="1578" w:type="dxa"/>
            <w:tcBorders>
              <w:top w:val="single" w:color="auto" w:sz="4" w:space="0"/>
              <w:left w:val="single" w:color="auto" w:sz="4" w:space="0"/>
              <w:bottom w:val="single" w:color="auto" w:sz="4" w:space="0"/>
              <w:right w:val="single" w:color="auto" w:sz="4" w:space="0"/>
              <w:tl2br w:val="nil"/>
              <w:tr2bl w:val="nil"/>
            </w:tcBorders>
            <w:noWrap w:val="0"/>
            <w:vAlign w:val="top"/>
          </w:tcPr>
          <w:p w14:paraId="3BA42698">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1.5</w:t>
            </w:r>
          </w:p>
        </w:tc>
        <w:tc>
          <w:tcPr>
            <w:tcW w:w="334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7F1EBA51">
            <w:pPr>
              <w:pStyle w:val="48"/>
              <w:spacing w:beforeLines="0" w:afterLines="0"/>
              <w:jc w:val="center"/>
              <w:rPr>
                <w:rFonts w:hint="default" w:ascii="Times New Roman" w:hAnsi="Times New Roman" w:cs="Times New Roman"/>
                <w:color w:val="auto"/>
                <w:sz w:val="24"/>
                <w:szCs w:val="24"/>
                <w:highlight w:val="none"/>
              </w:rPr>
            </w:pPr>
          </w:p>
        </w:tc>
      </w:tr>
    </w:tbl>
    <w:p w14:paraId="5BD50B71">
      <w:pPr>
        <w:pStyle w:val="14"/>
        <w:kinsoku w:val="0"/>
        <w:overflowPunct w:val="0"/>
        <w:spacing w:before="1" w:beforeLines="0" w:afterLines="0"/>
        <w:ind w:left="0"/>
        <w:rPr>
          <w:rFonts w:hint="default" w:ascii="Times New Roman" w:hAnsi="Times New Roman" w:cs="Times New Roman"/>
          <w:color w:val="auto"/>
          <w:sz w:val="10"/>
          <w:szCs w:val="24"/>
          <w:highlight w:val="none"/>
        </w:rPr>
      </w:pPr>
    </w:p>
    <w:p w14:paraId="4B6D383C">
      <w:pPr>
        <w:pStyle w:val="45"/>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表 2.4-5</w:t>
      </w:r>
      <w:r>
        <w:rPr>
          <w:rFonts w:hint="default" w:ascii="Times New Roman" w:hAnsi="Times New Roman" w:cs="Times New Roman"/>
          <w:color w:val="auto"/>
          <w:sz w:val="24"/>
          <w:szCs w:val="24"/>
          <w:highlight w:val="none"/>
        </w:rPr>
        <w:tab/>
      </w:r>
      <w:r>
        <w:rPr>
          <w:rFonts w:hint="default" w:ascii="Times New Roman" w:hAnsi="Times New Roman" w:cs="Times New Roman"/>
          <w:color w:val="auto"/>
          <w:sz w:val="24"/>
          <w:szCs w:val="24"/>
          <w:highlight w:val="none"/>
        </w:rPr>
        <w:t>农用地土壤污染风险筛选值</w:t>
      </w:r>
      <w:r>
        <w:rPr>
          <w:rFonts w:hint="default" w:ascii="Times New Roman" w:hAnsi="Times New Roman" w:cs="Times New Roman"/>
          <w:color w:val="auto"/>
          <w:sz w:val="24"/>
          <w:szCs w:val="24"/>
          <w:highlight w:val="none"/>
        </w:rPr>
        <w:tab/>
      </w:r>
      <w:r>
        <w:rPr>
          <w:rFonts w:hint="default" w:ascii="Times New Roman" w:hAnsi="Times New Roman" w:cs="Times New Roman"/>
          <w:color w:val="auto"/>
          <w:sz w:val="24"/>
          <w:szCs w:val="24"/>
          <w:highlight w:val="none"/>
        </w:rPr>
        <w:t>单位：mg/kg</w:t>
      </w:r>
    </w:p>
    <w:tbl>
      <w:tblPr>
        <w:tblStyle w:val="31"/>
        <w:tblW w:w="0" w:type="auto"/>
        <w:tblInd w:w="2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7"/>
        <w:gridCol w:w="434"/>
        <w:gridCol w:w="978"/>
        <w:gridCol w:w="1174"/>
        <w:gridCol w:w="1511"/>
        <w:gridCol w:w="1379"/>
        <w:gridCol w:w="1260"/>
        <w:gridCol w:w="2004"/>
      </w:tblGrid>
      <w:tr w14:paraId="4F5864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427" w:type="dxa"/>
            <w:vMerge w:val="restart"/>
            <w:tcBorders>
              <w:tl2br w:val="nil"/>
              <w:tr2bl w:val="nil"/>
            </w:tcBorders>
            <w:noWrap w:val="0"/>
            <w:vAlign w:val="center"/>
          </w:tcPr>
          <w:p w14:paraId="09DB0D7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序号</w:t>
            </w:r>
          </w:p>
        </w:tc>
        <w:tc>
          <w:tcPr>
            <w:tcW w:w="1412" w:type="dxa"/>
            <w:gridSpan w:val="2"/>
            <w:vMerge w:val="restart"/>
            <w:tcBorders>
              <w:tl2br w:val="nil"/>
              <w:tr2bl w:val="nil"/>
            </w:tcBorders>
            <w:noWrap w:val="0"/>
            <w:vAlign w:val="center"/>
          </w:tcPr>
          <w:p w14:paraId="11348BD3">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污染物项目</w:t>
            </w:r>
          </w:p>
        </w:tc>
        <w:tc>
          <w:tcPr>
            <w:tcW w:w="5324" w:type="dxa"/>
            <w:gridSpan w:val="4"/>
            <w:tcBorders>
              <w:tl2br w:val="nil"/>
              <w:tr2bl w:val="nil"/>
            </w:tcBorders>
            <w:noWrap w:val="0"/>
            <w:vAlign w:val="center"/>
          </w:tcPr>
          <w:p w14:paraId="069D2DA7">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风险筛选值</w:t>
            </w:r>
          </w:p>
        </w:tc>
        <w:tc>
          <w:tcPr>
            <w:tcW w:w="2004" w:type="dxa"/>
            <w:vMerge w:val="restart"/>
            <w:tcBorders>
              <w:tl2br w:val="nil"/>
              <w:tr2bl w:val="nil"/>
            </w:tcBorders>
            <w:noWrap w:val="0"/>
            <w:vAlign w:val="center"/>
          </w:tcPr>
          <w:p w14:paraId="1CD67838">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标准来源</w:t>
            </w:r>
          </w:p>
        </w:tc>
      </w:tr>
      <w:tr w14:paraId="4EAA7E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427" w:type="dxa"/>
            <w:vMerge w:val="continue"/>
            <w:tcBorders>
              <w:tl2br w:val="nil"/>
              <w:tr2bl w:val="nil"/>
            </w:tcBorders>
            <w:noWrap w:val="0"/>
            <w:vAlign w:val="center"/>
          </w:tcPr>
          <w:p w14:paraId="22F43C9E">
            <w:pPr>
              <w:pStyle w:val="48"/>
              <w:spacing w:beforeLines="0" w:afterLines="0"/>
              <w:rPr>
                <w:rFonts w:hint="default" w:ascii="Times New Roman" w:hAnsi="Times New Roman" w:cs="Times New Roman"/>
                <w:color w:val="auto"/>
                <w:sz w:val="24"/>
                <w:szCs w:val="24"/>
                <w:highlight w:val="none"/>
              </w:rPr>
            </w:pPr>
          </w:p>
        </w:tc>
        <w:tc>
          <w:tcPr>
            <w:tcW w:w="1412" w:type="dxa"/>
            <w:gridSpan w:val="2"/>
            <w:vMerge w:val="continue"/>
            <w:tcBorders>
              <w:tl2br w:val="nil"/>
              <w:tr2bl w:val="nil"/>
            </w:tcBorders>
            <w:noWrap w:val="0"/>
            <w:vAlign w:val="center"/>
          </w:tcPr>
          <w:p w14:paraId="1BBE1A27">
            <w:pPr>
              <w:pStyle w:val="48"/>
              <w:spacing w:beforeLines="0" w:afterLines="0"/>
              <w:rPr>
                <w:rFonts w:hint="default" w:ascii="Times New Roman" w:hAnsi="Times New Roman" w:cs="Times New Roman"/>
                <w:color w:val="auto"/>
                <w:sz w:val="24"/>
                <w:szCs w:val="24"/>
                <w:highlight w:val="none"/>
              </w:rPr>
            </w:pPr>
          </w:p>
        </w:tc>
        <w:tc>
          <w:tcPr>
            <w:tcW w:w="1174" w:type="dxa"/>
            <w:tcBorders>
              <w:tl2br w:val="nil"/>
              <w:tr2bl w:val="nil"/>
            </w:tcBorders>
            <w:noWrap w:val="0"/>
            <w:vAlign w:val="center"/>
          </w:tcPr>
          <w:p w14:paraId="412B4B37">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pH≤5.5</w:t>
            </w:r>
          </w:p>
        </w:tc>
        <w:tc>
          <w:tcPr>
            <w:tcW w:w="1511" w:type="dxa"/>
            <w:tcBorders>
              <w:tl2br w:val="nil"/>
              <w:tr2bl w:val="nil"/>
            </w:tcBorders>
            <w:noWrap w:val="0"/>
            <w:vAlign w:val="center"/>
          </w:tcPr>
          <w:p w14:paraId="4BCED536">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5.5＜pH≤6.5</w:t>
            </w:r>
          </w:p>
        </w:tc>
        <w:tc>
          <w:tcPr>
            <w:tcW w:w="1379" w:type="dxa"/>
            <w:tcBorders>
              <w:tl2br w:val="nil"/>
              <w:tr2bl w:val="nil"/>
            </w:tcBorders>
            <w:noWrap w:val="0"/>
            <w:vAlign w:val="center"/>
          </w:tcPr>
          <w:p w14:paraId="62CB61AA">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6.5＜pH≤7.5</w:t>
            </w:r>
          </w:p>
        </w:tc>
        <w:tc>
          <w:tcPr>
            <w:tcW w:w="1260" w:type="dxa"/>
            <w:tcBorders>
              <w:tl2br w:val="nil"/>
              <w:tr2bl w:val="nil"/>
            </w:tcBorders>
            <w:noWrap w:val="0"/>
            <w:vAlign w:val="center"/>
          </w:tcPr>
          <w:p w14:paraId="31972C98">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pH＞7.5</w:t>
            </w:r>
          </w:p>
        </w:tc>
        <w:tc>
          <w:tcPr>
            <w:tcW w:w="2004" w:type="dxa"/>
            <w:vMerge w:val="continue"/>
            <w:tcBorders>
              <w:tl2br w:val="nil"/>
              <w:tr2bl w:val="nil"/>
            </w:tcBorders>
            <w:noWrap w:val="0"/>
            <w:vAlign w:val="center"/>
          </w:tcPr>
          <w:p w14:paraId="3CDD148D">
            <w:pPr>
              <w:pStyle w:val="48"/>
              <w:spacing w:beforeLines="0" w:afterLines="0"/>
              <w:rPr>
                <w:rFonts w:hint="default" w:ascii="Times New Roman" w:hAnsi="Times New Roman" w:cs="Times New Roman"/>
                <w:color w:val="auto"/>
                <w:sz w:val="24"/>
                <w:szCs w:val="24"/>
                <w:highlight w:val="none"/>
              </w:rPr>
            </w:pPr>
          </w:p>
        </w:tc>
      </w:tr>
      <w:tr w14:paraId="0864FF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7163" w:type="dxa"/>
            <w:gridSpan w:val="7"/>
            <w:tcBorders>
              <w:tl2br w:val="nil"/>
              <w:tr2bl w:val="nil"/>
            </w:tcBorders>
            <w:noWrap w:val="0"/>
            <w:vAlign w:val="center"/>
          </w:tcPr>
          <w:p w14:paraId="00A0FA9B">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一、基本项目</w:t>
            </w:r>
          </w:p>
        </w:tc>
        <w:tc>
          <w:tcPr>
            <w:tcW w:w="2004" w:type="dxa"/>
            <w:vMerge w:val="restart"/>
            <w:tcBorders>
              <w:tl2br w:val="nil"/>
              <w:tr2bl w:val="nil"/>
            </w:tcBorders>
            <w:noWrap w:val="0"/>
            <w:vAlign w:val="center"/>
          </w:tcPr>
          <w:p w14:paraId="7094E5F5">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《土壤环境质量 农用地土壤污染风险管控标准（试行）》</w:t>
            </w:r>
          </w:p>
          <w:p w14:paraId="4E277837">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（GB15618-2018）</w:t>
            </w:r>
          </w:p>
        </w:tc>
      </w:tr>
      <w:tr w14:paraId="5B5A4F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427" w:type="dxa"/>
            <w:tcBorders>
              <w:tl2br w:val="nil"/>
              <w:tr2bl w:val="nil"/>
            </w:tcBorders>
            <w:noWrap w:val="0"/>
            <w:vAlign w:val="center"/>
          </w:tcPr>
          <w:p w14:paraId="47D8BB27">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w:t>
            </w:r>
          </w:p>
        </w:tc>
        <w:tc>
          <w:tcPr>
            <w:tcW w:w="434" w:type="dxa"/>
            <w:tcBorders>
              <w:tl2br w:val="nil"/>
              <w:tr2bl w:val="nil"/>
            </w:tcBorders>
            <w:noWrap w:val="0"/>
            <w:vAlign w:val="center"/>
          </w:tcPr>
          <w:p w14:paraId="0AEB5B9E">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镉</w:t>
            </w:r>
          </w:p>
        </w:tc>
        <w:tc>
          <w:tcPr>
            <w:tcW w:w="978" w:type="dxa"/>
            <w:tcBorders>
              <w:tl2br w:val="nil"/>
              <w:tr2bl w:val="nil"/>
            </w:tcBorders>
            <w:noWrap w:val="0"/>
            <w:vAlign w:val="center"/>
          </w:tcPr>
          <w:p w14:paraId="313A1816">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其他</w:t>
            </w:r>
          </w:p>
        </w:tc>
        <w:tc>
          <w:tcPr>
            <w:tcW w:w="1174" w:type="dxa"/>
            <w:tcBorders>
              <w:tl2br w:val="nil"/>
              <w:tr2bl w:val="nil"/>
            </w:tcBorders>
            <w:noWrap w:val="0"/>
            <w:vAlign w:val="center"/>
          </w:tcPr>
          <w:p w14:paraId="264973D4">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0.3</w:t>
            </w:r>
          </w:p>
        </w:tc>
        <w:tc>
          <w:tcPr>
            <w:tcW w:w="1511" w:type="dxa"/>
            <w:tcBorders>
              <w:tl2br w:val="nil"/>
              <w:tr2bl w:val="nil"/>
            </w:tcBorders>
            <w:noWrap w:val="0"/>
            <w:vAlign w:val="center"/>
          </w:tcPr>
          <w:p w14:paraId="12CD4E78">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0.3</w:t>
            </w:r>
          </w:p>
        </w:tc>
        <w:tc>
          <w:tcPr>
            <w:tcW w:w="1379" w:type="dxa"/>
            <w:tcBorders>
              <w:tl2br w:val="nil"/>
              <w:tr2bl w:val="nil"/>
            </w:tcBorders>
            <w:noWrap w:val="0"/>
            <w:vAlign w:val="center"/>
          </w:tcPr>
          <w:p w14:paraId="176D0631">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0.3</w:t>
            </w:r>
          </w:p>
        </w:tc>
        <w:tc>
          <w:tcPr>
            <w:tcW w:w="1260" w:type="dxa"/>
            <w:tcBorders>
              <w:tl2br w:val="nil"/>
              <w:tr2bl w:val="nil"/>
            </w:tcBorders>
            <w:noWrap w:val="0"/>
            <w:vAlign w:val="center"/>
          </w:tcPr>
          <w:p w14:paraId="5C348A9C">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0.6</w:t>
            </w:r>
          </w:p>
        </w:tc>
        <w:tc>
          <w:tcPr>
            <w:tcW w:w="2004" w:type="dxa"/>
            <w:vMerge w:val="continue"/>
            <w:tcBorders>
              <w:tl2br w:val="nil"/>
              <w:tr2bl w:val="nil"/>
            </w:tcBorders>
            <w:noWrap w:val="0"/>
            <w:vAlign w:val="center"/>
          </w:tcPr>
          <w:p w14:paraId="104C4644">
            <w:pPr>
              <w:pStyle w:val="48"/>
              <w:spacing w:beforeLines="0" w:afterLines="0"/>
              <w:rPr>
                <w:rFonts w:hint="default" w:ascii="Times New Roman" w:hAnsi="Times New Roman" w:cs="Times New Roman"/>
                <w:color w:val="auto"/>
                <w:sz w:val="24"/>
                <w:szCs w:val="24"/>
                <w:highlight w:val="none"/>
              </w:rPr>
            </w:pPr>
          </w:p>
        </w:tc>
      </w:tr>
      <w:tr w14:paraId="369789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427" w:type="dxa"/>
            <w:tcBorders>
              <w:tl2br w:val="nil"/>
              <w:tr2bl w:val="nil"/>
            </w:tcBorders>
            <w:noWrap w:val="0"/>
            <w:vAlign w:val="center"/>
          </w:tcPr>
          <w:p w14:paraId="5475778C">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w:t>
            </w:r>
          </w:p>
        </w:tc>
        <w:tc>
          <w:tcPr>
            <w:tcW w:w="434" w:type="dxa"/>
            <w:tcBorders>
              <w:tl2br w:val="nil"/>
              <w:tr2bl w:val="nil"/>
            </w:tcBorders>
            <w:noWrap w:val="0"/>
            <w:vAlign w:val="center"/>
          </w:tcPr>
          <w:p w14:paraId="26E56295">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汞</w:t>
            </w:r>
          </w:p>
        </w:tc>
        <w:tc>
          <w:tcPr>
            <w:tcW w:w="978" w:type="dxa"/>
            <w:tcBorders>
              <w:tl2br w:val="nil"/>
              <w:tr2bl w:val="nil"/>
            </w:tcBorders>
            <w:noWrap w:val="0"/>
            <w:vAlign w:val="center"/>
          </w:tcPr>
          <w:p w14:paraId="17629FC8">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其他</w:t>
            </w:r>
          </w:p>
        </w:tc>
        <w:tc>
          <w:tcPr>
            <w:tcW w:w="1174" w:type="dxa"/>
            <w:tcBorders>
              <w:tl2br w:val="nil"/>
              <w:tr2bl w:val="nil"/>
            </w:tcBorders>
            <w:noWrap w:val="0"/>
            <w:vAlign w:val="center"/>
          </w:tcPr>
          <w:p w14:paraId="2B2CF4B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1.3</w:t>
            </w:r>
          </w:p>
        </w:tc>
        <w:tc>
          <w:tcPr>
            <w:tcW w:w="1511" w:type="dxa"/>
            <w:tcBorders>
              <w:tl2br w:val="nil"/>
              <w:tr2bl w:val="nil"/>
            </w:tcBorders>
            <w:noWrap w:val="0"/>
            <w:vAlign w:val="center"/>
          </w:tcPr>
          <w:p w14:paraId="10113566">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1.8</w:t>
            </w:r>
          </w:p>
        </w:tc>
        <w:tc>
          <w:tcPr>
            <w:tcW w:w="1379" w:type="dxa"/>
            <w:tcBorders>
              <w:tl2br w:val="nil"/>
              <w:tr2bl w:val="nil"/>
            </w:tcBorders>
            <w:noWrap w:val="0"/>
            <w:vAlign w:val="center"/>
          </w:tcPr>
          <w:p w14:paraId="11D57AEB">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2.4</w:t>
            </w:r>
          </w:p>
        </w:tc>
        <w:tc>
          <w:tcPr>
            <w:tcW w:w="1260" w:type="dxa"/>
            <w:tcBorders>
              <w:tl2br w:val="nil"/>
              <w:tr2bl w:val="nil"/>
            </w:tcBorders>
            <w:noWrap w:val="0"/>
            <w:vAlign w:val="center"/>
          </w:tcPr>
          <w:p w14:paraId="4469FF8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3.4</w:t>
            </w:r>
          </w:p>
        </w:tc>
        <w:tc>
          <w:tcPr>
            <w:tcW w:w="2004" w:type="dxa"/>
            <w:vMerge w:val="continue"/>
            <w:tcBorders>
              <w:tl2br w:val="nil"/>
              <w:tr2bl w:val="nil"/>
            </w:tcBorders>
            <w:noWrap w:val="0"/>
            <w:vAlign w:val="center"/>
          </w:tcPr>
          <w:p w14:paraId="0228EB69">
            <w:pPr>
              <w:pStyle w:val="48"/>
              <w:spacing w:beforeLines="0" w:afterLines="0"/>
              <w:rPr>
                <w:rFonts w:hint="default" w:ascii="Times New Roman" w:hAnsi="Times New Roman" w:cs="Times New Roman"/>
                <w:color w:val="auto"/>
                <w:sz w:val="24"/>
                <w:szCs w:val="24"/>
                <w:highlight w:val="none"/>
              </w:rPr>
            </w:pPr>
          </w:p>
        </w:tc>
      </w:tr>
      <w:tr w14:paraId="76EA9A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427" w:type="dxa"/>
            <w:tcBorders>
              <w:tl2br w:val="nil"/>
              <w:tr2bl w:val="nil"/>
            </w:tcBorders>
            <w:noWrap w:val="0"/>
            <w:vAlign w:val="center"/>
          </w:tcPr>
          <w:p w14:paraId="5BA0BF46">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w:t>
            </w:r>
          </w:p>
        </w:tc>
        <w:tc>
          <w:tcPr>
            <w:tcW w:w="434" w:type="dxa"/>
            <w:tcBorders>
              <w:tl2br w:val="nil"/>
              <w:tr2bl w:val="nil"/>
            </w:tcBorders>
            <w:noWrap w:val="0"/>
            <w:vAlign w:val="center"/>
          </w:tcPr>
          <w:p w14:paraId="16160313">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砷</w:t>
            </w:r>
          </w:p>
        </w:tc>
        <w:tc>
          <w:tcPr>
            <w:tcW w:w="978" w:type="dxa"/>
            <w:tcBorders>
              <w:tl2br w:val="nil"/>
              <w:tr2bl w:val="nil"/>
            </w:tcBorders>
            <w:noWrap w:val="0"/>
            <w:vAlign w:val="center"/>
          </w:tcPr>
          <w:p w14:paraId="28F074F6">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其他</w:t>
            </w:r>
          </w:p>
        </w:tc>
        <w:tc>
          <w:tcPr>
            <w:tcW w:w="1174" w:type="dxa"/>
            <w:tcBorders>
              <w:tl2br w:val="nil"/>
              <w:tr2bl w:val="nil"/>
            </w:tcBorders>
            <w:noWrap w:val="0"/>
            <w:vAlign w:val="center"/>
          </w:tcPr>
          <w:p w14:paraId="716F67D4">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40</w:t>
            </w:r>
          </w:p>
        </w:tc>
        <w:tc>
          <w:tcPr>
            <w:tcW w:w="1511" w:type="dxa"/>
            <w:tcBorders>
              <w:tl2br w:val="nil"/>
              <w:tr2bl w:val="nil"/>
            </w:tcBorders>
            <w:noWrap w:val="0"/>
            <w:vAlign w:val="center"/>
          </w:tcPr>
          <w:p w14:paraId="70C47CDD">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40</w:t>
            </w:r>
          </w:p>
        </w:tc>
        <w:tc>
          <w:tcPr>
            <w:tcW w:w="1379" w:type="dxa"/>
            <w:tcBorders>
              <w:tl2br w:val="nil"/>
              <w:tr2bl w:val="nil"/>
            </w:tcBorders>
            <w:noWrap w:val="0"/>
            <w:vAlign w:val="center"/>
          </w:tcPr>
          <w:p w14:paraId="2F8ADD33">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30</w:t>
            </w:r>
          </w:p>
        </w:tc>
        <w:tc>
          <w:tcPr>
            <w:tcW w:w="1260" w:type="dxa"/>
            <w:tcBorders>
              <w:tl2br w:val="nil"/>
              <w:tr2bl w:val="nil"/>
            </w:tcBorders>
            <w:noWrap w:val="0"/>
            <w:vAlign w:val="center"/>
          </w:tcPr>
          <w:p w14:paraId="6BC0BE88">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25</w:t>
            </w:r>
          </w:p>
        </w:tc>
        <w:tc>
          <w:tcPr>
            <w:tcW w:w="2004" w:type="dxa"/>
            <w:vMerge w:val="continue"/>
            <w:tcBorders>
              <w:tl2br w:val="nil"/>
              <w:tr2bl w:val="nil"/>
            </w:tcBorders>
            <w:noWrap w:val="0"/>
            <w:vAlign w:val="center"/>
          </w:tcPr>
          <w:p w14:paraId="57CDA7E3">
            <w:pPr>
              <w:pStyle w:val="48"/>
              <w:spacing w:beforeLines="0" w:afterLines="0"/>
              <w:rPr>
                <w:rFonts w:hint="default" w:ascii="Times New Roman" w:hAnsi="Times New Roman" w:cs="Times New Roman"/>
                <w:color w:val="auto"/>
                <w:sz w:val="24"/>
                <w:szCs w:val="24"/>
                <w:highlight w:val="none"/>
              </w:rPr>
            </w:pPr>
          </w:p>
        </w:tc>
      </w:tr>
      <w:tr w14:paraId="66F794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427" w:type="dxa"/>
            <w:tcBorders>
              <w:tl2br w:val="nil"/>
              <w:tr2bl w:val="nil"/>
            </w:tcBorders>
            <w:noWrap w:val="0"/>
            <w:vAlign w:val="center"/>
          </w:tcPr>
          <w:p w14:paraId="47BB682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w:t>
            </w:r>
          </w:p>
        </w:tc>
        <w:tc>
          <w:tcPr>
            <w:tcW w:w="434" w:type="dxa"/>
            <w:tcBorders>
              <w:tl2br w:val="nil"/>
              <w:tr2bl w:val="nil"/>
            </w:tcBorders>
            <w:noWrap w:val="0"/>
            <w:vAlign w:val="center"/>
          </w:tcPr>
          <w:p w14:paraId="681485D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铅</w:t>
            </w:r>
          </w:p>
        </w:tc>
        <w:tc>
          <w:tcPr>
            <w:tcW w:w="978" w:type="dxa"/>
            <w:tcBorders>
              <w:tl2br w:val="nil"/>
              <w:tr2bl w:val="nil"/>
            </w:tcBorders>
            <w:noWrap w:val="0"/>
            <w:vAlign w:val="center"/>
          </w:tcPr>
          <w:p w14:paraId="2CCBB56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其他</w:t>
            </w:r>
          </w:p>
        </w:tc>
        <w:tc>
          <w:tcPr>
            <w:tcW w:w="1174" w:type="dxa"/>
            <w:tcBorders>
              <w:tl2br w:val="nil"/>
              <w:tr2bl w:val="nil"/>
            </w:tcBorders>
            <w:noWrap w:val="0"/>
            <w:vAlign w:val="center"/>
          </w:tcPr>
          <w:p w14:paraId="49E3EB8C">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70</w:t>
            </w:r>
          </w:p>
        </w:tc>
        <w:tc>
          <w:tcPr>
            <w:tcW w:w="1511" w:type="dxa"/>
            <w:tcBorders>
              <w:tl2br w:val="nil"/>
              <w:tr2bl w:val="nil"/>
            </w:tcBorders>
            <w:noWrap w:val="0"/>
            <w:vAlign w:val="center"/>
          </w:tcPr>
          <w:p w14:paraId="19511FFA">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90</w:t>
            </w:r>
          </w:p>
        </w:tc>
        <w:tc>
          <w:tcPr>
            <w:tcW w:w="1379" w:type="dxa"/>
            <w:tcBorders>
              <w:tl2br w:val="nil"/>
              <w:tr2bl w:val="nil"/>
            </w:tcBorders>
            <w:noWrap w:val="0"/>
            <w:vAlign w:val="center"/>
          </w:tcPr>
          <w:p w14:paraId="78A0D4FD">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120</w:t>
            </w:r>
          </w:p>
        </w:tc>
        <w:tc>
          <w:tcPr>
            <w:tcW w:w="1260" w:type="dxa"/>
            <w:tcBorders>
              <w:tl2br w:val="nil"/>
              <w:tr2bl w:val="nil"/>
            </w:tcBorders>
            <w:noWrap w:val="0"/>
            <w:vAlign w:val="center"/>
          </w:tcPr>
          <w:p w14:paraId="53E944F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170</w:t>
            </w:r>
          </w:p>
        </w:tc>
        <w:tc>
          <w:tcPr>
            <w:tcW w:w="2004" w:type="dxa"/>
            <w:vMerge w:val="continue"/>
            <w:tcBorders>
              <w:tl2br w:val="nil"/>
              <w:tr2bl w:val="nil"/>
            </w:tcBorders>
            <w:noWrap w:val="0"/>
            <w:vAlign w:val="center"/>
          </w:tcPr>
          <w:p w14:paraId="2468943D">
            <w:pPr>
              <w:pStyle w:val="48"/>
              <w:spacing w:beforeLines="0" w:afterLines="0"/>
              <w:rPr>
                <w:rFonts w:hint="default" w:ascii="Times New Roman" w:hAnsi="Times New Roman" w:cs="Times New Roman"/>
                <w:color w:val="auto"/>
                <w:sz w:val="24"/>
                <w:szCs w:val="24"/>
                <w:highlight w:val="none"/>
              </w:rPr>
            </w:pPr>
          </w:p>
        </w:tc>
      </w:tr>
      <w:tr w14:paraId="752F9E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427" w:type="dxa"/>
            <w:tcBorders>
              <w:tl2br w:val="nil"/>
              <w:tr2bl w:val="nil"/>
            </w:tcBorders>
            <w:noWrap w:val="0"/>
            <w:vAlign w:val="center"/>
          </w:tcPr>
          <w:p w14:paraId="2C26C29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5</w:t>
            </w:r>
          </w:p>
        </w:tc>
        <w:tc>
          <w:tcPr>
            <w:tcW w:w="434" w:type="dxa"/>
            <w:tcBorders>
              <w:tl2br w:val="nil"/>
              <w:tr2bl w:val="nil"/>
            </w:tcBorders>
            <w:noWrap w:val="0"/>
            <w:vAlign w:val="center"/>
          </w:tcPr>
          <w:p w14:paraId="2C7F7F5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铬</w:t>
            </w:r>
          </w:p>
        </w:tc>
        <w:tc>
          <w:tcPr>
            <w:tcW w:w="978" w:type="dxa"/>
            <w:tcBorders>
              <w:tl2br w:val="nil"/>
              <w:tr2bl w:val="nil"/>
            </w:tcBorders>
            <w:noWrap w:val="0"/>
            <w:vAlign w:val="center"/>
          </w:tcPr>
          <w:p w14:paraId="4EA73724">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其他</w:t>
            </w:r>
          </w:p>
        </w:tc>
        <w:tc>
          <w:tcPr>
            <w:tcW w:w="1174" w:type="dxa"/>
            <w:tcBorders>
              <w:tl2br w:val="nil"/>
              <w:tr2bl w:val="nil"/>
            </w:tcBorders>
            <w:noWrap w:val="0"/>
            <w:vAlign w:val="center"/>
          </w:tcPr>
          <w:p w14:paraId="78E3FA81">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150</w:t>
            </w:r>
          </w:p>
        </w:tc>
        <w:tc>
          <w:tcPr>
            <w:tcW w:w="1511" w:type="dxa"/>
            <w:tcBorders>
              <w:tl2br w:val="nil"/>
              <w:tr2bl w:val="nil"/>
            </w:tcBorders>
            <w:noWrap w:val="0"/>
            <w:vAlign w:val="center"/>
          </w:tcPr>
          <w:p w14:paraId="5E309CC5">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150</w:t>
            </w:r>
          </w:p>
        </w:tc>
        <w:tc>
          <w:tcPr>
            <w:tcW w:w="1379" w:type="dxa"/>
            <w:tcBorders>
              <w:tl2br w:val="nil"/>
              <w:tr2bl w:val="nil"/>
            </w:tcBorders>
            <w:noWrap w:val="0"/>
            <w:vAlign w:val="center"/>
          </w:tcPr>
          <w:p w14:paraId="482E68D8">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200</w:t>
            </w:r>
          </w:p>
        </w:tc>
        <w:tc>
          <w:tcPr>
            <w:tcW w:w="1260" w:type="dxa"/>
            <w:tcBorders>
              <w:tl2br w:val="nil"/>
              <w:tr2bl w:val="nil"/>
            </w:tcBorders>
            <w:noWrap w:val="0"/>
            <w:vAlign w:val="center"/>
          </w:tcPr>
          <w:p w14:paraId="60943EA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250</w:t>
            </w:r>
          </w:p>
        </w:tc>
        <w:tc>
          <w:tcPr>
            <w:tcW w:w="2004" w:type="dxa"/>
            <w:vMerge w:val="continue"/>
            <w:tcBorders>
              <w:tl2br w:val="nil"/>
              <w:tr2bl w:val="nil"/>
            </w:tcBorders>
            <w:noWrap w:val="0"/>
            <w:vAlign w:val="center"/>
          </w:tcPr>
          <w:p w14:paraId="5C093F02">
            <w:pPr>
              <w:pStyle w:val="48"/>
              <w:spacing w:beforeLines="0" w:afterLines="0"/>
              <w:rPr>
                <w:rFonts w:hint="default" w:ascii="Times New Roman" w:hAnsi="Times New Roman" w:cs="Times New Roman"/>
                <w:color w:val="auto"/>
                <w:sz w:val="24"/>
                <w:szCs w:val="24"/>
                <w:highlight w:val="none"/>
              </w:rPr>
            </w:pPr>
          </w:p>
        </w:tc>
      </w:tr>
      <w:tr w14:paraId="2F0C9B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3" w:hRule="atLeast"/>
        </w:trPr>
        <w:tc>
          <w:tcPr>
            <w:tcW w:w="427" w:type="dxa"/>
            <w:tcBorders>
              <w:tl2br w:val="nil"/>
              <w:tr2bl w:val="nil"/>
            </w:tcBorders>
            <w:noWrap w:val="0"/>
            <w:vAlign w:val="center"/>
          </w:tcPr>
          <w:p w14:paraId="07F8EE71">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6</w:t>
            </w:r>
          </w:p>
        </w:tc>
        <w:tc>
          <w:tcPr>
            <w:tcW w:w="434" w:type="dxa"/>
            <w:tcBorders>
              <w:tl2br w:val="nil"/>
              <w:tr2bl w:val="nil"/>
            </w:tcBorders>
            <w:noWrap w:val="0"/>
            <w:vAlign w:val="center"/>
          </w:tcPr>
          <w:p w14:paraId="4921894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铜</w:t>
            </w:r>
          </w:p>
        </w:tc>
        <w:tc>
          <w:tcPr>
            <w:tcW w:w="978" w:type="dxa"/>
            <w:tcBorders>
              <w:tl2br w:val="nil"/>
              <w:tr2bl w:val="nil"/>
            </w:tcBorders>
            <w:noWrap w:val="0"/>
            <w:vAlign w:val="center"/>
          </w:tcPr>
          <w:p w14:paraId="178851F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其他</w:t>
            </w:r>
          </w:p>
        </w:tc>
        <w:tc>
          <w:tcPr>
            <w:tcW w:w="1174" w:type="dxa"/>
            <w:tcBorders>
              <w:tl2br w:val="nil"/>
              <w:tr2bl w:val="nil"/>
            </w:tcBorders>
            <w:noWrap w:val="0"/>
            <w:vAlign w:val="center"/>
          </w:tcPr>
          <w:p w14:paraId="2AB643CE">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50</w:t>
            </w:r>
          </w:p>
        </w:tc>
        <w:tc>
          <w:tcPr>
            <w:tcW w:w="1511" w:type="dxa"/>
            <w:tcBorders>
              <w:tl2br w:val="nil"/>
              <w:tr2bl w:val="nil"/>
            </w:tcBorders>
            <w:noWrap w:val="0"/>
            <w:vAlign w:val="center"/>
          </w:tcPr>
          <w:p w14:paraId="15FD4E4C">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50</w:t>
            </w:r>
          </w:p>
        </w:tc>
        <w:tc>
          <w:tcPr>
            <w:tcW w:w="1379" w:type="dxa"/>
            <w:tcBorders>
              <w:tl2br w:val="nil"/>
              <w:tr2bl w:val="nil"/>
            </w:tcBorders>
            <w:noWrap w:val="0"/>
            <w:vAlign w:val="center"/>
          </w:tcPr>
          <w:p w14:paraId="3EAF47C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100</w:t>
            </w:r>
          </w:p>
        </w:tc>
        <w:tc>
          <w:tcPr>
            <w:tcW w:w="1260" w:type="dxa"/>
            <w:tcBorders>
              <w:tl2br w:val="nil"/>
              <w:tr2bl w:val="nil"/>
            </w:tcBorders>
            <w:noWrap w:val="0"/>
            <w:vAlign w:val="center"/>
          </w:tcPr>
          <w:p w14:paraId="43B85AC1">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100</w:t>
            </w:r>
          </w:p>
        </w:tc>
        <w:tc>
          <w:tcPr>
            <w:tcW w:w="2004" w:type="dxa"/>
            <w:vMerge w:val="continue"/>
            <w:tcBorders>
              <w:tl2br w:val="nil"/>
              <w:tr2bl w:val="nil"/>
            </w:tcBorders>
            <w:noWrap w:val="0"/>
            <w:vAlign w:val="center"/>
          </w:tcPr>
          <w:p w14:paraId="49D14504">
            <w:pPr>
              <w:pStyle w:val="48"/>
              <w:spacing w:beforeLines="0" w:afterLines="0"/>
              <w:rPr>
                <w:rFonts w:hint="default" w:ascii="Times New Roman" w:hAnsi="Times New Roman" w:cs="Times New Roman"/>
                <w:color w:val="auto"/>
                <w:sz w:val="24"/>
                <w:szCs w:val="24"/>
                <w:highlight w:val="none"/>
              </w:rPr>
            </w:pPr>
          </w:p>
        </w:tc>
      </w:tr>
      <w:tr w14:paraId="6CDEA2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427" w:type="dxa"/>
            <w:tcBorders>
              <w:tl2br w:val="nil"/>
              <w:tr2bl w:val="nil"/>
            </w:tcBorders>
            <w:noWrap w:val="0"/>
            <w:vAlign w:val="center"/>
          </w:tcPr>
          <w:p w14:paraId="3AA1652E">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7</w:t>
            </w:r>
          </w:p>
        </w:tc>
        <w:tc>
          <w:tcPr>
            <w:tcW w:w="1412" w:type="dxa"/>
            <w:gridSpan w:val="2"/>
            <w:tcBorders>
              <w:tl2br w:val="nil"/>
              <w:tr2bl w:val="nil"/>
            </w:tcBorders>
            <w:noWrap w:val="0"/>
            <w:vAlign w:val="center"/>
          </w:tcPr>
          <w:p w14:paraId="267D6CF7">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镍</w:t>
            </w:r>
          </w:p>
        </w:tc>
        <w:tc>
          <w:tcPr>
            <w:tcW w:w="1174" w:type="dxa"/>
            <w:tcBorders>
              <w:tl2br w:val="nil"/>
              <w:tr2bl w:val="nil"/>
            </w:tcBorders>
            <w:noWrap w:val="0"/>
            <w:vAlign w:val="center"/>
          </w:tcPr>
          <w:p w14:paraId="08D78A7E">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60</w:t>
            </w:r>
          </w:p>
        </w:tc>
        <w:tc>
          <w:tcPr>
            <w:tcW w:w="1511" w:type="dxa"/>
            <w:tcBorders>
              <w:tl2br w:val="nil"/>
              <w:tr2bl w:val="nil"/>
            </w:tcBorders>
            <w:noWrap w:val="0"/>
            <w:vAlign w:val="center"/>
          </w:tcPr>
          <w:p w14:paraId="5A72799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70</w:t>
            </w:r>
          </w:p>
        </w:tc>
        <w:tc>
          <w:tcPr>
            <w:tcW w:w="1379" w:type="dxa"/>
            <w:tcBorders>
              <w:tl2br w:val="nil"/>
              <w:tr2bl w:val="nil"/>
            </w:tcBorders>
            <w:noWrap w:val="0"/>
            <w:vAlign w:val="center"/>
          </w:tcPr>
          <w:p w14:paraId="428BAC9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100</w:t>
            </w:r>
          </w:p>
        </w:tc>
        <w:tc>
          <w:tcPr>
            <w:tcW w:w="1260" w:type="dxa"/>
            <w:tcBorders>
              <w:tl2br w:val="nil"/>
              <w:tr2bl w:val="nil"/>
            </w:tcBorders>
            <w:noWrap w:val="0"/>
            <w:vAlign w:val="center"/>
          </w:tcPr>
          <w:p w14:paraId="429CC55C">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190</w:t>
            </w:r>
          </w:p>
        </w:tc>
        <w:tc>
          <w:tcPr>
            <w:tcW w:w="2004" w:type="dxa"/>
            <w:vMerge w:val="continue"/>
            <w:tcBorders>
              <w:tl2br w:val="nil"/>
              <w:tr2bl w:val="nil"/>
            </w:tcBorders>
            <w:noWrap w:val="0"/>
            <w:vAlign w:val="center"/>
          </w:tcPr>
          <w:p w14:paraId="662D0A28">
            <w:pPr>
              <w:pStyle w:val="48"/>
              <w:spacing w:beforeLines="0" w:afterLines="0"/>
              <w:rPr>
                <w:rFonts w:hint="default" w:ascii="Times New Roman" w:hAnsi="Times New Roman" w:cs="Times New Roman"/>
                <w:color w:val="auto"/>
                <w:sz w:val="24"/>
                <w:szCs w:val="24"/>
                <w:highlight w:val="none"/>
              </w:rPr>
            </w:pPr>
          </w:p>
        </w:tc>
      </w:tr>
      <w:tr w14:paraId="7F3753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427" w:type="dxa"/>
            <w:tcBorders>
              <w:tl2br w:val="nil"/>
              <w:tr2bl w:val="nil"/>
            </w:tcBorders>
            <w:noWrap w:val="0"/>
            <w:vAlign w:val="center"/>
          </w:tcPr>
          <w:p w14:paraId="629B45BC">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8</w:t>
            </w:r>
          </w:p>
        </w:tc>
        <w:tc>
          <w:tcPr>
            <w:tcW w:w="1412" w:type="dxa"/>
            <w:gridSpan w:val="2"/>
            <w:tcBorders>
              <w:tl2br w:val="nil"/>
              <w:tr2bl w:val="nil"/>
            </w:tcBorders>
            <w:noWrap w:val="0"/>
            <w:vAlign w:val="center"/>
          </w:tcPr>
          <w:p w14:paraId="303A06FD">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锌</w:t>
            </w:r>
          </w:p>
        </w:tc>
        <w:tc>
          <w:tcPr>
            <w:tcW w:w="1174" w:type="dxa"/>
            <w:tcBorders>
              <w:tl2br w:val="nil"/>
              <w:tr2bl w:val="nil"/>
            </w:tcBorders>
            <w:noWrap w:val="0"/>
            <w:vAlign w:val="center"/>
          </w:tcPr>
          <w:p w14:paraId="49268026">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200</w:t>
            </w:r>
          </w:p>
        </w:tc>
        <w:tc>
          <w:tcPr>
            <w:tcW w:w="1511" w:type="dxa"/>
            <w:tcBorders>
              <w:tl2br w:val="nil"/>
              <w:tr2bl w:val="nil"/>
            </w:tcBorders>
            <w:noWrap w:val="0"/>
            <w:vAlign w:val="center"/>
          </w:tcPr>
          <w:p w14:paraId="2258FC8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200</w:t>
            </w:r>
          </w:p>
        </w:tc>
        <w:tc>
          <w:tcPr>
            <w:tcW w:w="1379" w:type="dxa"/>
            <w:tcBorders>
              <w:tl2br w:val="nil"/>
              <w:tr2bl w:val="nil"/>
            </w:tcBorders>
            <w:noWrap w:val="0"/>
            <w:vAlign w:val="center"/>
          </w:tcPr>
          <w:p w14:paraId="01ECDF0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250</w:t>
            </w:r>
          </w:p>
        </w:tc>
        <w:tc>
          <w:tcPr>
            <w:tcW w:w="1260" w:type="dxa"/>
            <w:tcBorders>
              <w:tl2br w:val="nil"/>
              <w:tr2bl w:val="nil"/>
            </w:tcBorders>
            <w:noWrap w:val="0"/>
            <w:vAlign w:val="center"/>
          </w:tcPr>
          <w:p w14:paraId="1C4C32A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300</w:t>
            </w:r>
          </w:p>
        </w:tc>
        <w:tc>
          <w:tcPr>
            <w:tcW w:w="2004" w:type="dxa"/>
            <w:vMerge w:val="continue"/>
            <w:tcBorders>
              <w:tl2br w:val="nil"/>
              <w:tr2bl w:val="nil"/>
            </w:tcBorders>
            <w:noWrap w:val="0"/>
            <w:vAlign w:val="center"/>
          </w:tcPr>
          <w:p w14:paraId="06E4E9A7">
            <w:pPr>
              <w:pStyle w:val="48"/>
              <w:spacing w:beforeLines="0" w:afterLines="0"/>
              <w:rPr>
                <w:rFonts w:hint="default" w:ascii="Times New Roman" w:hAnsi="Times New Roman" w:cs="Times New Roman"/>
                <w:color w:val="auto"/>
                <w:sz w:val="24"/>
                <w:szCs w:val="24"/>
                <w:highlight w:val="none"/>
              </w:rPr>
            </w:pPr>
          </w:p>
        </w:tc>
      </w:tr>
    </w:tbl>
    <w:p w14:paraId="583BA09B">
      <w:pPr>
        <w:pStyle w:val="14"/>
        <w:kinsoku w:val="0"/>
        <w:overflowPunct w:val="0"/>
        <w:spacing w:before="3" w:beforeLines="0" w:afterLines="0"/>
        <w:ind w:left="0"/>
        <w:rPr>
          <w:rFonts w:hint="default" w:ascii="Times New Roman" w:hAnsi="Times New Roman" w:eastAsia="Times New Roman" w:cs="Times New Roman"/>
          <w:b/>
          <w:color w:val="auto"/>
          <w:sz w:val="12"/>
          <w:szCs w:val="24"/>
          <w:highlight w:val="none"/>
        </w:rPr>
      </w:pPr>
    </w:p>
    <w:p w14:paraId="2A5BDCD2">
      <w:pPr>
        <w:pStyle w:val="4"/>
        <w:bidi w:val="0"/>
        <w:rPr>
          <w:rFonts w:hint="default"/>
        </w:rPr>
      </w:pPr>
      <w:bookmarkStart w:id="83" w:name="2.4.3污染物排放标准"/>
      <w:bookmarkEnd w:id="83"/>
      <w:r>
        <w:rPr>
          <w:rFonts w:hint="default"/>
        </w:rPr>
        <w:t>污染物排放标准</w:t>
      </w:r>
    </w:p>
    <w:p w14:paraId="119D75A7">
      <w:pPr>
        <w:numPr>
          <w:ilvl w:val="0"/>
          <w:numId w:val="17"/>
        </w:numPr>
        <w:spacing w:beforeLines="0" w:afterLines="0"/>
        <w:ind w:firstLine="5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废气</w:t>
      </w:r>
    </w:p>
    <w:p w14:paraId="731B18C3">
      <w:pPr>
        <w:numPr>
          <w:ilvl w:val="0"/>
          <w:numId w:val="0"/>
        </w:numPr>
        <w:spacing w:beforeLines="0" w:afterLines="0"/>
        <w:ind w:firstLine="480"/>
        <w:rPr>
          <w:rFonts w:hint="default" w:ascii="Times New Roman" w:hAnsi="Times New Roman" w:cs="Times New Roman"/>
          <w:color w:val="auto"/>
          <w:sz w:val="24"/>
          <w:szCs w:val="24"/>
          <w:highlight w:val="none"/>
        </w:rPr>
      </w:pPr>
      <w:r>
        <w:rPr>
          <w:rFonts w:hint="eastAsia" w:cs="Times New Roman"/>
          <w:color w:val="auto"/>
          <w:sz w:val="24"/>
          <w:szCs w:val="24"/>
          <w:highlight w:val="none"/>
          <w:lang w:val="en-US" w:eastAsia="zh-CN"/>
        </w:rPr>
        <w:t>本项目废气污染源分为有组织排放源和无组织排放源，排放</w:t>
      </w:r>
      <w:r>
        <w:rPr>
          <w:rFonts w:hint="default" w:ascii="Times New Roman" w:hAnsi="Times New Roman" w:cs="Times New Roman"/>
          <w:color w:val="auto"/>
          <w:sz w:val="24"/>
          <w:szCs w:val="24"/>
          <w:highlight w:val="none"/>
        </w:rPr>
        <w:t>标准值见表2.4-6。</w:t>
      </w:r>
    </w:p>
    <w:p w14:paraId="258C9A73">
      <w:pPr>
        <w:pStyle w:val="45"/>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表2.4-6</w:t>
      </w:r>
      <w:r>
        <w:rPr>
          <w:rFonts w:hint="default" w:ascii="Times New Roman" w:hAnsi="Times New Roman" w:cs="Times New Roman"/>
          <w:color w:val="auto"/>
          <w:sz w:val="24"/>
          <w:szCs w:val="24"/>
          <w:highlight w:val="none"/>
        </w:rPr>
        <w:tab/>
      </w:r>
      <w:r>
        <w:rPr>
          <w:rFonts w:hint="default" w:ascii="Times New Roman" w:hAnsi="Times New Roman" w:cs="Times New Roman"/>
          <w:color w:val="auto"/>
          <w:sz w:val="24"/>
          <w:szCs w:val="24"/>
          <w:highlight w:val="none"/>
        </w:rPr>
        <w:t>大气污染物排放标准</w:t>
      </w:r>
    </w:p>
    <w:tbl>
      <w:tblPr>
        <w:tblStyle w:val="31"/>
        <w:tblW w:w="499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7"/>
        <w:gridCol w:w="973"/>
        <w:gridCol w:w="1317"/>
        <w:gridCol w:w="972"/>
        <w:gridCol w:w="900"/>
        <w:gridCol w:w="4393"/>
      </w:tblGrid>
      <w:tr w14:paraId="6CAC4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21" w:type="pct"/>
            <w:gridSpan w:val="3"/>
            <w:tcBorders>
              <w:top w:val="single" w:color="auto" w:sz="4" w:space="0"/>
              <w:left w:val="single" w:color="auto" w:sz="4" w:space="0"/>
              <w:bottom w:val="single" w:color="auto" w:sz="4" w:space="0"/>
              <w:right w:val="single" w:color="auto" w:sz="4" w:space="0"/>
              <w:tl2br w:val="nil"/>
              <w:tr2bl w:val="nil"/>
            </w:tcBorders>
            <w:noWrap w:val="0"/>
            <w:vAlign w:val="center"/>
          </w:tcPr>
          <w:p w14:paraId="614E684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污染物</w:t>
            </w:r>
          </w:p>
        </w:tc>
        <w:tc>
          <w:tcPr>
            <w:tcW w:w="52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3C4E9A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标准值</w:t>
            </w:r>
          </w:p>
        </w:tc>
        <w:tc>
          <w:tcPr>
            <w:tcW w:w="48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E463EC7">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单位</w:t>
            </w:r>
          </w:p>
        </w:tc>
        <w:tc>
          <w:tcPr>
            <w:tcW w:w="236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4E39797">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执行标准</w:t>
            </w:r>
          </w:p>
        </w:tc>
      </w:tr>
      <w:tr w14:paraId="12A01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6"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1BAA512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有组织排放源</w:t>
            </w:r>
          </w:p>
        </w:tc>
        <w:tc>
          <w:tcPr>
            <w:tcW w:w="52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2761FAA">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筛分排气筒</w:t>
            </w:r>
          </w:p>
        </w:tc>
        <w:tc>
          <w:tcPr>
            <w:tcW w:w="71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2B4F5B3">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颗粒物</w:t>
            </w:r>
          </w:p>
        </w:tc>
        <w:tc>
          <w:tcPr>
            <w:tcW w:w="52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E647C0B">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120</w:t>
            </w:r>
          </w:p>
        </w:tc>
        <w:tc>
          <w:tcPr>
            <w:tcW w:w="48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BDC5081">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mg/m</w:t>
            </w:r>
            <w:r>
              <w:rPr>
                <w:rFonts w:hint="default" w:ascii="Times New Roman" w:hAnsi="Times New Roman" w:cs="Times New Roman"/>
                <w:color w:val="auto"/>
                <w:sz w:val="24"/>
                <w:szCs w:val="24"/>
                <w:highlight w:val="none"/>
                <w:vertAlign w:val="superscript"/>
              </w:rPr>
              <w:t>3</w:t>
            </w:r>
          </w:p>
        </w:tc>
        <w:tc>
          <w:tcPr>
            <w:tcW w:w="236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AD68DAC">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《大气污染物综合排放标准》（GB16297-1996）表2新污染源大气污染物二级标准</w:t>
            </w:r>
          </w:p>
        </w:tc>
      </w:tr>
      <w:tr w14:paraId="4D8D4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386"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5C8C53BC">
            <w:pPr>
              <w:pStyle w:val="48"/>
              <w:spacing w:beforeLines="0" w:afterLines="0"/>
              <w:rPr>
                <w:rFonts w:hint="default" w:ascii="Times New Roman" w:hAnsi="Times New Roman" w:cs="Times New Roman"/>
                <w:color w:val="auto"/>
                <w:sz w:val="24"/>
                <w:szCs w:val="24"/>
                <w:highlight w:val="none"/>
                <w:lang w:val="en-US" w:eastAsia="zh-CN"/>
              </w:rPr>
            </w:pPr>
          </w:p>
        </w:tc>
        <w:tc>
          <w:tcPr>
            <w:tcW w:w="52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8071706">
            <w:pPr>
              <w:pStyle w:val="48"/>
              <w:spacing w:beforeLines="0" w:afterLines="0"/>
              <w:rPr>
                <w:rFonts w:hint="default" w:ascii="Times New Roman" w:hAnsi="Times New Roman" w:cs="Times New Roman"/>
                <w:color w:val="00B050"/>
                <w:sz w:val="24"/>
                <w:szCs w:val="24"/>
                <w:highlight w:val="none"/>
                <w:lang w:val="en-US" w:eastAsia="zh-CN"/>
              </w:rPr>
            </w:pPr>
            <w:r>
              <w:rPr>
                <w:rFonts w:hint="default" w:ascii="Times New Roman" w:hAnsi="Times New Roman" w:cs="Times New Roman"/>
                <w:color w:val="00B050"/>
                <w:sz w:val="24"/>
                <w:szCs w:val="24"/>
                <w:highlight w:val="none"/>
                <w:lang w:val="en-US" w:eastAsia="zh-CN"/>
              </w:rPr>
              <w:t>烘干炉废气排气筒</w:t>
            </w:r>
          </w:p>
        </w:tc>
        <w:tc>
          <w:tcPr>
            <w:tcW w:w="710" w:type="pct"/>
            <w:tcBorders>
              <w:top w:val="single" w:color="auto" w:sz="4" w:space="0"/>
              <w:left w:val="single" w:color="auto" w:sz="4" w:space="0"/>
              <w:right w:val="single" w:color="auto" w:sz="4" w:space="0"/>
              <w:tl2br w:val="nil"/>
              <w:tr2bl w:val="nil"/>
            </w:tcBorders>
            <w:noWrap w:val="0"/>
            <w:vAlign w:val="center"/>
          </w:tcPr>
          <w:p w14:paraId="39E5A95C">
            <w:pPr>
              <w:pStyle w:val="48"/>
              <w:spacing w:beforeLines="0" w:afterLines="0"/>
              <w:rPr>
                <w:rFonts w:hint="default" w:ascii="Times New Roman" w:hAnsi="Times New Roman" w:cs="Times New Roman"/>
                <w:color w:val="00B050"/>
                <w:sz w:val="24"/>
                <w:szCs w:val="24"/>
                <w:highlight w:val="none"/>
              </w:rPr>
            </w:pPr>
            <w:r>
              <w:rPr>
                <w:rFonts w:hint="default" w:ascii="Times New Roman" w:hAnsi="Times New Roman" w:cs="Times New Roman"/>
                <w:color w:val="00B050"/>
                <w:sz w:val="24"/>
                <w:szCs w:val="24"/>
                <w:highlight w:val="none"/>
              </w:rPr>
              <w:t>颗粒物</w:t>
            </w:r>
          </w:p>
        </w:tc>
        <w:tc>
          <w:tcPr>
            <w:tcW w:w="524" w:type="pct"/>
            <w:tcBorders>
              <w:top w:val="single" w:color="auto" w:sz="4" w:space="0"/>
              <w:left w:val="single" w:color="auto" w:sz="4" w:space="0"/>
              <w:right w:val="single" w:color="auto" w:sz="4" w:space="0"/>
              <w:tl2br w:val="nil"/>
              <w:tr2bl w:val="nil"/>
            </w:tcBorders>
            <w:noWrap w:val="0"/>
            <w:vAlign w:val="center"/>
          </w:tcPr>
          <w:p w14:paraId="66F0EC25">
            <w:pPr>
              <w:pStyle w:val="48"/>
              <w:spacing w:beforeLines="0" w:afterLines="0"/>
              <w:rPr>
                <w:rFonts w:hint="default" w:ascii="Times New Roman" w:hAnsi="Times New Roman" w:cs="Times New Roman"/>
                <w:color w:val="00B050"/>
                <w:sz w:val="24"/>
                <w:szCs w:val="24"/>
                <w:highlight w:val="none"/>
              </w:rPr>
            </w:pPr>
            <w:r>
              <w:rPr>
                <w:rFonts w:hint="default" w:ascii="Times New Roman" w:hAnsi="Times New Roman" w:cs="Times New Roman"/>
                <w:color w:val="00B050"/>
                <w:sz w:val="24"/>
                <w:szCs w:val="24"/>
                <w:highlight w:val="none"/>
              </w:rPr>
              <w:t>30</w:t>
            </w:r>
          </w:p>
        </w:tc>
        <w:tc>
          <w:tcPr>
            <w:tcW w:w="48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75CA084">
            <w:pPr>
              <w:pStyle w:val="48"/>
              <w:spacing w:beforeLines="0" w:afterLines="0"/>
              <w:rPr>
                <w:rFonts w:hint="default" w:ascii="Times New Roman" w:hAnsi="Times New Roman" w:cs="Times New Roman"/>
                <w:color w:val="00B050"/>
                <w:sz w:val="24"/>
                <w:szCs w:val="24"/>
                <w:highlight w:val="none"/>
              </w:rPr>
            </w:pPr>
            <w:r>
              <w:rPr>
                <w:rFonts w:hint="default" w:ascii="Times New Roman" w:hAnsi="Times New Roman" w:cs="Times New Roman"/>
                <w:color w:val="00B050"/>
                <w:sz w:val="24"/>
                <w:szCs w:val="24"/>
                <w:highlight w:val="none"/>
              </w:rPr>
              <w:t>mg/m</w:t>
            </w:r>
            <w:r>
              <w:rPr>
                <w:rFonts w:hint="default" w:ascii="Times New Roman" w:hAnsi="Times New Roman" w:cs="Times New Roman"/>
                <w:color w:val="00B050"/>
                <w:sz w:val="24"/>
                <w:szCs w:val="24"/>
                <w:highlight w:val="none"/>
                <w:vertAlign w:val="superscript"/>
              </w:rPr>
              <w:t>3</w:t>
            </w:r>
          </w:p>
        </w:tc>
        <w:tc>
          <w:tcPr>
            <w:tcW w:w="236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B7D49DA">
            <w:pPr>
              <w:pStyle w:val="48"/>
              <w:spacing w:beforeLines="0" w:afterLines="0"/>
              <w:rPr>
                <w:rFonts w:hint="default" w:ascii="Times New Roman" w:hAnsi="Times New Roman" w:cs="Times New Roman"/>
                <w:color w:val="00B050"/>
                <w:sz w:val="24"/>
                <w:szCs w:val="24"/>
                <w:highlight w:val="none"/>
              </w:rPr>
            </w:pPr>
            <w:r>
              <w:rPr>
                <w:rFonts w:hint="default" w:ascii="Times New Roman" w:hAnsi="Times New Roman" w:cs="Times New Roman"/>
                <w:color w:val="00B050"/>
                <w:sz w:val="24"/>
                <w:szCs w:val="24"/>
                <w:highlight w:val="none"/>
              </w:rPr>
              <w:t>《</w:t>
            </w:r>
            <w:r>
              <w:rPr>
                <w:rFonts w:hint="default" w:ascii="Times New Roman" w:hAnsi="Times New Roman" w:cs="Times New Roman"/>
                <w:color w:val="00B050"/>
                <w:sz w:val="24"/>
                <w:szCs w:val="24"/>
                <w:highlight w:val="none"/>
                <w:lang w:val="en-US" w:eastAsia="zh-CN"/>
              </w:rPr>
              <w:t>新疆维吾尔自治区工业炉窑大气污染综合治理实施方案</w:t>
            </w:r>
            <w:r>
              <w:rPr>
                <w:rFonts w:hint="default" w:ascii="Times New Roman" w:hAnsi="Times New Roman" w:cs="Times New Roman"/>
                <w:color w:val="00B050"/>
                <w:sz w:val="24"/>
                <w:szCs w:val="24"/>
                <w:highlight w:val="none"/>
              </w:rPr>
              <w:t>》的通知</w:t>
            </w:r>
          </w:p>
        </w:tc>
      </w:tr>
      <w:tr w14:paraId="44724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648C71A">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无组织排放源</w:t>
            </w:r>
          </w:p>
        </w:tc>
        <w:tc>
          <w:tcPr>
            <w:tcW w:w="52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0EDB5D1">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开采粉尘、堆场扬尘</w:t>
            </w:r>
          </w:p>
        </w:tc>
        <w:tc>
          <w:tcPr>
            <w:tcW w:w="71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CD04224">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颗粒物</w:t>
            </w:r>
          </w:p>
        </w:tc>
        <w:tc>
          <w:tcPr>
            <w:tcW w:w="52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9896E14">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1.0</w:t>
            </w:r>
          </w:p>
        </w:tc>
        <w:tc>
          <w:tcPr>
            <w:tcW w:w="48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533EC6B">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mg/m</w:t>
            </w:r>
            <w:r>
              <w:rPr>
                <w:rFonts w:hint="default" w:ascii="Times New Roman" w:hAnsi="Times New Roman" w:cs="Times New Roman"/>
                <w:color w:val="auto"/>
                <w:sz w:val="24"/>
                <w:szCs w:val="24"/>
                <w:highlight w:val="none"/>
                <w:vertAlign w:val="superscript"/>
              </w:rPr>
              <w:t>3</w:t>
            </w:r>
          </w:p>
        </w:tc>
        <w:tc>
          <w:tcPr>
            <w:tcW w:w="236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8995936">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《大气污染物综合排放标准》</w:t>
            </w:r>
          </w:p>
          <w:p w14:paraId="71D8201D">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（GB16297-1996）表2新污染源大气污染物无组织排放限值</w:t>
            </w:r>
          </w:p>
        </w:tc>
      </w:tr>
    </w:tbl>
    <w:p w14:paraId="3D38C16E">
      <w:pPr>
        <w:numPr>
          <w:ilvl w:val="0"/>
          <w:numId w:val="17"/>
        </w:numPr>
        <w:spacing w:beforeLines="0" w:afterLines="0"/>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废水</w:t>
      </w:r>
    </w:p>
    <w:p w14:paraId="1B4C94D4">
      <w:pPr>
        <w:numPr>
          <w:ilvl w:val="0"/>
          <w:numId w:val="0"/>
        </w:numPr>
        <w:spacing w:beforeLines="0" w:afterLines="0"/>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本项目生产废水经沉淀处理后循环利用，不外排。本项目生活污水</w:t>
      </w:r>
      <w:r>
        <w:rPr>
          <w:rFonts w:hint="default" w:ascii="Times New Roman" w:hAnsi="Times New Roman" w:cs="Times New Roman"/>
          <w:color w:val="auto"/>
          <w:sz w:val="24"/>
          <w:szCs w:val="24"/>
          <w:highlight w:val="none"/>
          <w:lang w:val="en-US" w:eastAsia="zh-CN"/>
        </w:rPr>
        <w:t>经过地埋式一体化污水处理装置</w:t>
      </w:r>
      <w:r>
        <w:rPr>
          <w:rFonts w:hint="default" w:ascii="Times New Roman" w:hAnsi="Times New Roman" w:cs="Times New Roman"/>
          <w:color w:val="auto"/>
          <w:sz w:val="24"/>
          <w:szCs w:val="24"/>
          <w:highlight w:val="none"/>
        </w:rPr>
        <w:t>处理可达到《农村生活污水处理排放标准》（DB654275</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2019）表2中的C级标准要求后回用于矿区抑尘。废水排放标准值见表2.4-7。</w:t>
      </w:r>
    </w:p>
    <w:p w14:paraId="4EDAD4D1">
      <w:pPr>
        <w:pStyle w:val="45"/>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表 2.4-7</w:t>
      </w:r>
      <w:r>
        <w:rPr>
          <w:rFonts w:hint="default" w:ascii="Times New Roman" w:hAnsi="Times New Roman" w:cs="Times New Roman"/>
          <w:color w:val="auto"/>
          <w:sz w:val="24"/>
          <w:szCs w:val="24"/>
          <w:highlight w:val="none"/>
        </w:rPr>
        <w:tab/>
      </w:r>
      <w:r>
        <w:rPr>
          <w:rFonts w:hint="default" w:ascii="Times New Roman" w:hAnsi="Times New Roman" w:cs="Times New Roman"/>
          <w:color w:val="auto"/>
          <w:sz w:val="24"/>
          <w:szCs w:val="24"/>
          <w:highlight w:val="none"/>
        </w:rPr>
        <w:t>项目水污染物排放浓度限值</w:t>
      </w:r>
    </w:p>
    <w:tbl>
      <w:tblPr>
        <w:tblStyle w:val="31"/>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34"/>
        <w:gridCol w:w="628"/>
        <w:gridCol w:w="1677"/>
        <w:gridCol w:w="1547"/>
        <w:gridCol w:w="1547"/>
        <w:gridCol w:w="1547"/>
      </w:tblGrid>
      <w:tr w14:paraId="35433B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2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61377C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污染物</w:t>
            </w:r>
          </w:p>
        </w:tc>
        <w:tc>
          <w:tcPr>
            <w:tcW w:w="33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CF8E056">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pH</w:t>
            </w:r>
          </w:p>
        </w:tc>
        <w:tc>
          <w:tcPr>
            <w:tcW w:w="90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3B5307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COD（mg/L）</w:t>
            </w:r>
          </w:p>
        </w:tc>
        <w:tc>
          <w:tcPr>
            <w:tcW w:w="8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5CF537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SS（mg/L）</w:t>
            </w:r>
          </w:p>
        </w:tc>
        <w:tc>
          <w:tcPr>
            <w:tcW w:w="8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DD24FA3">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粪大肠菌群</w:t>
            </w:r>
          </w:p>
          <w:p w14:paraId="4FD480D6">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（MPN/L）</w:t>
            </w:r>
          </w:p>
        </w:tc>
        <w:tc>
          <w:tcPr>
            <w:tcW w:w="8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5B5EA2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蛔虫卵个数</w:t>
            </w:r>
          </w:p>
          <w:p w14:paraId="6F9CB324">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（个/L）</w:t>
            </w:r>
          </w:p>
        </w:tc>
      </w:tr>
      <w:tr w14:paraId="6F51BC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2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8CFE5C1">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最高允许排放浓度</w:t>
            </w:r>
          </w:p>
        </w:tc>
        <w:tc>
          <w:tcPr>
            <w:tcW w:w="33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96E7948">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6-9</w:t>
            </w:r>
          </w:p>
        </w:tc>
        <w:tc>
          <w:tcPr>
            <w:tcW w:w="90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938C3A4">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200</w:t>
            </w:r>
          </w:p>
        </w:tc>
        <w:tc>
          <w:tcPr>
            <w:tcW w:w="8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8A1AC53">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100</w:t>
            </w:r>
          </w:p>
        </w:tc>
        <w:tc>
          <w:tcPr>
            <w:tcW w:w="8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55530C8">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40000</w:t>
            </w:r>
          </w:p>
        </w:tc>
        <w:tc>
          <w:tcPr>
            <w:tcW w:w="83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3CEE0A7">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w:t>
            </w:r>
          </w:p>
        </w:tc>
      </w:tr>
    </w:tbl>
    <w:p w14:paraId="28BF1A69">
      <w:pPr>
        <w:numPr>
          <w:ilvl w:val="0"/>
          <w:numId w:val="17"/>
        </w:numPr>
        <w:spacing w:beforeLines="0" w:afterLines="0"/>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噪声</w:t>
      </w:r>
    </w:p>
    <w:p w14:paraId="7F9BB0A8">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施工期噪声执行《建筑施工场界环境噪声排放标准》(GB12523-2011)相关标准。</w:t>
      </w:r>
    </w:p>
    <w:p w14:paraId="174505A3">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运营期厂界噪声执行《工业企业厂界环境噪声排放标准》(GB12348-2008)表1中的2类标准。</w:t>
      </w:r>
    </w:p>
    <w:p w14:paraId="77C5589B">
      <w:pPr>
        <w:pStyle w:val="45"/>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表 2.4-8</w:t>
      </w:r>
      <w:r>
        <w:rPr>
          <w:rFonts w:hint="default" w:ascii="Times New Roman" w:hAnsi="Times New Roman" w:cs="Times New Roman"/>
          <w:color w:val="auto"/>
          <w:sz w:val="24"/>
          <w:szCs w:val="24"/>
          <w:highlight w:val="none"/>
        </w:rPr>
        <w:tab/>
      </w:r>
      <w:r>
        <w:rPr>
          <w:rFonts w:hint="default" w:ascii="Times New Roman" w:hAnsi="Times New Roman" w:cs="Times New Roman"/>
          <w:color w:val="auto"/>
          <w:sz w:val="24"/>
          <w:szCs w:val="24"/>
          <w:highlight w:val="none"/>
        </w:rPr>
        <w:t>各时段厂界环境噪声排放标准</w:t>
      </w:r>
    </w:p>
    <w:tbl>
      <w:tblPr>
        <w:tblStyle w:val="31"/>
        <w:tblW w:w="9273" w:type="dxa"/>
        <w:tblInd w:w="21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84"/>
        <w:gridCol w:w="1183"/>
        <w:gridCol w:w="1002"/>
        <w:gridCol w:w="5804"/>
      </w:tblGrid>
      <w:tr w14:paraId="7C284D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9" w:hRule="exact"/>
        </w:trPr>
        <w:tc>
          <w:tcPr>
            <w:tcW w:w="1284"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4D593C6D">
            <w:pPr>
              <w:pStyle w:val="48"/>
              <w:keepNext w:val="0"/>
              <w:keepLines w:val="0"/>
              <w:pageBreakBefore w:val="0"/>
              <w:widowControl w:val="0"/>
              <w:kinsoku w:val="0"/>
              <w:wordWrap/>
              <w:overflowPunct w:val="0"/>
              <w:topLinePunct w:val="0"/>
              <w:autoSpaceDE w:val="0"/>
              <w:autoSpaceDN w:val="0"/>
              <w:bidi w:val="0"/>
              <w:adjustRightInd w:val="0"/>
              <w:snapToGrid/>
              <w:spacing w:beforeLines="0" w:afterLines="0"/>
              <w:ind w:firstLine="0" w:firstLineChars="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污染源</w:t>
            </w:r>
          </w:p>
        </w:tc>
        <w:tc>
          <w:tcPr>
            <w:tcW w:w="2185"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27454FD9">
            <w:pPr>
              <w:pStyle w:val="48"/>
              <w:keepNext w:val="0"/>
              <w:keepLines w:val="0"/>
              <w:pageBreakBefore w:val="0"/>
              <w:widowControl w:val="0"/>
              <w:kinsoku w:val="0"/>
              <w:wordWrap/>
              <w:overflowPunct w:val="0"/>
              <w:topLinePunct w:val="0"/>
              <w:autoSpaceDE w:val="0"/>
              <w:autoSpaceDN w:val="0"/>
              <w:bidi w:val="0"/>
              <w:adjustRightInd w:val="0"/>
              <w:snapToGrid/>
              <w:spacing w:beforeLines="0" w:afterLines="0"/>
              <w:ind w:firstLine="0" w:firstLineChars="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噪声限值dB(A)</w:t>
            </w:r>
          </w:p>
        </w:tc>
        <w:tc>
          <w:tcPr>
            <w:tcW w:w="5804"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709A69C4">
            <w:pPr>
              <w:pStyle w:val="48"/>
              <w:keepNext w:val="0"/>
              <w:keepLines w:val="0"/>
              <w:pageBreakBefore w:val="0"/>
              <w:widowControl w:val="0"/>
              <w:kinsoku w:val="0"/>
              <w:wordWrap/>
              <w:overflowPunct w:val="0"/>
              <w:topLinePunct w:val="0"/>
              <w:autoSpaceDE w:val="0"/>
              <w:autoSpaceDN w:val="0"/>
              <w:bidi w:val="0"/>
              <w:adjustRightInd w:val="0"/>
              <w:snapToGrid/>
              <w:spacing w:beforeLines="0" w:afterLines="0"/>
              <w:ind w:firstLine="0" w:firstLineChars="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执行标准</w:t>
            </w:r>
          </w:p>
        </w:tc>
      </w:tr>
      <w:tr w14:paraId="206772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exact"/>
        </w:trPr>
        <w:tc>
          <w:tcPr>
            <w:tcW w:w="1284"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582D31A3">
            <w:pPr>
              <w:pStyle w:val="48"/>
              <w:keepNext w:val="0"/>
              <w:keepLines w:val="0"/>
              <w:pageBreakBefore w:val="0"/>
              <w:widowControl w:val="0"/>
              <w:kinsoku w:val="0"/>
              <w:wordWrap/>
              <w:overflowPunct w:val="0"/>
              <w:topLinePunct w:val="0"/>
              <w:autoSpaceDE w:val="0"/>
              <w:autoSpaceDN w:val="0"/>
              <w:bidi w:val="0"/>
              <w:adjustRightInd w:val="0"/>
              <w:snapToGrid/>
              <w:spacing w:beforeLines="0" w:afterLines="0"/>
              <w:ind w:firstLine="0" w:firstLineChars="0"/>
              <w:textAlignment w:val="auto"/>
              <w:rPr>
                <w:rFonts w:hint="default" w:ascii="Times New Roman" w:hAnsi="Times New Roman" w:cs="Times New Roman"/>
                <w:color w:val="auto"/>
                <w:sz w:val="24"/>
                <w:szCs w:val="24"/>
                <w:highlight w:val="none"/>
              </w:rPr>
            </w:pPr>
          </w:p>
        </w:tc>
        <w:tc>
          <w:tcPr>
            <w:tcW w:w="118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C2C875A">
            <w:pPr>
              <w:pStyle w:val="48"/>
              <w:keepNext w:val="0"/>
              <w:keepLines w:val="0"/>
              <w:pageBreakBefore w:val="0"/>
              <w:widowControl w:val="0"/>
              <w:kinsoku w:val="0"/>
              <w:wordWrap/>
              <w:overflowPunct w:val="0"/>
              <w:topLinePunct w:val="0"/>
              <w:autoSpaceDE w:val="0"/>
              <w:autoSpaceDN w:val="0"/>
              <w:bidi w:val="0"/>
              <w:adjustRightInd w:val="0"/>
              <w:snapToGrid/>
              <w:spacing w:beforeLines="0" w:afterLines="0"/>
              <w:ind w:firstLine="0" w:firstLineChars="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昼间</w:t>
            </w:r>
          </w:p>
        </w:tc>
        <w:tc>
          <w:tcPr>
            <w:tcW w:w="100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939AF0A">
            <w:pPr>
              <w:pStyle w:val="48"/>
              <w:keepNext w:val="0"/>
              <w:keepLines w:val="0"/>
              <w:pageBreakBefore w:val="0"/>
              <w:widowControl w:val="0"/>
              <w:kinsoku w:val="0"/>
              <w:wordWrap/>
              <w:overflowPunct w:val="0"/>
              <w:topLinePunct w:val="0"/>
              <w:autoSpaceDE w:val="0"/>
              <w:autoSpaceDN w:val="0"/>
              <w:bidi w:val="0"/>
              <w:adjustRightInd w:val="0"/>
              <w:snapToGrid/>
              <w:spacing w:beforeLines="0" w:afterLines="0"/>
              <w:ind w:firstLine="0" w:firstLineChars="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夜间</w:t>
            </w:r>
          </w:p>
        </w:tc>
        <w:tc>
          <w:tcPr>
            <w:tcW w:w="5804"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3718E29D">
            <w:pPr>
              <w:pStyle w:val="48"/>
              <w:keepNext w:val="0"/>
              <w:keepLines w:val="0"/>
              <w:pageBreakBefore w:val="0"/>
              <w:widowControl w:val="0"/>
              <w:kinsoku w:val="0"/>
              <w:wordWrap/>
              <w:overflowPunct w:val="0"/>
              <w:topLinePunct w:val="0"/>
              <w:autoSpaceDE w:val="0"/>
              <w:autoSpaceDN w:val="0"/>
              <w:bidi w:val="0"/>
              <w:adjustRightInd w:val="0"/>
              <w:snapToGrid/>
              <w:spacing w:beforeLines="0" w:afterLines="0"/>
              <w:ind w:firstLine="0" w:firstLineChars="0"/>
              <w:textAlignment w:val="auto"/>
              <w:rPr>
                <w:rFonts w:hint="default" w:ascii="Times New Roman" w:hAnsi="Times New Roman" w:cs="Times New Roman"/>
                <w:color w:val="auto"/>
                <w:sz w:val="24"/>
                <w:szCs w:val="24"/>
                <w:highlight w:val="none"/>
              </w:rPr>
            </w:pPr>
          </w:p>
        </w:tc>
      </w:tr>
      <w:tr w14:paraId="68343F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3" w:hRule="exact"/>
        </w:trPr>
        <w:tc>
          <w:tcPr>
            <w:tcW w:w="128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8C5FE78">
            <w:pPr>
              <w:pStyle w:val="48"/>
              <w:keepNext w:val="0"/>
              <w:keepLines w:val="0"/>
              <w:pageBreakBefore w:val="0"/>
              <w:widowControl w:val="0"/>
              <w:kinsoku w:val="0"/>
              <w:wordWrap/>
              <w:overflowPunct w:val="0"/>
              <w:topLinePunct w:val="0"/>
              <w:autoSpaceDE w:val="0"/>
              <w:autoSpaceDN w:val="0"/>
              <w:bidi w:val="0"/>
              <w:adjustRightInd w:val="0"/>
              <w:snapToGrid/>
              <w:spacing w:beforeLines="0" w:afterLines="0"/>
              <w:ind w:firstLine="0" w:firstLineChars="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施工期</w:t>
            </w:r>
          </w:p>
        </w:tc>
        <w:tc>
          <w:tcPr>
            <w:tcW w:w="118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DDBE462">
            <w:pPr>
              <w:pStyle w:val="48"/>
              <w:keepNext w:val="0"/>
              <w:keepLines w:val="0"/>
              <w:pageBreakBefore w:val="0"/>
              <w:widowControl w:val="0"/>
              <w:kinsoku w:val="0"/>
              <w:wordWrap/>
              <w:overflowPunct w:val="0"/>
              <w:topLinePunct w:val="0"/>
              <w:autoSpaceDE w:val="0"/>
              <w:autoSpaceDN w:val="0"/>
              <w:bidi w:val="0"/>
              <w:adjustRightInd w:val="0"/>
              <w:snapToGrid/>
              <w:spacing w:beforeLines="0" w:afterLines="0"/>
              <w:ind w:firstLine="0" w:firstLineChars="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70</w:t>
            </w:r>
          </w:p>
        </w:tc>
        <w:tc>
          <w:tcPr>
            <w:tcW w:w="100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3D74A40">
            <w:pPr>
              <w:pStyle w:val="48"/>
              <w:keepNext w:val="0"/>
              <w:keepLines w:val="0"/>
              <w:pageBreakBefore w:val="0"/>
              <w:widowControl w:val="0"/>
              <w:kinsoku w:val="0"/>
              <w:wordWrap/>
              <w:overflowPunct w:val="0"/>
              <w:topLinePunct w:val="0"/>
              <w:autoSpaceDE w:val="0"/>
              <w:autoSpaceDN w:val="0"/>
              <w:bidi w:val="0"/>
              <w:adjustRightInd w:val="0"/>
              <w:snapToGrid/>
              <w:spacing w:beforeLines="0" w:afterLines="0"/>
              <w:ind w:firstLine="0" w:firstLineChars="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55</w:t>
            </w:r>
          </w:p>
        </w:tc>
        <w:tc>
          <w:tcPr>
            <w:tcW w:w="580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B84F85D">
            <w:pPr>
              <w:pStyle w:val="48"/>
              <w:keepNext w:val="0"/>
              <w:keepLines w:val="0"/>
              <w:pageBreakBefore w:val="0"/>
              <w:widowControl w:val="0"/>
              <w:kinsoku w:val="0"/>
              <w:wordWrap/>
              <w:overflowPunct w:val="0"/>
              <w:topLinePunct w:val="0"/>
              <w:autoSpaceDE w:val="0"/>
              <w:autoSpaceDN w:val="0"/>
              <w:bidi w:val="0"/>
              <w:adjustRightInd w:val="0"/>
              <w:snapToGrid/>
              <w:spacing w:beforeLines="0" w:afterLines="0"/>
              <w:ind w:firstLine="0" w:firstLineChars="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《建筑施工场界环境噪声排放标准》(GB12523-2011)</w:t>
            </w:r>
          </w:p>
        </w:tc>
      </w:tr>
      <w:tr w14:paraId="004628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9" w:hRule="exact"/>
        </w:trPr>
        <w:tc>
          <w:tcPr>
            <w:tcW w:w="128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763607E">
            <w:pPr>
              <w:pStyle w:val="48"/>
              <w:keepNext w:val="0"/>
              <w:keepLines w:val="0"/>
              <w:pageBreakBefore w:val="0"/>
              <w:widowControl w:val="0"/>
              <w:kinsoku w:val="0"/>
              <w:wordWrap/>
              <w:overflowPunct w:val="0"/>
              <w:topLinePunct w:val="0"/>
              <w:autoSpaceDE w:val="0"/>
              <w:autoSpaceDN w:val="0"/>
              <w:bidi w:val="0"/>
              <w:adjustRightInd w:val="0"/>
              <w:snapToGrid/>
              <w:spacing w:beforeLines="0" w:afterLines="0"/>
              <w:ind w:firstLine="0" w:firstLineChars="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运营期</w:t>
            </w:r>
          </w:p>
        </w:tc>
        <w:tc>
          <w:tcPr>
            <w:tcW w:w="118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D6F2C99">
            <w:pPr>
              <w:pStyle w:val="48"/>
              <w:keepNext w:val="0"/>
              <w:keepLines w:val="0"/>
              <w:pageBreakBefore w:val="0"/>
              <w:widowControl w:val="0"/>
              <w:kinsoku w:val="0"/>
              <w:wordWrap/>
              <w:overflowPunct w:val="0"/>
              <w:topLinePunct w:val="0"/>
              <w:autoSpaceDE w:val="0"/>
              <w:autoSpaceDN w:val="0"/>
              <w:bidi w:val="0"/>
              <w:adjustRightInd w:val="0"/>
              <w:snapToGrid/>
              <w:spacing w:beforeLines="0" w:afterLines="0"/>
              <w:ind w:firstLine="0" w:firstLineChars="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60</w:t>
            </w:r>
          </w:p>
        </w:tc>
        <w:tc>
          <w:tcPr>
            <w:tcW w:w="100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0ABFAD4">
            <w:pPr>
              <w:pStyle w:val="48"/>
              <w:keepNext w:val="0"/>
              <w:keepLines w:val="0"/>
              <w:pageBreakBefore w:val="0"/>
              <w:widowControl w:val="0"/>
              <w:kinsoku w:val="0"/>
              <w:wordWrap/>
              <w:overflowPunct w:val="0"/>
              <w:topLinePunct w:val="0"/>
              <w:autoSpaceDE w:val="0"/>
              <w:autoSpaceDN w:val="0"/>
              <w:bidi w:val="0"/>
              <w:adjustRightInd w:val="0"/>
              <w:snapToGrid/>
              <w:spacing w:beforeLines="0" w:afterLines="0"/>
              <w:ind w:firstLine="0" w:firstLineChars="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50</w:t>
            </w:r>
          </w:p>
        </w:tc>
        <w:tc>
          <w:tcPr>
            <w:tcW w:w="580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F4F92D8">
            <w:pPr>
              <w:pStyle w:val="48"/>
              <w:keepNext w:val="0"/>
              <w:keepLines w:val="0"/>
              <w:pageBreakBefore w:val="0"/>
              <w:widowControl w:val="0"/>
              <w:kinsoku w:val="0"/>
              <w:wordWrap/>
              <w:overflowPunct w:val="0"/>
              <w:topLinePunct w:val="0"/>
              <w:autoSpaceDE w:val="0"/>
              <w:autoSpaceDN w:val="0"/>
              <w:bidi w:val="0"/>
              <w:adjustRightInd w:val="0"/>
              <w:snapToGrid/>
              <w:spacing w:beforeLines="0" w:afterLines="0"/>
              <w:ind w:firstLine="0" w:firstLineChars="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《工业企业厂界环境噪声排放标准》(GB12348-2008)2类标准</w:t>
            </w:r>
          </w:p>
        </w:tc>
      </w:tr>
    </w:tbl>
    <w:p w14:paraId="0FE9158D">
      <w:pPr>
        <w:numPr>
          <w:ilvl w:val="0"/>
          <w:numId w:val="17"/>
        </w:numPr>
        <w:spacing w:beforeLines="0" w:afterLines="0"/>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固废</w:t>
      </w:r>
    </w:p>
    <w:p w14:paraId="04B0092C">
      <w:pPr>
        <w:numPr>
          <w:ilvl w:val="0"/>
          <w:numId w:val="0"/>
        </w:numPr>
        <w:spacing w:beforeLines="0" w:afterLines="0"/>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一般固体废物执行《一般工业固体废物贮存和填埋污染控制标准》（GB18599-2020）中的相关规定。</w:t>
      </w:r>
    </w:p>
    <w:p w14:paraId="7A2A5BB4">
      <w:pPr>
        <w:numPr>
          <w:ilvl w:val="0"/>
          <w:numId w:val="0"/>
        </w:numPr>
        <w:spacing w:beforeLines="0" w:afterLines="0"/>
        <w:ind w:firstLine="480"/>
        <w:rPr>
          <w:rFonts w:hint="default" w:ascii="Times New Roman" w:hAnsi="Times New Roman" w:cs="Times New Roman"/>
          <w:color w:val="auto"/>
          <w:sz w:val="24"/>
          <w:szCs w:val="24"/>
          <w:highlight w:val="none"/>
        </w:rPr>
      </w:pPr>
      <w:bookmarkStart w:id="84" w:name="bookmark12"/>
      <w:bookmarkEnd w:id="84"/>
      <w:bookmarkStart w:id="85" w:name="2.5评价等级及评价范围"/>
      <w:bookmarkEnd w:id="85"/>
      <w:r>
        <w:rPr>
          <w:rFonts w:hint="default" w:ascii="Times New Roman" w:hAnsi="Times New Roman" w:cs="Times New Roman"/>
          <w:color w:val="auto"/>
          <w:sz w:val="24"/>
          <w:szCs w:val="24"/>
          <w:highlight w:val="none"/>
        </w:rPr>
        <w:t>危险废物执行《危险废物贮存污染控制标准》</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GB18597</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2023）。</w:t>
      </w:r>
    </w:p>
    <w:p w14:paraId="2DEED2B1">
      <w:pPr>
        <w:pStyle w:val="3"/>
        <w:bidi w:val="0"/>
        <w:rPr>
          <w:rFonts w:hint="default"/>
        </w:rPr>
      </w:pPr>
      <w:bookmarkStart w:id="86" w:name="_Toc10088"/>
      <w:bookmarkStart w:id="87" w:name="_Toc31863"/>
      <w:r>
        <w:rPr>
          <w:rFonts w:hint="default"/>
        </w:rPr>
        <w:t>评价等级及评价范围</w:t>
      </w:r>
      <w:bookmarkEnd w:id="86"/>
      <w:bookmarkEnd w:id="87"/>
    </w:p>
    <w:p w14:paraId="6C16C674">
      <w:pPr>
        <w:pStyle w:val="4"/>
        <w:bidi w:val="0"/>
        <w:rPr>
          <w:rFonts w:hint="default"/>
        </w:rPr>
      </w:pPr>
      <w:bookmarkStart w:id="88" w:name="2.5.1评价等级"/>
      <w:bookmarkEnd w:id="88"/>
      <w:r>
        <w:rPr>
          <w:rFonts w:hint="default"/>
        </w:rPr>
        <w:t>评价等级</w:t>
      </w:r>
    </w:p>
    <w:p w14:paraId="68845901">
      <w:pPr>
        <w:pStyle w:val="5"/>
        <w:bidi w:val="0"/>
        <w:rPr>
          <w:rFonts w:hint="default"/>
        </w:rPr>
      </w:pPr>
      <w:bookmarkStart w:id="89" w:name="2.5.1.1大气环境影响评价等级"/>
      <w:bookmarkEnd w:id="89"/>
      <w:r>
        <w:rPr>
          <w:rFonts w:hint="default"/>
        </w:rPr>
        <w:t>大气环境影响评价等级</w:t>
      </w:r>
    </w:p>
    <w:p w14:paraId="2B526571">
      <w:pPr>
        <w:snapToGrid w:val="0"/>
        <w:spacing w:beforeLines="0" w:afterLines="0"/>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本项目为天然石英砂矿开采，排放的大气污染物包括开采粉尘、筛分粉尘、</w:t>
      </w:r>
      <w:r>
        <w:rPr>
          <w:rFonts w:hint="default" w:ascii="Times New Roman" w:hAnsi="Times New Roman" w:cs="Times New Roman"/>
          <w:color w:val="auto"/>
          <w:sz w:val="24"/>
          <w:szCs w:val="24"/>
          <w:highlight w:val="none"/>
          <w:lang w:val="en-US" w:eastAsia="zh-CN"/>
        </w:rPr>
        <w:t>物料烘干粉尘、</w:t>
      </w:r>
      <w:r>
        <w:rPr>
          <w:rFonts w:hint="default" w:ascii="Times New Roman" w:hAnsi="Times New Roman" w:cs="Times New Roman"/>
          <w:color w:val="auto"/>
          <w:sz w:val="24"/>
          <w:szCs w:val="24"/>
          <w:highlight w:val="none"/>
        </w:rPr>
        <w:t>堆场粉尘等。依据《环境影响评价技术导则 大气环境》(HJ2.2-2018)中相关要求，结合项目工程分析结果，选择正常排放的主要污染物及排放参数，采用附录A推荐模型中的AERSCREEN模式计算项目污染源的最大环境影响，然后按评价工作分级判据进行分级。根据工程分析和评价执行标准，本项目环境空气评价等级判定所采用的评价因子和评价标准见表</w:t>
      </w:r>
      <w:r>
        <w:rPr>
          <w:rFonts w:hint="default" w:ascii="Times New Roman" w:hAnsi="Times New Roman" w:cs="Times New Roman"/>
          <w:color w:val="auto"/>
          <w:sz w:val="24"/>
          <w:szCs w:val="24"/>
          <w:highlight w:val="none"/>
          <w:lang w:eastAsia="zh-CN"/>
        </w:rPr>
        <w:t>2</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eastAsia="zh-CN"/>
        </w:rPr>
        <w:t>5</w:t>
      </w:r>
      <w:r>
        <w:rPr>
          <w:rFonts w:hint="default" w:ascii="Times New Roman" w:hAnsi="Times New Roman" w:cs="Times New Roman"/>
          <w:color w:val="auto"/>
          <w:sz w:val="24"/>
          <w:szCs w:val="24"/>
          <w:highlight w:val="none"/>
        </w:rPr>
        <w:t>-1。</w:t>
      </w:r>
    </w:p>
    <w:p w14:paraId="3E6C560C">
      <w:pPr>
        <w:pStyle w:val="45"/>
        <w:spacing w:beforeLines="0" w:afterLines="0"/>
        <w:rPr>
          <w:rFonts w:hint="default" w:ascii="Times New Roman" w:hAnsi="Times New Roman" w:cs="Times New Roman"/>
          <w:color w:val="00B050"/>
          <w:sz w:val="24"/>
          <w:szCs w:val="24"/>
          <w:highlight w:val="none"/>
        </w:rPr>
      </w:pPr>
      <w:bookmarkStart w:id="90" w:name="_Ref529880684"/>
      <w:r>
        <w:rPr>
          <w:rFonts w:hint="default" w:ascii="Times New Roman" w:hAnsi="Times New Roman" w:cs="Times New Roman"/>
          <w:color w:val="00B050"/>
          <w:sz w:val="24"/>
          <w:szCs w:val="24"/>
          <w:highlight w:val="none"/>
        </w:rPr>
        <w:t>表</w:t>
      </w:r>
      <w:bookmarkEnd w:id="90"/>
      <w:r>
        <w:rPr>
          <w:rFonts w:hint="default" w:ascii="Times New Roman" w:hAnsi="Times New Roman" w:cs="Times New Roman"/>
          <w:color w:val="00B050"/>
          <w:sz w:val="24"/>
          <w:szCs w:val="24"/>
          <w:highlight w:val="none"/>
          <w:lang w:eastAsia="zh-CN"/>
        </w:rPr>
        <w:t>2</w:t>
      </w:r>
      <w:r>
        <w:rPr>
          <w:rFonts w:hint="default" w:ascii="Times New Roman" w:hAnsi="Times New Roman" w:cs="Times New Roman"/>
          <w:color w:val="00B050"/>
          <w:sz w:val="24"/>
          <w:szCs w:val="24"/>
          <w:highlight w:val="none"/>
          <w:lang w:val="en-US" w:eastAsia="zh-CN"/>
        </w:rPr>
        <w:t>.</w:t>
      </w:r>
      <w:r>
        <w:rPr>
          <w:rFonts w:hint="default" w:ascii="Times New Roman" w:hAnsi="Times New Roman" w:cs="Times New Roman"/>
          <w:color w:val="00B050"/>
          <w:sz w:val="24"/>
          <w:szCs w:val="24"/>
          <w:highlight w:val="none"/>
          <w:lang w:eastAsia="zh-CN"/>
        </w:rPr>
        <w:t>5</w:t>
      </w:r>
      <w:r>
        <w:rPr>
          <w:rFonts w:hint="default" w:ascii="Times New Roman" w:hAnsi="Times New Roman" w:cs="Times New Roman"/>
          <w:color w:val="00B050"/>
          <w:sz w:val="24"/>
          <w:szCs w:val="24"/>
          <w:highlight w:val="none"/>
        </w:rPr>
        <w:t xml:space="preserve">-1 </w:t>
      </w:r>
      <w:r>
        <w:rPr>
          <w:rFonts w:hint="default" w:ascii="Times New Roman" w:hAnsi="Times New Roman" w:cs="Times New Roman"/>
          <w:color w:val="00B050"/>
          <w:sz w:val="24"/>
          <w:szCs w:val="24"/>
          <w:highlight w:val="none"/>
          <w:lang w:val="en-US" w:eastAsia="zh-CN"/>
        </w:rPr>
        <w:t xml:space="preserve">  </w:t>
      </w:r>
      <w:r>
        <w:rPr>
          <w:rFonts w:hint="default" w:ascii="Times New Roman" w:hAnsi="Times New Roman" w:cs="Times New Roman"/>
          <w:color w:val="00B050"/>
          <w:sz w:val="24"/>
          <w:szCs w:val="24"/>
          <w:highlight w:val="none"/>
        </w:rPr>
        <w:t>评价因子和评价标准表</w:t>
      </w:r>
    </w:p>
    <w:tbl>
      <w:tblPr>
        <w:tblStyle w:val="31"/>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58"/>
        <w:gridCol w:w="1451"/>
        <w:gridCol w:w="1844"/>
        <w:gridCol w:w="4215"/>
      </w:tblGrid>
      <w:tr w14:paraId="392F09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Pr>
        <w:tc>
          <w:tcPr>
            <w:tcW w:w="165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7FEB418">
            <w:pPr>
              <w:pStyle w:val="48"/>
              <w:bidi w:val="0"/>
              <w:rPr>
                <w:rFonts w:hint="default" w:ascii="Times New Roman" w:hAnsi="Times New Roman" w:cs="Times New Roman"/>
                <w:color w:val="00B050"/>
                <w:highlight w:val="none"/>
              </w:rPr>
            </w:pPr>
            <w:r>
              <w:rPr>
                <w:rFonts w:hint="default" w:ascii="Times New Roman" w:hAnsi="Times New Roman" w:cs="Times New Roman"/>
                <w:color w:val="00B050"/>
                <w:highlight w:val="none"/>
              </w:rPr>
              <w:t>评价因子</w:t>
            </w:r>
          </w:p>
        </w:tc>
        <w:tc>
          <w:tcPr>
            <w:tcW w:w="145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97D3341">
            <w:pPr>
              <w:pStyle w:val="48"/>
              <w:bidi w:val="0"/>
              <w:rPr>
                <w:rFonts w:hint="default" w:ascii="Times New Roman" w:hAnsi="Times New Roman" w:cs="Times New Roman"/>
                <w:color w:val="00B050"/>
                <w:highlight w:val="none"/>
              </w:rPr>
            </w:pPr>
            <w:r>
              <w:rPr>
                <w:rFonts w:hint="default" w:ascii="Times New Roman" w:hAnsi="Times New Roman" w:cs="Times New Roman"/>
                <w:color w:val="00B050"/>
                <w:highlight w:val="none"/>
              </w:rPr>
              <w:t>平均时段</w:t>
            </w:r>
          </w:p>
        </w:tc>
        <w:tc>
          <w:tcPr>
            <w:tcW w:w="184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CBB9D49">
            <w:pPr>
              <w:pStyle w:val="48"/>
              <w:bidi w:val="0"/>
              <w:rPr>
                <w:rFonts w:hint="default" w:ascii="Times New Roman" w:hAnsi="Times New Roman" w:cs="Times New Roman"/>
                <w:color w:val="00B050"/>
                <w:highlight w:val="none"/>
                <w:lang w:eastAsia="zh-CN"/>
              </w:rPr>
            </w:pPr>
            <w:r>
              <w:rPr>
                <w:rFonts w:hint="default" w:ascii="Times New Roman" w:hAnsi="Times New Roman" w:cs="Times New Roman"/>
                <w:color w:val="00B050"/>
                <w:highlight w:val="none"/>
              </w:rPr>
              <w:t>标准值</w:t>
            </w:r>
            <w:r>
              <w:rPr>
                <w:rFonts w:hint="default" w:ascii="Times New Roman" w:hAnsi="Times New Roman" w:cs="Times New Roman"/>
                <w:color w:val="00B050"/>
                <w:highlight w:val="none"/>
                <w:lang w:eastAsia="zh-CN"/>
              </w:rPr>
              <w:t>(</w:t>
            </w:r>
            <w:r>
              <w:rPr>
                <w:rFonts w:hint="default" w:ascii="Times New Roman" w:hAnsi="Times New Roman" w:cs="Times New Roman"/>
                <w:color w:val="00B050"/>
                <w:highlight w:val="none"/>
                <w:lang w:val="en-US" w:eastAsia="zh-CN"/>
              </w:rPr>
              <w:t>m</w:t>
            </w:r>
            <w:r>
              <w:rPr>
                <w:rFonts w:hint="default" w:ascii="Times New Roman" w:hAnsi="Times New Roman" w:cs="Times New Roman"/>
                <w:color w:val="00B050"/>
                <w:highlight w:val="none"/>
              </w:rPr>
              <w:t>g/m</w:t>
            </w:r>
            <w:r>
              <w:rPr>
                <w:rFonts w:hint="default" w:ascii="Times New Roman" w:hAnsi="Times New Roman" w:cs="Times New Roman"/>
                <w:color w:val="00B050"/>
                <w:highlight w:val="none"/>
                <w:vertAlign w:val="superscript"/>
              </w:rPr>
              <w:t>3</w:t>
            </w:r>
            <w:r>
              <w:rPr>
                <w:rFonts w:hint="default" w:ascii="Times New Roman" w:hAnsi="Times New Roman" w:cs="Times New Roman"/>
                <w:color w:val="00B050"/>
                <w:highlight w:val="none"/>
                <w:lang w:eastAsia="zh-CN"/>
              </w:rPr>
              <w:t>)</w:t>
            </w:r>
          </w:p>
        </w:tc>
        <w:tc>
          <w:tcPr>
            <w:tcW w:w="421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FC086E9">
            <w:pPr>
              <w:pStyle w:val="48"/>
              <w:bidi w:val="0"/>
              <w:rPr>
                <w:rFonts w:hint="default" w:ascii="Times New Roman" w:hAnsi="Times New Roman" w:cs="Times New Roman"/>
                <w:color w:val="00B050"/>
                <w:highlight w:val="none"/>
              </w:rPr>
            </w:pPr>
            <w:r>
              <w:rPr>
                <w:rFonts w:hint="default" w:ascii="Times New Roman" w:hAnsi="Times New Roman" w:cs="Times New Roman"/>
                <w:color w:val="00B050"/>
                <w:highlight w:val="none"/>
              </w:rPr>
              <w:t>标准来源</w:t>
            </w:r>
          </w:p>
        </w:tc>
      </w:tr>
      <w:tr w14:paraId="12C4EA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9" w:hRule="atLeast"/>
        </w:trPr>
        <w:tc>
          <w:tcPr>
            <w:tcW w:w="1658" w:type="dxa"/>
            <w:tcBorders>
              <w:top w:val="single" w:color="auto" w:sz="4" w:space="0"/>
              <w:left w:val="single" w:color="auto" w:sz="4" w:space="0"/>
              <w:bottom w:val="single" w:color="auto" w:sz="6" w:space="0"/>
              <w:right w:val="single" w:color="auto" w:sz="4" w:space="0"/>
              <w:tl2br w:val="nil"/>
              <w:tr2bl w:val="nil"/>
            </w:tcBorders>
            <w:noWrap w:val="0"/>
            <w:vAlign w:val="center"/>
          </w:tcPr>
          <w:p w14:paraId="5A4C29D0">
            <w:pPr>
              <w:pStyle w:val="48"/>
              <w:bidi w:val="0"/>
              <w:rPr>
                <w:rFonts w:hint="default" w:ascii="Times New Roman" w:hAnsi="Times New Roman" w:cs="Times New Roman"/>
                <w:color w:val="00B050"/>
                <w:highlight w:val="none"/>
                <w:lang w:val="en-US" w:eastAsia="zh-CN"/>
              </w:rPr>
            </w:pPr>
            <w:r>
              <w:rPr>
                <w:rFonts w:hint="default" w:ascii="Times New Roman" w:hAnsi="Times New Roman" w:cs="Times New Roman"/>
                <w:color w:val="00B050"/>
                <w:highlight w:val="none"/>
                <w:lang w:val="en-US" w:eastAsia="zh-CN"/>
              </w:rPr>
              <w:t>TSP</w:t>
            </w:r>
          </w:p>
        </w:tc>
        <w:tc>
          <w:tcPr>
            <w:tcW w:w="1451" w:type="dxa"/>
            <w:tcBorders>
              <w:top w:val="single" w:color="auto" w:sz="4" w:space="0"/>
              <w:left w:val="single" w:color="auto" w:sz="4" w:space="0"/>
              <w:bottom w:val="single" w:color="auto" w:sz="6" w:space="0"/>
              <w:right w:val="single" w:color="auto" w:sz="4" w:space="0"/>
              <w:tl2br w:val="nil"/>
              <w:tr2bl w:val="nil"/>
            </w:tcBorders>
            <w:noWrap w:val="0"/>
            <w:vAlign w:val="center"/>
          </w:tcPr>
          <w:p w14:paraId="0954CC12">
            <w:pPr>
              <w:pStyle w:val="48"/>
              <w:bidi w:val="0"/>
              <w:rPr>
                <w:rFonts w:hint="default" w:ascii="Times New Roman" w:hAnsi="Times New Roman" w:cs="Times New Roman"/>
                <w:color w:val="00B050"/>
                <w:highlight w:val="none"/>
              </w:rPr>
            </w:pPr>
            <w:r>
              <w:rPr>
                <w:rFonts w:hint="default" w:ascii="Times New Roman" w:hAnsi="Times New Roman" w:cs="Times New Roman"/>
                <w:color w:val="00B050"/>
                <w:highlight w:val="none"/>
              </w:rPr>
              <w:t>1小时平均</w:t>
            </w:r>
          </w:p>
        </w:tc>
        <w:tc>
          <w:tcPr>
            <w:tcW w:w="184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6EBAEC9">
            <w:pPr>
              <w:pStyle w:val="48"/>
              <w:bidi w:val="0"/>
              <w:rPr>
                <w:rFonts w:hint="default" w:ascii="Times New Roman" w:hAnsi="Times New Roman" w:cs="Times New Roman"/>
                <w:color w:val="00B050"/>
                <w:highlight w:val="none"/>
                <w:lang w:val="en-US" w:eastAsia="zh-CN"/>
              </w:rPr>
            </w:pPr>
            <w:r>
              <w:rPr>
                <w:rFonts w:hint="default" w:ascii="Times New Roman" w:hAnsi="Times New Roman" w:cs="Times New Roman"/>
                <w:color w:val="00B050"/>
                <w:highlight w:val="none"/>
                <w:lang w:val="en-US" w:eastAsia="zh-CN"/>
              </w:rPr>
              <w:t>0.9</w:t>
            </w:r>
          </w:p>
        </w:tc>
        <w:tc>
          <w:tcPr>
            <w:tcW w:w="421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F32A697">
            <w:pPr>
              <w:pStyle w:val="48"/>
              <w:bidi w:val="0"/>
              <w:rPr>
                <w:rFonts w:hint="default" w:ascii="Times New Roman" w:hAnsi="Times New Roman" w:cs="Times New Roman"/>
                <w:color w:val="00B050"/>
                <w:highlight w:val="none"/>
              </w:rPr>
            </w:pPr>
            <w:r>
              <w:rPr>
                <w:rFonts w:hint="default" w:ascii="Times New Roman" w:hAnsi="Times New Roman" w:cs="Times New Roman"/>
                <w:color w:val="00B050"/>
                <w:highlight w:val="none"/>
              </w:rPr>
              <w:t>按照GB3095-2012二级标准24小时</w:t>
            </w:r>
          </w:p>
          <w:p w14:paraId="50DE1170">
            <w:pPr>
              <w:pStyle w:val="48"/>
              <w:bidi w:val="0"/>
              <w:rPr>
                <w:rFonts w:hint="default" w:ascii="Times New Roman" w:hAnsi="Times New Roman" w:cs="Times New Roman"/>
                <w:color w:val="00B050"/>
                <w:highlight w:val="none"/>
              </w:rPr>
            </w:pPr>
            <w:r>
              <w:rPr>
                <w:rFonts w:hint="default" w:ascii="Times New Roman" w:hAnsi="Times New Roman" w:cs="Times New Roman"/>
                <w:color w:val="00B050"/>
                <w:highlight w:val="none"/>
              </w:rPr>
              <w:t>平均质量浓度限值</w:t>
            </w:r>
            <w:r>
              <w:rPr>
                <w:rFonts w:hint="default" w:ascii="Times New Roman" w:hAnsi="Times New Roman" w:cs="Times New Roman"/>
                <w:color w:val="00B050"/>
                <w:highlight w:val="none"/>
                <w:lang w:val="en-US" w:eastAsia="zh-CN"/>
              </w:rPr>
              <w:t>0.3m</w:t>
            </w:r>
            <w:r>
              <w:rPr>
                <w:rFonts w:hint="default" w:ascii="Times New Roman" w:hAnsi="Times New Roman" w:cs="Times New Roman"/>
                <w:color w:val="00B050"/>
                <w:highlight w:val="none"/>
              </w:rPr>
              <w:t>g/m</w:t>
            </w:r>
            <w:r>
              <w:rPr>
                <w:rFonts w:hint="default" w:ascii="Times New Roman" w:hAnsi="Times New Roman" w:cs="Times New Roman"/>
                <w:color w:val="00B050"/>
                <w:highlight w:val="none"/>
                <w:vertAlign w:val="superscript"/>
              </w:rPr>
              <w:t>3</w:t>
            </w:r>
            <w:r>
              <w:rPr>
                <w:rFonts w:hint="default" w:ascii="Times New Roman" w:hAnsi="Times New Roman" w:cs="Times New Roman"/>
                <w:color w:val="00B050"/>
                <w:highlight w:val="none"/>
              </w:rPr>
              <w:t>的3倍折算</w:t>
            </w:r>
          </w:p>
        </w:tc>
      </w:tr>
    </w:tbl>
    <w:p w14:paraId="20921D13">
      <w:pPr>
        <w:topLinePunct/>
        <w:autoSpaceDE/>
        <w:autoSpaceDN/>
        <w:adjustRightInd/>
        <w:spacing w:beforeLines="0" w:afterLines="0" w:line="240" w:lineRule="auto"/>
        <w:ind w:firstLine="482"/>
        <w:rPr>
          <w:rFonts w:hint="default" w:ascii="Times New Roman" w:hAnsi="Times New Roman" w:cs="Times New Roman"/>
          <w:b/>
          <w:color w:val="auto"/>
          <w:sz w:val="24"/>
          <w:szCs w:val="24"/>
          <w:highlight w:val="none"/>
        </w:rPr>
      </w:pPr>
    </w:p>
    <w:p w14:paraId="6165596D">
      <w:pPr>
        <w:pStyle w:val="45"/>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表</w:t>
      </w:r>
      <w:r>
        <w:rPr>
          <w:rFonts w:hint="default" w:ascii="Times New Roman" w:hAnsi="Times New Roman" w:cs="Times New Roman"/>
          <w:color w:val="auto"/>
          <w:sz w:val="24"/>
          <w:szCs w:val="24"/>
          <w:highlight w:val="none"/>
          <w:lang w:val="en-US" w:eastAsia="zh-CN"/>
        </w:rPr>
        <w:t>2.5-2   本项目</w:t>
      </w:r>
      <w:r>
        <w:rPr>
          <w:rFonts w:hint="default" w:ascii="Times New Roman" w:hAnsi="Times New Roman" w:cs="Times New Roman"/>
          <w:color w:val="auto"/>
          <w:sz w:val="24"/>
          <w:szCs w:val="24"/>
          <w:highlight w:val="none"/>
        </w:rPr>
        <w:t>大气污染物有组织排放量</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592"/>
        <w:gridCol w:w="1768"/>
        <w:gridCol w:w="1804"/>
        <w:gridCol w:w="1588"/>
        <w:gridCol w:w="1643"/>
        <w:gridCol w:w="1672"/>
      </w:tblGrid>
      <w:tr w14:paraId="04687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59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0F932DF">
            <w:pPr>
              <w:pStyle w:val="42"/>
              <w:spacing w:beforeLines="0" w:afterLines="0" w:line="240" w:lineRule="auto"/>
              <w:rPr>
                <w:rFonts w:hint="default" w:ascii="Times New Roman" w:hAnsi="Times New Roman" w:cs="Times New Roman"/>
                <w:color w:val="FF0000"/>
                <w:spacing w:val="0"/>
                <w:sz w:val="24"/>
                <w:szCs w:val="24"/>
                <w:highlight w:val="none"/>
              </w:rPr>
            </w:pPr>
            <w:r>
              <w:rPr>
                <w:rFonts w:hint="default" w:ascii="Times New Roman" w:hAnsi="Times New Roman" w:cs="Times New Roman"/>
                <w:color w:val="FF0000"/>
                <w:spacing w:val="0"/>
                <w:sz w:val="24"/>
                <w:szCs w:val="24"/>
                <w:highlight w:val="none"/>
              </w:rPr>
              <w:t>序号</w:t>
            </w:r>
          </w:p>
        </w:tc>
        <w:tc>
          <w:tcPr>
            <w:tcW w:w="176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5626A83">
            <w:pPr>
              <w:pStyle w:val="42"/>
              <w:spacing w:beforeLines="0" w:afterLines="0" w:line="240" w:lineRule="auto"/>
              <w:rPr>
                <w:rFonts w:hint="default" w:ascii="Times New Roman" w:hAnsi="Times New Roman" w:cs="Times New Roman"/>
                <w:color w:val="FF0000"/>
                <w:spacing w:val="0"/>
                <w:sz w:val="24"/>
                <w:szCs w:val="24"/>
                <w:highlight w:val="none"/>
              </w:rPr>
            </w:pPr>
            <w:r>
              <w:rPr>
                <w:rFonts w:hint="default" w:ascii="Times New Roman" w:hAnsi="Times New Roman" w:cs="Times New Roman"/>
                <w:color w:val="FF0000"/>
                <w:spacing w:val="0"/>
                <w:sz w:val="24"/>
                <w:szCs w:val="24"/>
                <w:highlight w:val="none"/>
              </w:rPr>
              <w:t>排放口</w:t>
            </w:r>
          </w:p>
        </w:tc>
        <w:tc>
          <w:tcPr>
            <w:tcW w:w="180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DA8F666">
            <w:pPr>
              <w:pStyle w:val="42"/>
              <w:spacing w:beforeLines="0" w:afterLines="0" w:line="240" w:lineRule="auto"/>
              <w:rPr>
                <w:rFonts w:hint="default" w:ascii="Times New Roman" w:hAnsi="Times New Roman" w:cs="Times New Roman"/>
                <w:color w:val="FF0000"/>
                <w:spacing w:val="0"/>
                <w:sz w:val="24"/>
                <w:szCs w:val="24"/>
                <w:highlight w:val="none"/>
                <w:lang w:val="en-US" w:eastAsia="zh-CN"/>
              </w:rPr>
            </w:pPr>
            <w:r>
              <w:rPr>
                <w:rFonts w:hint="default" w:ascii="Times New Roman" w:hAnsi="Times New Roman" w:cs="Times New Roman"/>
                <w:color w:val="FF0000"/>
                <w:spacing w:val="0"/>
                <w:sz w:val="24"/>
                <w:szCs w:val="24"/>
                <w:highlight w:val="none"/>
                <w:lang w:val="en-US" w:eastAsia="zh-CN"/>
              </w:rPr>
              <w:t>评价因子</w:t>
            </w:r>
          </w:p>
        </w:tc>
        <w:tc>
          <w:tcPr>
            <w:tcW w:w="158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4F7171B">
            <w:pPr>
              <w:pStyle w:val="42"/>
              <w:spacing w:beforeLines="0" w:afterLines="0" w:line="240" w:lineRule="auto"/>
              <w:rPr>
                <w:rFonts w:hint="default" w:ascii="Times New Roman" w:hAnsi="Times New Roman" w:cs="Times New Roman"/>
                <w:color w:val="FF0000"/>
                <w:spacing w:val="0"/>
                <w:sz w:val="24"/>
                <w:szCs w:val="24"/>
                <w:highlight w:val="none"/>
              </w:rPr>
            </w:pPr>
            <w:r>
              <w:rPr>
                <w:rFonts w:hint="default" w:ascii="Times New Roman" w:hAnsi="Times New Roman" w:cs="Times New Roman"/>
                <w:color w:val="FF0000"/>
                <w:spacing w:val="0"/>
                <w:sz w:val="24"/>
                <w:szCs w:val="24"/>
                <w:highlight w:val="none"/>
              </w:rPr>
              <w:t>排放浓度(mg/m</w:t>
            </w:r>
            <w:r>
              <w:rPr>
                <w:rFonts w:hint="default" w:ascii="Times New Roman" w:hAnsi="Times New Roman" w:cs="Times New Roman"/>
                <w:color w:val="FF0000"/>
                <w:spacing w:val="0"/>
                <w:sz w:val="24"/>
                <w:szCs w:val="24"/>
                <w:highlight w:val="none"/>
                <w:vertAlign w:val="superscript"/>
              </w:rPr>
              <w:t>3</w:t>
            </w:r>
            <w:r>
              <w:rPr>
                <w:rFonts w:hint="default" w:ascii="Times New Roman" w:hAnsi="Times New Roman" w:cs="Times New Roman"/>
                <w:color w:val="FF0000"/>
                <w:spacing w:val="0"/>
                <w:sz w:val="24"/>
                <w:szCs w:val="24"/>
                <w:highlight w:val="none"/>
              </w:rPr>
              <w:t>)</w:t>
            </w:r>
          </w:p>
        </w:tc>
        <w:tc>
          <w:tcPr>
            <w:tcW w:w="164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3C4767B">
            <w:pPr>
              <w:pStyle w:val="42"/>
              <w:spacing w:beforeLines="0" w:afterLines="0" w:line="240" w:lineRule="auto"/>
              <w:rPr>
                <w:rFonts w:hint="default" w:ascii="Times New Roman" w:hAnsi="Times New Roman" w:cs="Times New Roman"/>
                <w:color w:val="FF0000"/>
                <w:spacing w:val="0"/>
                <w:sz w:val="24"/>
                <w:szCs w:val="24"/>
                <w:highlight w:val="none"/>
              </w:rPr>
            </w:pPr>
            <w:r>
              <w:rPr>
                <w:rFonts w:hint="default" w:ascii="Times New Roman" w:hAnsi="Times New Roman" w:cs="Times New Roman"/>
                <w:color w:val="FF0000"/>
                <w:spacing w:val="0"/>
                <w:sz w:val="24"/>
                <w:szCs w:val="24"/>
                <w:highlight w:val="none"/>
              </w:rPr>
              <w:t>年排放量</w:t>
            </w:r>
          </w:p>
          <w:p w14:paraId="0985AD73">
            <w:pPr>
              <w:pStyle w:val="42"/>
              <w:spacing w:beforeLines="0" w:afterLines="0" w:line="240" w:lineRule="auto"/>
              <w:rPr>
                <w:rFonts w:hint="default" w:ascii="Times New Roman" w:hAnsi="Times New Roman" w:cs="Times New Roman"/>
                <w:color w:val="FF0000"/>
                <w:spacing w:val="0"/>
                <w:sz w:val="24"/>
                <w:szCs w:val="24"/>
                <w:highlight w:val="none"/>
              </w:rPr>
            </w:pPr>
            <w:r>
              <w:rPr>
                <w:rFonts w:hint="default" w:ascii="Times New Roman" w:hAnsi="Times New Roman" w:cs="Times New Roman"/>
                <w:color w:val="FF0000"/>
                <w:spacing w:val="0"/>
                <w:sz w:val="24"/>
                <w:szCs w:val="24"/>
                <w:highlight w:val="none"/>
              </w:rPr>
              <w:t>(t/a)</w:t>
            </w:r>
          </w:p>
        </w:tc>
        <w:tc>
          <w:tcPr>
            <w:tcW w:w="167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A5CB11E">
            <w:pPr>
              <w:pStyle w:val="42"/>
              <w:spacing w:beforeLines="0" w:afterLines="0" w:line="240" w:lineRule="auto"/>
              <w:rPr>
                <w:rFonts w:hint="default" w:ascii="Times New Roman" w:hAnsi="Times New Roman" w:cs="Times New Roman"/>
                <w:color w:val="FF0000"/>
                <w:spacing w:val="0"/>
                <w:sz w:val="24"/>
                <w:szCs w:val="24"/>
                <w:highlight w:val="none"/>
              </w:rPr>
            </w:pPr>
            <w:r>
              <w:rPr>
                <w:rFonts w:hint="default" w:ascii="Times New Roman" w:hAnsi="Times New Roman" w:cs="Times New Roman"/>
                <w:color w:val="FF0000"/>
                <w:spacing w:val="0"/>
                <w:sz w:val="24"/>
                <w:szCs w:val="24"/>
                <w:highlight w:val="none"/>
              </w:rPr>
              <w:t>排放速率</w:t>
            </w:r>
          </w:p>
          <w:p w14:paraId="2F3D7AE1">
            <w:pPr>
              <w:pStyle w:val="42"/>
              <w:spacing w:beforeLines="0" w:afterLines="0" w:line="240" w:lineRule="auto"/>
              <w:rPr>
                <w:rFonts w:hint="default" w:ascii="Times New Roman" w:hAnsi="Times New Roman" w:cs="Times New Roman"/>
                <w:color w:val="FF0000"/>
                <w:spacing w:val="0"/>
                <w:sz w:val="24"/>
                <w:szCs w:val="24"/>
                <w:highlight w:val="none"/>
              </w:rPr>
            </w:pPr>
            <w:r>
              <w:rPr>
                <w:rFonts w:hint="default" w:ascii="Times New Roman" w:hAnsi="Times New Roman" w:cs="Times New Roman"/>
                <w:color w:val="FF0000"/>
                <w:spacing w:val="0"/>
                <w:sz w:val="24"/>
                <w:szCs w:val="24"/>
                <w:highlight w:val="none"/>
              </w:rPr>
              <w:t>(kg/h)</w:t>
            </w:r>
          </w:p>
        </w:tc>
      </w:tr>
      <w:tr w14:paraId="3BA73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trPr>
        <w:tc>
          <w:tcPr>
            <w:tcW w:w="592"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3A6F1F55">
            <w:pPr>
              <w:pStyle w:val="42"/>
              <w:spacing w:beforeLines="0" w:afterLines="0" w:line="240" w:lineRule="auto"/>
              <w:rPr>
                <w:rFonts w:hint="default" w:ascii="Times New Roman" w:hAnsi="Times New Roman" w:cs="Times New Roman"/>
                <w:color w:val="FF0000"/>
                <w:spacing w:val="0"/>
                <w:sz w:val="24"/>
                <w:szCs w:val="24"/>
                <w:highlight w:val="none"/>
              </w:rPr>
            </w:pPr>
            <w:r>
              <w:rPr>
                <w:rFonts w:hint="default" w:ascii="Times New Roman" w:hAnsi="Times New Roman" w:cs="Times New Roman"/>
                <w:color w:val="FF0000"/>
                <w:spacing w:val="0"/>
                <w:sz w:val="24"/>
                <w:szCs w:val="24"/>
                <w:highlight w:val="none"/>
              </w:rPr>
              <w:t>1</w:t>
            </w:r>
          </w:p>
        </w:tc>
        <w:tc>
          <w:tcPr>
            <w:tcW w:w="176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5C26274">
            <w:pPr>
              <w:pStyle w:val="42"/>
              <w:spacing w:beforeLines="0" w:afterLines="0" w:line="240" w:lineRule="auto"/>
              <w:rPr>
                <w:rFonts w:hint="default" w:ascii="Times New Roman" w:hAnsi="Times New Roman" w:cs="Times New Roman"/>
                <w:color w:val="FF0000"/>
                <w:spacing w:val="0"/>
                <w:sz w:val="24"/>
                <w:szCs w:val="24"/>
                <w:highlight w:val="none"/>
                <w:lang w:val="en-US" w:eastAsia="zh-CN"/>
              </w:rPr>
            </w:pPr>
            <w:r>
              <w:rPr>
                <w:rFonts w:hint="default" w:ascii="Times New Roman" w:hAnsi="Times New Roman" w:cs="Times New Roman"/>
                <w:color w:val="FF0000"/>
                <w:spacing w:val="0"/>
                <w:sz w:val="24"/>
                <w:szCs w:val="24"/>
                <w:highlight w:val="none"/>
                <w:lang w:val="en-US" w:eastAsia="zh-CN"/>
              </w:rPr>
              <w:t>筛分废气排气筒（DA001）</w:t>
            </w:r>
          </w:p>
        </w:tc>
        <w:tc>
          <w:tcPr>
            <w:tcW w:w="180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FD1CDD7">
            <w:pPr>
              <w:pStyle w:val="42"/>
              <w:spacing w:beforeLines="0" w:afterLines="0" w:line="240" w:lineRule="auto"/>
              <w:rPr>
                <w:rFonts w:hint="default" w:ascii="Times New Roman" w:hAnsi="Times New Roman" w:cs="Times New Roman"/>
                <w:color w:val="FF0000"/>
                <w:spacing w:val="0"/>
                <w:sz w:val="24"/>
                <w:szCs w:val="24"/>
                <w:highlight w:val="none"/>
                <w:lang w:val="en-US" w:eastAsia="zh-CN"/>
              </w:rPr>
            </w:pPr>
            <w:r>
              <w:rPr>
                <w:rFonts w:hint="default" w:ascii="Times New Roman" w:hAnsi="Times New Roman" w:cs="Times New Roman"/>
                <w:color w:val="FF0000"/>
                <w:spacing w:val="0"/>
                <w:sz w:val="24"/>
                <w:szCs w:val="24"/>
                <w:highlight w:val="none"/>
                <w:lang w:val="en-US" w:eastAsia="zh-CN"/>
              </w:rPr>
              <w:t>颗</w:t>
            </w:r>
            <w:r>
              <w:rPr>
                <w:rFonts w:hint="default" w:ascii="Times New Roman" w:hAnsi="Times New Roman" w:eastAsia="宋体" w:cs="Times New Roman"/>
                <w:color w:val="auto"/>
                <w:spacing w:val="0"/>
                <w:sz w:val="24"/>
                <w:szCs w:val="24"/>
                <w:highlight w:val="none"/>
                <w:lang w:val="en-US" w:eastAsia="zh-CN"/>
              </w:rPr>
              <w:t>粒</w:t>
            </w:r>
            <w:r>
              <w:rPr>
                <w:rFonts w:hint="default" w:ascii="Times New Roman" w:hAnsi="Times New Roman" w:cs="Times New Roman"/>
                <w:color w:val="FF0000"/>
                <w:spacing w:val="0"/>
                <w:sz w:val="24"/>
                <w:szCs w:val="24"/>
                <w:highlight w:val="none"/>
                <w:lang w:val="en-US" w:eastAsia="zh-CN"/>
              </w:rPr>
              <w:t>物</w:t>
            </w:r>
          </w:p>
        </w:tc>
        <w:tc>
          <w:tcPr>
            <w:tcW w:w="158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CEA3AE3">
            <w:pPr>
              <w:pStyle w:val="42"/>
              <w:spacing w:beforeLines="0" w:afterLines="0" w:line="240" w:lineRule="auto"/>
              <w:rPr>
                <w:rFonts w:hint="default" w:ascii="Times New Roman" w:hAnsi="Times New Roman" w:cs="Times New Roman"/>
                <w:color w:val="FF0000"/>
                <w:spacing w:val="0"/>
                <w:sz w:val="24"/>
                <w:szCs w:val="24"/>
                <w:highlight w:val="none"/>
                <w:lang w:val="en-US" w:eastAsia="zh-CN"/>
              </w:rPr>
            </w:pPr>
            <w:r>
              <w:rPr>
                <w:rFonts w:hint="default" w:ascii="Times New Roman" w:hAnsi="Times New Roman" w:cs="Times New Roman"/>
                <w:color w:val="FF0000"/>
                <w:spacing w:val="0"/>
                <w:sz w:val="24"/>
                <w:szCs w:val="24"/>
                <w:highlight w:val="none"/>
                <w:lang w:val="en-US" w:eastAsia="zh-CN"/>
              </w:rPr>
              <w:t>3.000</w:t>
            </w:r>
          </w:p>
        </w:tc>
        <w:tc>
          <w:tcPr>
            <w:tcW w:w="164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2EE40EB">
            <w:pPr>
              <w:pStyle w:val="42"/>
              <w:spacing w:beforeLines="0" w:afterLines="0" w:line="240" w:lineRule="auto"/>
              <w:rPr>
                <w:rFonts w:hint="default" w:ascii="Times New Roman" w:hAnsi="Times New Roman" w:cs="Times New Roman"/>
                <w:color w:val="FF0000"/>
                <w:spacing w:val="0"/>
                <w:sz w:val="24"/>
                <w:szCs w:val="24"/>
                <w:highlight w:val="none"/>
                <w:lang w:val="en-US" w:eastAsia="zh-CN"/>
              </w:rPr>
            </w:pPr>
            <w:r>
              <w:rPr>
                <w:rFonts w:hint="default" w:ascii="Times New Roman" w:hAnsi="Times New Roman" w:cs="Times New Roman"/>
                <w:color w:val="FF0000"/>
                <w:spacing w:val="0"/>
                <w:sz w:val="24"/>
                <w:szCs w:val="24"/>
                <w:highlight w:val="none"/>
                <w:lang w:val="en-US" w:eastAsia="zh-CN"/>
              </w:rPr>
              <w:t>0.144</w:t>
            </w:r>
          </w:p>
        </w:tc>
        <w:tc>
          <w:tcPr>
            <w:tcW w:w="167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300B5B0">
            <w:pPr>
              <w:pStyle w:val="42"/>
              <w:spacing w:beforeLines="0" w:afterLines="0" w:line="240" w:lineRule="auto"/>
              <w:rPr>
                <w:rFonts w:hint="default" w:ascii="Times New Roman" w:hAnsi="Times New Roman" w:cs="Times New Roman"/>
                <w:color w:val="FF0000"/>
                <w:spacing w:val="0"/>
                <w:sz w:val="24"/>
                <w:szCs w:val="24"/>
                <w:highlight w:val="none"/>
                <w:lang w:val="en-US" w:eastAsia="zh-CN"/>
              </w:rPr>
            </w:pPr>
            <w:r>
              <w:rPr>
                <w:rFonts w:hint="default" w:ascii="Times New Roman" w:hAnsi="Times New Roman" w:cs="Times New Roman"/>
                <w:color w:val="FF0000"/>
                <w:spacing w:val="0"/>
                <w:sz w:val="24"/>
                <w:szCs w:val="24"/>
                <w:highlight w:val="none"/>
                <w:lang w:val="en-US" w:eastAsia="zh-CN"/>
              </w:rPr>
              <w:t>0.030</w:t>
            </w:r>
          </w:p>
        </w:tc>
      </w:tr>
      <w:tr w14:paraId="45C16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51" w:hRule="atLeast"/>
        </w:trPr>
        <w:tc>
          <w:tcPr>
            <w:tcW w:w="59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31A4A84E">
            <w:pPr>
              <w:pStyle w:val="42"/>
              <w:spacing w:beforeLines="0" w:afterLines="0" w:line="240" w:lineRule="auto"/>
              <w:rPr>
                <w:rFonts w:hint="default" w:ascii="Times New Roman" w:hAnsi="Times New Roman" w:cs="Times New Roman"/>
                <w:color w:val="FF0000"/>
                <w:spacing w:val="0"/>
                <w:sz w:val="24"/>
                <w:szCs w:val="24"/>
                <w:highlight w:val="none"/>
              </w:rPr>
            </w:pPr>
          </w:p>
        </w:tc>
        <w:tc>
          <w:tcPr>
            <w:tcW w:w="176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EDEC7AE">
            <w:pPr>
              <w:pStyle w:val="42"/>
              <w:spacing w:beforeLines="0" w:afterLines="0" w:line="240" w:lineRule="auto"/>
              <w:rPr>
                <w:rFonts w:hint="default" w:ascii="Times New Roman" w:hAnsi="Times New Roman" w:cs="Times New Roman"/>
                <w:color w:val="00B050"/>
                <w:spacing w:val="0"/>
                <w:sz w:val="24"/>
                <w:szCs w:val="24"/>
                <w:highlight w:val="none"/>
                <w:lang w:val="en-US"/>
              </w:rPr>
            </w:pPr>
            <w:r>
              <w:rPr>
                <w:rFonts w:hint="default" w:ascii="Times New Roman" w:hAnsi="Times New Roman" w:cs="Times New Roman"/>
                <w:color w:val="00B050"/>
                <w:spacing w:val="0"/>
                <w:sz w:val="24"/>
                <w:szCs w:val="24"/>
                <w:highlight w:val="none"/>
                <w:lang w:val="en-US" w:eastAsia="zh-CN"/>
              </w:rPr>
              <w:t>烘干废气排气筒（DA002）</w:t>
            </w:r>
          </w:p>
        </w:tc>
        <w:tc>
          <w:tcPr>
            <w:tcW w:w="1804" w:type="dxa"/>
            <w:tcBorders>
              <w:top w:val="single" w:color="auto" w:sz="4" w:space="0"/>
              <w:left w:val="single" w:color="auto" w:sz="4" w:space="0"/>
              <w:right w:val="single" w:color="auto" w:sz="4" w:space="0"/>
              <w:tl2br w:val="nil"/>
              <w:tr2bl w:val="nil"/>
            </w:tcBorders>
            <w:noWrap w:val="0"/>
            <w:vAlign w:val="center"/>
          </w:tcPr>
          <w:p w14:paraId="23850DF8">
            <w:pPr>
              <w:pStyle w:val="42"/>
              <w:spacing w:beforeLines="0" w:afterLines="0" w:line="240" w:lineRule="auto"/>
              <w:rPr>
                <w:rFonts w:hint="default" w:ascii="Times New Roman" w:hAnsi="Times New Roman" w:cs="Times New Roman"/>
                <w:color w:val="00B050"/>
                <w:spacing w:val="0"/>
                <w:sz w:val="24"/>
                <w:szCs w:val="24"/>
                <w:highlight w:val="none"/>
                <w:lang w:val="en-US" w:eastAsia="zh-CN"/>
              </w:rPr>
            </w:pPr>
            <w:r>
              <w:rPr>
                <w:rFonts w:hint="default" w:ascii="Times New Roman" w:hAnsi="Times New Roman" w:cs="Times New Roman"/>
                <w:color w:val="00B050"/>
                <w:spacing w:val="0"/>
                <w:sz w:val="24"/>
                <w:szCs w:val="24"/>
                <w:highlight w:val="none"/>
                <w:lang w:val="en-US" w:eastAsia="zh-CN"/>
              </w:rPr>
              <w:t>颗粒物</w:t>
            </w:r>
          </w:p>
        </w:tc>
        <w:tc>
          <w:tcPr>
            <w:tcW w:w="1588" w:type="dxa"/>
            <w:tcBorders>
              <w:top w:val="single" w:color="auto" w:sz="4" w:space="0"/>
              <w:left w:val="single" w:color="auto" w:sz="4" w:space="0"/>
              <w:right w:val="single" w:color="auto" w:sz="4" w:space="0"/>
              <w:tl2br w:val="nil"/>
              <w:tr2bl w:val="nil"/>
            </w:tcBorders>
            <w:noWrap w:val="0"/>
            <w:vAlign w:val="center"/>
          </w:tcPr>
          <w:p w14:paraId="78F5FBC9">
            <w:pPr>
              <w:pStyle w:val="42"/>
              <w:spacing w:beforeLines="0" w:afterLines="0" w:line="240" w:lineRule="auto"/>
              <w:rPr>
                <w:rFonts w:hint="default" w:ascii="Times New Roman" w:hAnsi="Times New Roman" w:cs="Times New Roman"/>
                <w:color w:val="00B050"/>
                <w:spacing w:val="0"/>
                <w:sz w:val="24"/>
                <w:szCs w:val="24"/>
                <w:highlight w:val="none"/>
                <w:lang w:val="en-US" w:eastAsia="zh-CN"/>
              </w:rPr>
            </w:pPr>
            <w:r>
              <w:rPr>
                <w:rFonts w:hint="eastAsia" w:ascii="Times New Roman" w:hAnsi="Times New Roman" w:cs="Times New Roman"/>
                <w:color w:val="00B050"/>
                <w:spacing w:val="0"/>
                <w:sz w:val="24"/>
                <w:szCs w:val="24"/>
                <w:highlight w:val="none"/>
                <w:lang w:val="en-US" w:eastAsia="zh-CN"/>
              </w:rPr>
              <w:t>11.806</w:t>
            </w:r>
            <w:r>
              <w:rPr>
                <w:rFonts w:hint="default" w:ascii="Times New Roman" w:hAnsi="Times New Roman" w:cs="Times New Roman"/>
                <w:color w:val="00B050"/>
                <w:spacing w:val="0"/>
                <w:sz w:val="24"/>
                <w:szCs w:val="24"/>
                <w:highlight w:val="none"/>
                <w:lang w:val="en-US" w:eastAsia="zh-CN"/>
              </w:rPr>
              <w:t xml:space="preserve"> </w:t>
            </w:r>
          </w:p>
        </w:tc>
        <w:tc>
          <w:tcPr>
            <w:tcW w:w="1643" w:type="dxa"/>
            <w:tcBorders>
              <w:top w:val="single" w:color="auto" w:sz="4" w:space="0"/>
              <w:left w:val="single" w:color="auto" w:sz="4" w:space="0"/>
              <w:right w:val="single" w:color="auto" w:sz="4" w:space="0"/>
              <w:tl2br w:val="nil"/>
              <w:tr2bl w:val="nil"/>
            </w:tcBorders>
            <w:noWrap w:val="0"/>
            <w:vAlign w:val="center"/>
          </w:tcPr>
          <w:p w14:paraId="0BDCA39D">
            <w:pPr>
              <w:pStyle w:val="42"/>
              <w:spacing w:beforeLines="0" w:afterLines="0" w:line="240" w:lineRule="auto"/>
              <w:rPr>
                <w:rFonts w:hint="default" w:ascii="Times New Roman" w:hAnsi="Times New Roman" w:cs="Times New Roman"/>
                <w:color w:val="00B050"/>
                <w:spacing w:val="0"/>
                <w:sz w:val="24"/>
                <w:szCs w:val="24"/>
                <w:highlight w:val="none"/>
                <w:lang w:val="en-US" w:eastAsia="zh-CN"/>
              </w:rPr>
            </w:pPr>
            <w:r>
              <w:rPr>
                <w:rFonts w:hint="eastAsia" w:ascii="Times New Roman" w:hAnsi="Times New Roman" w:cs="Times New Roman"/>
                <w:color w:val="00B050"/>
                <w:spacing w:val="0"/>
                <w:sz w:val="24"/>
                <w:szCs w:val="24"/>
                <w:highlight w:val="none"/>
                <w:lang w:val="en-US" w:eastAsia="zh-CN"/>
              </w:rPr>
              <w:t>0.680</w:t>
            </w:r>
            <w:r>
              <w:rPr>
                <w:rFonts w:hint="default" w:ascii="Times New Roman" w:hAnsi="Times New Roman" w:cs="Times New Roman"/>
                <w:color w:val="00B050"/>
                <w:spacing w:val="0"/>
                <w:sz w:val="24"/>
                <w:szCs w:val="24"/>
                <w:highlight w:val="none"/>
                <w:lang w:val="en-US" w:eastAsia="zh-CN"/>
              </w:rPr>
              <w:t xml:space="preserve"> </w:t>
            </w:r>
          </w:p>
        </w:tc>
        <w:tc>
          <w:tcPr>
            <w:tcW w:w="167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39C59B9">
            <w:pPr>
              <w:pStyle w:val="42"/>
              <w:spacing w:beforeLines="0" w:afterLines="0" w:line="240" w:lineRule="auto"/>
              <w:rPr>
                <w:rFonts w:hint="default" w:ascii="Times New Roman" w:hAnsi="Times New Roman" w:cs="Times New Roman"/>
                <w:color w:val="00B050"/>
                <w:spacing w:val="0"/>
                <w:sz w:val="24"/>
                <w:szCs w:val="24"/>
                <w:highlight w:val="none"/>
                <w:lang w:val="en-US" w:eastAsia="zh-CN"/>
              </w:rPr>
            </w:pPr>
            <w:r>
              <w:rPr>
                <w:rFonts w:hint="eastAsia" w:ascii="Times New Roman" w:hAnsi="Times New Roman" w:cs="Times New Roman"/>
                <w:color w:val="00B050"/>
                <w:spacing w:val="0"/>
                <w:sz w:val="24"/>
                <w:szCs w:val="24"/>
                <w:highlight w:val="none"/>
                <w:lang w:val="en-US" w:eastAsia="zh-CN"/>
              </w:rPr>
              <w:t>0.142</w:t>
            </w:r>
          </w:p>
        </w:tc>
      </w:tr>
    </w:tbl>
    <w:p w14:paraId="08F849A8">
      <w:pPr>
        <w:pStyle w:val="45"/>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表</w:t>
      </w:r>
      <w:r>
        <w:rPr>
          <w:rFonts w:hint="default" w:ascii="Times New Roman" w:hAnsi="Times New Roman" w:cs="Times New Roman"/>
          <w:color w:val="auto"/>
          <w:sz w:val="24"/>
          <w:szCs w:val="24"/>
          <w:highlight w:val="none"/>
          <w:lang w:eastAsia="zh-CN"/>
        </w:rPr>
        <w:t>2</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eastAsia="zh-CN"/>
        </w:rPr>
        <w:t>5</w:t>
      </w:r>
      <w:r>
        <w:rPr>
          <w:rFonts w:hint="default" w:ascii="Times New Roman" w:hAnsi="Times New Roman" w:cs="Times New Roman"/>
          <w:color w:val="auto"/>
          <w:sz w:val="24"/>
          <w:szCs w:val="24"/>
          <w:highlight w:val="none"/>
        </w:rPr>
        <w:t>-3</w:t>
      </w: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rPr>
        <w:t>本项目大气污染物无组织排放量</w:t>
      </w:r>
    </w:p>
    <w:tbl>
      <w:tblPr>
        <w:tblStyle w:val="31"/>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338"/>
        <w:gridCol w:w="589"/>
        <w:gridCol w:w="834"/>
        <w:gridCol w:w="1857"/>
        <w:gridCol w:w="2348"/>
        <w:gridCol w:w="996"/>
        <w:gridCol w:w="1011"/>
        <w:gridCol w:w="1144"/>
      </w:tblGrid>
      <w:tr w14:paraId="5744F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0" w:hRule="atLeast"/>
        </w:trPr>
        <w:tc>
          <w:tcPr>
            <w:tcW w:w="185"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63852781">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序号</w:t>
            </w:r>
          </w:p>
        </w:tc>
        <w:tc>
          <w:tcPr>
            <w:tcW w:w="323"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1EE7D2A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产污环节</w:t>
            </w:r>
          </w:p>
        </w:tc>
        <w:tc>
          <w:tcPr>
            <w:tcW w:w="457"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74773BB4">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污染物</w:t>
            </w:r>
          </w:p>
        </w:tc>
        <w:tc>
          <w:tcPr>
            <w:tcW w:w="1018"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40FC723D">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主要污染防治措施</w:t>
            </w:r>
          </w:p>
        </w:tc>
        <w:tc>
          <w:tcPr>
            <w:tcW w:w="1833"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78485F18">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国家或地方污染物排放标准</w:t>
            </w:r>
          </w:p>
        </w:tc>
        <w:tc>
          <w:tcPr>
            <w:tcW w:w="554"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347B5FD8">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年排放量</w:t>
            </w:r>
          </w:p>
        </w:tc>
        <w:tc>
          <w:tcPr>
            <w:tcW w:w="627"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47315A68">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排放速率</w:t>
            </w:r>
          </w:p>
        </w:tc>
      </w:tr>
      <w:tr w14:paraId="509CD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0" w:hRule="atLeast"/>
        </w:trPr>
        <w:tc>
          <w:tcPr>
            <w:tcW w:w="185"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16849CDF">
            <w:pPr>
              <w:pStyle w:val="48"/>
              <w:spacing w:beforeLines="0" w:afterLines="0"/>
              <w:rPr>
                <w:rFonts w:hint="default" w:ascii="Times New Roman" w:hAnsi="Times New Roman" w:cs="Times New Roman"/>
                <w:color w:val="auto"/>
                <w:sz w:val="24"/>
                <w:szCs w:val="24"/>
                <w:highlight w:val="none"/>
              </w:rPr>
            </w:pPr>
          </w:p>
        </w:tc>
        <w:tc>
          <w:tcPr>
            <w:tcW w:w="323"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085E4B6E">
            <w:pPr>
              <w:pStyle w:val="48"/>
              <w:spacing w:beforeLines="0" w:afterLines="0"/>
              <w:rPr>
                <w:rFonts w:hint="default" w:ascii="Times New Roman" w:hAnsi="Times New Roman" w:cs="Times New Roman"/>
                <w:color w:val="auto"/>
                <w:sz w:val="24"/>
                <w:szCs w:val="24"/>
                <w:highlight w:val="none"/>
              </w:rPr>
            </w:pPr>
          </w:p>
        </w:tc>
        <w:tc>
          <w:tcPr>
            <w:tcW w:w="457"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75B5CA32">
            <w:pPr>
              <w:pStyle w:val="48"/>
              <w:spacing w:beforeLines="0" w:afterLines="0"/>
              <w:rPr>
                <w:rFonts w:hint="default" w:ascii="Times New Roman" w:hAnsi="Times New Roman" w:cs="Times New Roman"/>
                <w:color w:val="auto"/>
                <w:sz w:val="24"/>
                <w:szCs w:val="24"/>
                <w:highlight w:val="none"/>
              </w:rPr>
            </w:pPr>
          </w:p>
        </w:tc>
        <w:tc>
          <w:tcPr>
            <w:tcW w:w="1018"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46C0B2A5">
            <w:pPr>
              <w:pStyle w:val="48"/>
              <w:spacing w:beforeLines="0" w:afterLines="0"/>
              <w:rPr>
                <w:rFonts w:hint="default" w:ascii="Times New Roman" w:hAnsi="Times New Roman" w:cs="Times New Roman"/>
                <w:color w:val="auto"/>
                <w:sz w:val="24"/>
                <w:szCs w:val="24"/>
                <w:highlight w:val="none"/>
              </w:rPr>
            </w:pPr>
          </w:p>
        </w:tc>
        <w:tc>
          <w:tcPr>
            <w:tcW w:w="128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811BC21">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标准名称</w:t>
            </w:r>
          </w:p>
        </w:tc>
        <w:tc>
          <w:tcPr>
            <w:tcW w:w="54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73DFDD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浓度限值</w:t>
            </w:r>
          </w:p>
        </w:tc>
        <w:tc>
          <w:tcPr>
            <w:tcW w:w="554"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1B469A79">
            <w:pPr>
              <w:pStyle w:val="48"/>
              <w:spacing w:beforeLines="0" w:afterLines="0"/>
              <w:rPr>
                <w:rFonts w:hint="default" w:ascii="Times New Roman" w:hAnsi="Times New Roman" w:cs="Times New Roman"/>
                <w:color w:val="auto"/>
                <w:sz w:val="24"/>
                <w:szCs w:val="24"/>
                <w:highlight w:val="none"/>
              </w:rPr>
            </w:pPr>
          </w:p>
        </w:tc>
        <w:tc>
          <w:tcPr>
            <w:tcW w:w="627"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51901DB1">
            <w:pPr>
              <w:pStyle w:val="48"/>
              <w:spacing w:beforeLines="0" w:afterLines="0"/>
              <w:rPr>
                <w:rFonts w:hint="default" w:ascii="Times New Roman" w:hAnsi="Times New Roman" w:cs="Times New Roman"/>
                <w:color w:val="auto"/>
                <w:sz w:val="24"/>
                <w:szCs w:val="24"/>
                <w:highlight w:val="none"/>
              </w:rPr>
            </w:pPr>
          </w:p>
        </w:tc>
      </w:tr>
      <w:tr w14:paraId="76040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0" w:hRule="atLeast"/>
        </w:trPr>
        <w:tc>
          <w:tcPr>
            <w:tcW w:w="18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4EB13CC">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w:t>
            </w:r>
          </w:p>
        </w:tc>
        <w:tc>
          <w:tcPr>
            <w:tcW w:w="32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5667DB5">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开采</w:t>
            </w:r>
          </w:p>
        </w:tc>
        <w:tc>
          <w:tcPr>
            <w:tcW w:w="4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0831467">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颗粒物</w:t>
            </w:r>
          </w:p>
        </w:tc>
        <w:tc>
          <w:tcPr>
            <w:tcW w:w="101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A08684C">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移动雾炮除尘，分区分片开采</w:t>
            </w:r>
          </w:p>
        </w:tc>
        <w:tc>
          <w:tcPr>
            <w:tcW w:w="1287" w:type="pct"/>
            <w:vMerge w:val="restart"/>
            <w:tcBorders>
              <w:top w:val="single" w:color="auto" w:sz="4" w:space="0"/>
              <w:left w:val="single" w:color="auto" w:sz="4" w:space="0"/>
              <w:right w:val="single" w:color="auto" w:sz="4" w:space="0"/>
              <w:tl2br w:val="nil"/>
              <w:tr2bl w:val="nil"/>
            </w:tcBorders>
            <w:noWrap w:val="0"/>
            <w:vAlign w:val="center"/>
          </w:tcPr>
          <w:p w14:paraId="72DC8C0D">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《大气污染物综合排放标准》</w:t>
            </w:r>
          </w:p>
          <w:p w14:paraId="0C66CCCD">
            <w:pPr>
              <w:pStyle w:val="48"/>
              <w:spacing w:beforeLines="0" w:afterLines="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rPr>
              <w:t>（GB16297-1996）表2新污染源大气污染物无组织排放限值</w:t>
            </w:r>
          </w:p>
        </w:tc>
        <w:tc>
          <w:tcPr>
            <w:tcW w:w="546"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39A9C72A">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1.0</w:t>
            </w:r>
            <w:r>
              <w:rPr>
                <w:rFonts w:hint="default" w:ascii="Times New Roman" w:hAnsi="Times New Roman" w:cs="Times New Roman"/>
                <w:color w:val="auto"/>
                <w:sz w:val="24"/>
                <w:szCs w:val="24"/>
                <w:highlight w:val="none"/>
              </w:rPr>
              <w:t>mg/m</w:t>
            </w:r>
            <w:r>
              <w:rPr>
                <w:rFonts w:hint="default" w:ascii="Times New Roman" w:hAnsi="Times New Roman" w:cs="Times New Roman"/>
                <w:color w:val="auto"/>
                <w:sz w:val="24"/>
                <w:szCs w:val="24"/>
                <w:highlight w:val="none"/>
                <w:vertAlign w:val="superscript"/>
              </w:rPr>
              <w:t>3</w:t>
            </w:r>
          </w:p>
        </w:tc>
        <w:tc>
          <w:tcPr>
            <w:tcW w:w="55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B97C36B">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9.84t/a</w:t>
            </w:r>
          </w:p>
        </w:tc>
        <w:tc>
          <w:tcPr>
            <w:tcW w:w="62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F96AC5F">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2.047kg/h</w:t>
            </w:r>
          </w:p>
        </w:tc>
      </w:tr>
      <w:tr w14:paraId="259ED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0" w:hRule="atLeast"/>
        </w:trPr>
        <w:tc>
          <w:tcPr>
            <w:tcW w:w="185"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4DD98A99">
            <w:pPr>
              <w:pStyle w:val="48"/>
              <w:spacing w:beforeLines="0" w:afterLines="0"/>
              <w:ind w:left="0" w:leftChars="0" w:firstLine="0" w:firstLineChars="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2</w:t>
            </w:r>
          </w:p>
        </w:tc>
        <w:tc>
          <w:tcPr>
            <w:tcW w:w="32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14AD978">
            <w:pPr>
              <w:pStyle w:val="48"/>
              <w:spacing w:beforeLines="0" w:afterLines="0"/>
              <w:rPr>
                <w:rFonts w:hint="default" w:ascii="Times New Roman" w:hAnsi="Times New Roman" w:cs="Times New Roman"/>
                <w:color w:val="FF0000"/>
                <w:sz w:val="24"/>
                <w:szCs w:val="24"/>
                <w:highlight w:val="none"/>
                <w:lang w:val="en-US" w:eastAsia="zh-CN"/>
              </w:rPr>
            </w:pPr>
            <w:r>
              <w:rPr>
                <w:rFonts w:hint="eastAsia" w:ascii="Times New Roman" w:hAnsi="Times New Roman" w:cs="Times New Roman"/>
                <w:color w:val="FF0000"/>
                <w:sz w:val="24"/>
                <w:szCs w:val="24"/>
                <w:highlight w:val="none"/>
                <w:lang w:val="en-US" w:eastAsia="zh-CN"/>
              </w:rPr>
              <w:t>筛分</w:t>
            </w:r>
          </w:p>
        </w:tc>
        <w:tc>
          <w:tcPr>
            <w:tcW w:w="4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41CC6ED">
            <w:pPr>
              <w:pStyle w:val="48"/>
              <w:spacing w:beforeLines="0" w:afterLines="0"/>
              <w:rPr>
                <w:rFonts w:hint="default" w:ascii="Times New Roman" w:hAnsi="Times New Roman" w:cs="Times New Roman"/>
                <w:color w:val="FF0000"/>
                <w:sz w:val="24"/>
                <w:szCs w:val="24"/>
                <w:highlight w:val="none"/>
                <w:lang w:val="en-US" w:eastAsia="zh-CN"/>
              </w:rPr>
            </w:pPr>
            <w:r>
              <w:rPr>
                <w:rFonts w:hint="eastAsia" w:ascii="Times New Roman" w:hAnsi="Times New Roman" w:cs="Times New Roman"/>
                <w:color w:val="FF0000"/>
                <w:sz w:val="24"/>
                <w:szCs w:val="24"/>
                <w:highlight w:val="none"/>
                <w:lang w:val="en-US" w:eastAsia="zh-CN"/>
              </w:rPr>
              <w:t>颗粒物</w:t>
            </w:r>
          </w:p>
        </w:tc>
        <w:tc>
          <w:tcPr>
            <w:tcW w:w="101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C7C8328">
            <w:pPr>
              <w:pStyle w:val="48"/>
              <w:spacing w:beforeLines="0" w:afterLines="0"/>
              <w:rPr>
                <w:rFonts w:hint="default" w:ascii="Times New Roman" w:hAnsi="Times New Roman" w:cs="Times New Roman"/>
                <w:color w:val="FF0000"/>
                <w:sz w:val="24"/>
                <w:szCs w:val="24"/>
                <w:highlight w:val="none"/>
                <w:lang w:val="en-US" w:eastAsia="zh-CN"/>
              </w:rPr>
            </w:pPr>
            <w:r>
              <w:rPr>
                <w:rFonts w:hint="eastAsia" w:ascii="Times New Roman" w:hAnsi="Times New Roman" w:cs="Times New Roman"/>
                <w:color w:val="FF0000"/>
                <w:sz w:val="24"/>
                <w:szCs w:val="24"/>
                <w:highlight w:val="none"/>
                <w:lang w:val="en-US" w:eastAsia="zh-CN"/>
              </w:rPr>
              <w:t>封闭厂房中</w:t>
            </w:r>
          </w:p>
        </w:tc>
        <w:tc>
          <w:tcPr>
            <w:tcW w:w="1287" w:type="pct"/>
            <w:vMerge w:val="continue"/>
            <w:tcBorders>
              <w:left w:val="single" w:color="auto" w:sz="4" w:space="0"/>
              <w:right w:val="single" w:color="auto" w:sz="4" w:space="0"/>
              <w:tl2br w:val="nil"/>
              <w:tr2bl w:val="nil"/>
            </w:tcBorders>
            <w:noWrap w:val="0"/>
            <w:vAlign w:val="center"/>
          </w:tcPr>
          <w:p w14:paraId="2A5ED0CE">
            <w:pPr>
              <w:pStyle w:val="48"/>
              <w:spacing w:beforeLines="0" w:afterLines="0"/>
              <w:rPr>
                <w:rFonts w:hint="default" w:ascii="Times New Roman" w:hAnsi="Times New Roman" w:cs="Times New Roman"/>
                <w:color w:val="auto"/>
                <w:sz w:val="24"/>
                <w:szCs w:val="24"/>
                <w:highlight w:val="none"/>
              </w:rPr>
            </w:pPr>
          </w:p>
        </w:tc>
        <w:tc>
          <w:tcPr>
            <w:tcW w:w="546" w:type="pct"/>
            <w:vMerge w:val="continue"/>
            <w:tcBorders>
              <w:left w:val="single" w:color="auto" w:sz="4" w:space="0"/>
              <w:right w:val="single" w:color="auto" w:sz="4" w:space="0"/>
              <w:tl2br w:val="nil"/>
              <w:tr2bl w:val="nil"/>
            </w:tcBorders>
            <w:noWrap w:val="0"/>
            <w:vAlign w:val="center"/>
          </w:tcPr>
          <w:p w14:paraId="79C3F5BE">
            <w:pPr>
              <w:pStyle w:val="48"/>
              <w:spacing w:beforeLines="0" w:afterLines="0"/>
              <w:rPr>
                <w:rFonts w:hint="default" w:ascii="Times New Roman" w:hAnsi="Times New Roman" w:cs="Times New Roman"/>
                <w:color w:val="auto"/>
                <w:sz w:val="24"/>
                <w:szCs w:val="24"/>
                <w:highlight w:val="none"/>
                <w:lang w:val="en-US" w:eastAsia="zh-CN"/>
              </w:rPr>
            </w:pPr>
          </w:p>
        </w:tc>
        <w:tc>
          <w:tcPr>
            <w:tcW w:w="55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0848600">
            <w:pPr>
              <w:pStyle w:val="48"/>
              <w:spacing w:beforeLines="0" w:afterLines="0"/>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0.4t/a</w:t>
            </w:r>
          </w:p>
        </w:tc>
        <w:tc>
          <w:tcPr>
            <w:tcW w:w="62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36C5A1F">
            <w:pPr>
              <w:pStyle w:val="48"/>
              <w:spacing w:beforeLines="0" w:afterLines="0"/>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0.083kg/h</w:t>
            </w:r>
          </w:p>
        </w:tc>
      </w:tr>
      <w:tr w14:paraId="7E406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0" w:hRule="atLeast"/>
        </w:trPr>
        <w:tc>
          <w:tcPr>
            <w:tcW w:w="185"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3F83B2E7">
            <w:pPr>
              <w:pStyle w:val="48"/>
              <w:spacing w:beforeLines="0" w:afterLines="0"/>
              <w:ind w:left="0" w:leftChars="0" w:firstLine="0" w:firstLineChars="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3</w:t>
            </w:r>
          </w:p>
        </w:tc>
        <w:tc>
          <w:tcPr>
            <w:tcW w:w="32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368DE86">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表土堆场</w:t>
            </w:r>
          </w:p>
        </w:tc>
        <w:tc>
          <w:tcPr>
            <w:tcW w:w="4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4FAF5A5">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颗粒物</w:t>
            </w:r>
          </w:p>
        </w:tc>
        <w:tc>
          <w:tcPr>
            <w:tcW w:w="101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E0351F6">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定期洒水，篷布覆盖</w:t>
            </w:r>
          </w:p>
        </w:tc>
        <w:tc>
          <w:tcPr>
            <w:tcW w:w="1287" w:type="pct"/>
            <w:vMerge w:val="continue"/>
            <w:tcBorders>
              <w:left w:val="single" w:color="auto" w:sz="4" w:space="0"/>
              <w:right w:val="single" w:color="auto" w:sz="4" w:space="0"/>
              <w:tl2br w:val="nil"/>
              <w:tr2bl w:val="nil"/>
            </w:tcBorders>
            <w:noWrap w:val="0"/>
            <w:vAlign w:val="center"/>
          </w:tcPr>
          <w:p w14:paraId="7627E71B">
            <w:pPr>
              <w:pStyle w:val="48"/>
              <w:spacing w:beforeLines="0" w:afterLines="0"/>
              <w:rPr>
                <w:rFonts w:hint="default" w:ascii="Times New Roman" w:hAnsi="Times New Roman" w:cs="Times New Roman"/>
                <w:color w:val="auto"/>
                <w:sz w:val="24"/>
                <w:szCs w:val="24"/>
                <w:highlight w:val="none"/>
                <w:lang w:val="en-US" w:eastAsia="zh-CN"/>
              </w:rPr>
            </w:pPr>
          </w:p>
        </w:tc>
        <w:tc>
          <w:tcPr>
            <w:tcW w:w="546"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4F2B09BD">
            <w:pPr>
              <w:pStyle w:val="48"/>
              <w:spacing w:beforeLines="0" w:afterLines="0"/>
              <w:rPr>
                <w:rFonts w:hint="default" w:ascii="Times New Roman" w:hAnsi="Times New Roman" w:cs="Times New Roman"/>
                <w:color w:val="auto"/>
                <w:sz w:val="24"/>
                <w:szCs w:val="24"/>
                <w:highlight w:val="none"/>
              </w:rPr>
            </w:pPr>
          </w:p>
        </w:tc>
        <w:tc>
          <w:tcPr>
            <w:tcW w:w="55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0CCE5D6">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0.922t/a</w:t>
            </w:r>
          </w:p>
        </w:tc>
        <w:tc>
          <w:tcPr>
            <w:tcW w:w="62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6D3985C">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0.1171kg/h</w:t>
            </w:r>
          </w:p>
        </w:tc>
      </w:tr>
      <w:tr w14:paraId="237AF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0" w:hRule="atLeast"/>
        </w:trPr>
        <w:tc>
          <w:tcPr>
            <w:tcW w:w="185"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66709554">
            <w:pPr>
              <w:pStyle w:val="48"/>
              <w:spacing w:beforeLines="0" w:afterLines="0"/>
              <w:ind w:left="0" w:leftChars="0" w:firstLine="0" w:firstLineChars="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4</w:t>
            </w:r>
          </w:p>
        </w:tc>
        <w:tc>
          <w:tcPr>
            <w:tcW w:w="32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AC736DD">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排土场</w:t>
            </w:r>
          </w:p>
        </w:tc>
        <w:tc>
          <w:tcPr>
            <w:tcW w:w="4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5B0B946">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颗粒物</w:t>
            </w:r>
          </w:p>
        </w:tc>
        <w:tc>
          <w:tcPr>
            <w:tcW w:w="101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0E4DAC6">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定期洒水，篷布覆盖</w:t>
            </w:r>
          </w:p>
        </w:tc>
        <w:tc>
          <w:tcPr>
            <w:tcW w:w="1287" w:type="pct"/>
            <w:vMerge w:val="continue"/>
            <w:tcBorders>
              <w:left w:val="single" w:color="auto" w:sz="4" w:space="0"/>
              <w:right w:val="single" w:color="auto" w:sz="4" w:space="0"/>
              <w:tl2br w:val="nil"/>
              <w:tr2bl w:val="nil"/>
            </w:tcBorders>
            <w:noWrap w:val="0"/>
            <w:vAlign w:val="center"/>
          </w:tcPr>
          <w:p w14:paraId="4BAD0DF1">
            <w:pPr>
              <w:pStyle w:val="48"/>
              <w:spacing w:beforeLines="0" w:afterLines="0"/>
              <w:rPr>
                <w:rFonts w:hint="default" w:ascii="Times New Roman" w:hAnsi="Times New Roman" w:cs="Times New Roman"/>
                <w:color w:val="auto"/>
                <w:sz w:val="24"/>
                <w:szCs w:val="24"/>
                <w:highlight w:val="none"/>
                <w:lang w:val="en-US" w:eastAsia="zh-CN"/>
              </w:rPr>
            </w:pPr>
          </w:p>
        </w:tc>
        <w:tc>
          <w:tcPr>
            <w:tcW w:w="546"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42C273FD">
            <w:pPr>
              <w:pStyle w:val="48"/>
              <w:spacing w:beforeLines="0" w:afterLines="0"/>
              <w:rPr>
                <w:rFonts w:hint="default" w:ascii="Times New Roman" w:hAnsi="Times New Roman" w:cs="Times New Roman"/>
                <w:color w:val="auto"/>
                <w:sz w:val="24"/>
                <w:szCs w:val="24"/>
                <w:highlight w:val="none"/>
              </w:rPr>
            </w:pPr>
          </w:p>
        </w:tc>
        <w:tc>
          <w:tcPr>
            <w:tcW w:w="55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55C740F">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2.195</w:t>
            </w:r>
            <w:r>
              <w:rPr>
                <w:rFonts w:hint="eastAsia" w:ascii="Times New Roman" w:hAnsi="Times New Roman" w:cs="Times New Roman"/>
                <w:color w:val="auto"/>
                <w:sz w:val="24"/>
                <w:szCs w:val="24"/>
                <w:highlight w:val="none"/>
                <w:lang w:val="en-US" w:eastAsia="zh-CN"/>
              </w:rPr>
              <w:t>8</w:t>
            </w:r>
            <w:r>
              <w:rPr>
                <w:rFonts w:hint="default" w:ascii="Times New Roman" w:hAnsi="Times New Roman" w:cs="Times New Roman"/>
                <w:color w:val="auto"/>
                <w:sz w:val="24"/>
                <w:szCs w:val="24"/>
                <w:highlight w:val="none"/>
                <w:lang w:val="en-US" w:eastAsia="zh-CN"/>
              </w:rPr>
              <w:t>t/a</w:t>
            </w:r>
          </w:p>
        </w:tc>
        <w:tc>
          <w:tcPr>
            <w:tcW w:w="62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C2D4A88">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0.2857kg/h</w:t>
            </w:r>
          </w:p>
        </w:tc>
      </w:tr>
      <w:tr w14:paraId="7E7A5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0" w:hRule="atLeast"/>
        </w:trPr>
        <w:tc>
          <w:tcPr>
            <w:tcW w:w="185"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054EBDD4">
            <w:pPr>
              <w:pStyle w:val="48"/>
              <w:spacing w:beforeLines="0" w:afterLines="0"/>
              <w:ind w:left="0" w:leftChars="0" w:firstLine="0" w:firstLineChars="0"/>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5</w:t>
            </w:r>
          </w:p>
        </w:tc>
        <w:tc>
          <w:tcPr>
            <w:tcW w:w="32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566C421">
            <w:pPr>
              <w:pStyle w:val="48"/>
              <w:spacing w:beforeLines="0" w:afterLines="0"/>
              <w:rPr>
                <w:rFonts w:hint="default" w:ascii="Times New Roman" w:hAnsi="Times New Roman" w:cs="Times New Roman"/>
                <w:color w:val="FF0000"/>
                <w:sz w:val="24"/>
                <w:szCs w:val="24"/>
                <w:highlight w:val="none"/>
                <w:lang w:val="en-US" w:eastAsia="zh-CN"/>
              </w:rPr>
            </w:pPr>
            <w:r>
              <w:rPr>
                <w:rFonts w:hint="eastAsia" w:ascii="Times New Roman" w:hAnsi="Times New Roman" w:cs="Times New Roman"/>
                <w:color w:val="FF0000"/>
                <w:sz w:val="24"/>
                <w:szCs w:val="24"/>
                <w:highlight w:val="none"/>
                <w:lang w:val="en-US" w:eastAsia="zh-CN"/>
              </w:rPr>
              <w:t>原料堆场</w:t>
            </w:r>
          </w:p>
        </w:tc>
        <w:tc>
          <w:tcPr>
            <w:tcW w:w="4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239086E">
            <w:pPr>
              <w:pStyle w:val="48"/>
              <w:spacing w:beforeLines="0" w:afterLines="0"/>
              <w:rPr>
                <w:rFonts w:hint="default" w:ascii="Times New Roman" w:hAnsi="Times New Roman" w:cs="Times New Roman"/>
                <w:color w:val="FF0000"/>
                <w:sz w:val="24"/>
                <w:szCs w:val="24"/>
                <w:highlight w:val="none"/>
                <w:lang w:val="en-US" w:eastAsia="zh-CN"/>
              </w:rPr>
            </w:pPr>
            <w:r>
              <w:rPr>
                <w:rFonts w:hint="eastAsia" w:ascii="Times New Roman" w:hAnsi="Times New Roman" w:cs="Times New Roman"/>
                <w:color w:val="FF0000"/>
                <w:sz w:val="24"/>
                <w:szCs w:val="24"/>
                <w:highlight w:val="none"/>
                <w:lang w:val="en-US" w:eastAsia="zh-CN"/>
              </w:rPr>
              <w:t>颗粒物</w:t>
            </w:r>
          </w:p>
        </w:tc>
        <w:tc>
          <w:tcPr>
            <w:tcW w:w="101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CDE895E">
            <w:pPr>
              <w:pStyle w:val="48"/>
              <w:spacing w:beforeLines="0" w:afterLines="0"/>
              <w:rPr>
                <w:rFonts w:hint="default" w:ascii="Times New Roman" w:hAnsi="Times New Roman" w:cs="Times New Roman"/>
                <w:color w:val="FF0000"/>
                <w:sz w:val="24"/>
                <w:szCs w:val="24"/>
                <w:highlight w:val="none"/>
                <w:lang w:val="en-US" w:eastAsia="zh-CN"/>
              </w:rPr>
            </w:pPr>
            <w:r>
              <w:rPr>
                <w:rFonts w:hint="eastAsia" w:ascii="Times New Roman" w:hAnsi="Times New Roman" w:cs="Times New Roman"/>
                <w:color w:val="FF0000"/>
                <w:sz w:val="24"/>
                <w:szCs w:val="24"/>
                <w:highlight w:val="none"/>
                <w:lang w:val="en-US" w:eastAsia="zh-CN"/>
              </w:rPr>
              <w:t>封闭厂房，作业时洒水</w:t>
            </w:r>
          </w:p>
        </w:tc>
        <w:tc>
          <w:tcPr>
            <w:tcW w:w="1287" w:type="pct"/>
            <w:vMerge w:val="continue"/>
            <w:tcBorders>
              <w:left w:val="single" w:color="auto" w:sz="4" w:space="0"/>
              <w:right w:val="single" w:color="auto" w:sz="4" w:space="0"/>
              <w:tl2br w:val="nil"/>
              <w:tr2bl w:val="nil"/>
            </w:tcBorders>
            <w:noWrap w:val="0"/>
            <w:vAlign w:val="center"/>
          </w:tcPr>
          <w:p w14:paraId="1094A674">
            <w:pPr>
              <w:pStyle w:val="48"/>
              <w:spacing w:beforeLines="0" w:afterLines="0"/>
              <w:rPr>
                <w:rFonts w:hint="default" w:ascii="Times New Roman" w:hAnsi="Times New Roman" w:cs="Times New Roman"/>
                <w:color w:val="auto"/>
                <w:sz w:val="24"/>
                <w:szCs w:val="24"/>
                <w:highlight w:val="none"/>
                <w:lang w:val="en-US" w:eastAsia="zh-CN"/>
              </w:rPr>
            </w:pPr>
          </w:p>
        </w:tc>
        <w:tc>
          <w:tcPr>
            <w:tcW w:w="546"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6888E9B">
            <w:pPr>
              <w:pStyle w:val="48"/>
              <w:spacing w:beforeLines="0" w:afterLines="0"/>
              <w:rPr>
                <w:rFonts w:hint="default" w:ascii="Times New Roman" w:hAnsi="Times New Roman" w:cs="Times New Roman"/>
                <w:color w:val="auto"/>
                <w:sz w:val="24"/>
                <w:szCs w:val="24"/>
                <w:highlight w:val="none"/>
              </w:rPr>
            </w:pPr>
          </w:p>
        </w:tc>
        <w:tc>
          <w:tcPr>
            <w:tcW w:w="55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FA7DC34">
            <w:pPr>
              <w:pStyle w:val="48"/>
              <w:spacing w:beforeLines="0" w:afterLines="0"/>
              <w:rPr>
                <w:rFonts w:hint="default" w:ascii="Times New Roman" w:hAnsi="Times New Roman" w:cs="Times New Roman"/>
                <w:color w:val="FF0000"/>
                <w:sz w:val="24"/>
                <w:szCs w:val="24"/>
                <w:highlight w:val="none"/>
                <w:lang w:val="en-US" w:eastAsia="zh-CN"/>
              </w:rPr>
            </w:pPr>
            <w:r>
              <w:rPr>
                <w:rFonts w:hint="eastAsia" w:ascii="Times New Roman" w:hAnsi="Times New Roman" w:cs="Times New Roman"/>
                <w:color w:val="FF0000"/>
                <w:sz w:val="24"/>
                <w:szCs w:val="24"/>
                <w:highlight w:val="none"/>
                <w:lang w:val="en-US" w:eastAsia="zh-CN"/>
              </w:rPr>
              <w:t>0.26</w:t>
            </w:r>
          </w:p>
        </w:tc>
        <w:tc>
          <w:tcPr>
            <w:tcW w:w="62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06C110F">
            <w:pPr>
              <w:pStyle w:val="48"/>
              <w:spacing w:beforeLines="0" w:afterLines="0"/>
              <w:rPr>
                <w:rFonts w:hint="default" w:ascii="Times New Roman" w:hAnsi="Times New Roman" w:cs="Times New Roman"/>
                <w:color w:val="FF0000"/>
                <w:sz w:val="24"/>
                <w:szCs w:val="24"/>
                <w:highlight w:val="none"/>
                <w:lang w:val="en-US" w:eastAsia="zh-CN"/>
              </w:rPr>
            </w:pPr>
            <w:r>
              <w:rPr>
                <w:rFonts w:hint="eastAsia" w:ascii="Times New Roman" w:hAnsi="Times New Roman" w:cs="Times New Roman"/>
                <w:color w:val="FF0000"/>
                <w:sz w:val="24"/>
                <w:szCs w:val="24"/>
                <w:highlight w:val="none"/>
                <w:lang w:val="en-US" w:eastAsia="zh-CN"/>
              </w:rPr>
              <w:t>0.05</w:t>
            </w:r>
          </w:p>
        </w:tc>
      </w:tr>
      <w:tr w14:paraId="43690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0" w:hRule="atLeast"/>
        </w:trPr>
        <w:tc>
          <w:tcPr>
            <w:tcW w:w="185"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146D63C1">
            <w:pPr>
              <w:pStyle w:val="48"/>
              <w:spacing w:beforeLines="0" w:afterLines="0"/>
              <w:ind w:left="0" w:leftChars="0" w:firstLine="0" w:firstLineChars="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6</w:t>
            </w:r>
          </w:p>
        </w:tc>
        <w:tc>
          <w:tcPr>
            <w:tcW w:w="32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E08B1FC">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运输扬尘</w:t>
            </w:r>
          </w:p>
        </w:tc>
        <w:tc>
          <w:tcPr>
            <w:tcW w:w="4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44C9904">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颗粒物</w:t>
            </w:r>
          </w:p>
        </w:tc>
        <w:tc>
          <w:tcPr>
            <w:tcW w:w="101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404BA7C">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道路定期洒水，物料篷布覆盖，降低车速</w:t>
            </w:r>
          </w:p>
        </w:tc>
        <w:tc>
          <w:tcPr>
            <w:tcW w:w="1287" w:type="pct"/>
            <w:vMerge w:val="continue"/>
            <w:tcBorders>
              <w:left w:val="single" w:color="auto" w:sz="4" w:space="0"/>
              <w:right w:val="single" w:color="auto" w:sz="4" w:space="0"/>
              <w:tl2br w:val="nil"/>
              <w:tr2bl w:val="nil"/>
            </w:tcBorders>
            <w:noWrap w:val="0"/>
            <w:vAlign w:val="center"/>
          </w:tcPr>
          <w:p w14:paraId="6866DE6E">
            <w:pPr>
              <w:pStyle w:val="48"/>
              <w:spacing w:beforeLines="0" w:afterLines="0"/>
              <w:rPr>
                <w:rFonts w:hint="default" w:ascii="Times New Roman" w:hAnsi="Times New Roman" w:cs="Times New Roman"/>
                <w:color w:val="auto"/>
                <w:sz w:val="24"/>
                <w:szCs w:val="24"/>
                <w:highlight w:val="none"/>
                <w:lang w:val="en-US" w:eastAsia="zh-CN"/>
              </w:rPr>
            </w:pPr>
          </w:p>
        </w:tc>
        <w:tc>
          <w:tcPr>
            <w:tcW w:w="546"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1797E64E">
            <w:pPr>
              <w:pStyle w:val="48"/>
              <w:spacing w:beforeLines="0" w:afterLines="0"/>
              <w:rPr>
                <w:rFonts w:hint="default" w:ascii="Times New Roman" w:hAnsi="Times New Roman" w:cs="Times New Roman"/>
                <w:color w:val="auto"/>
                <w:sz w:val="24"/>
                <w:szCs w:val="24"/>
                <w:highlight w:val="none"/>
              </w:rPr>
            </w:pPr>
          </w:p>
        </w:tc>
        <w:tc>
          <w:tcPr>
            <w:tcW w:w="55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1D6F1AA">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1.44t/a</w:t>
            </w:r>
          </w:p>
        </w:tc>
        <w:tc>
          <w:tcPr>
            <w:tcW w:w="62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9A68700">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w:t>
            </w:r>
          </w:p>
        </w:tc>
      </w:tr>
    </w:tbl>
    <w:p w14:paraId="5A072EFE">
      <w:pPr>
        <w:spacing w:beforeLines="0" w:afterLines="0"/>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报告采用《环境影响评价技术导则 大气环境》(HJ2.2-2018)要求的AERSCREEN模型计算各污染源主要污染物的最大浓度占标率</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P</w:t>
      </w:r>
      <w:r>
        <w:rPr>
          <w:rFonts w:hint="default" w:ascii="Times New Roman" w:hAnsi="Times New Roman" w:cs="Times New Roman"/>
          <w:color w:val="auto"/>
          <w:sz w:val="24"/>
          <w:szCs w:val="24"/>
          <w:highlight w:val="none"/>
          <w:vertAlign w:val="subscript"/>
        </w:rPr>
        <w:t>max</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和污染物的地面空气质量浓度达到标准值的10%时所对应的最远距离D</w:t>
      </w:r>
      <w:r>
        <w:rPr>
          <w:rFonts w:hint="default" w:ascii="Times New Roman" w:hAnsi="Times New Roman" w:cs="Times New Roman"/>
          <w:color w:val="auto"/>
          <w:sz w:val="24"/>
          <w:szCs w:val="24"/>
          <w:highlight w:val="none"/>
          <w:vertAlign w:val="subscript"/>
        </w:rPr>
        <w:t>10%</w:t>
      </w:r>
      <w:r>
        <w:rPr>
          <w:rFonts w:hint="default" w:ascii="Times New Roman" w:hAnsi="Times New Roman" w:cs="Times New Roman"/>
          <w:color w:val="auto"/>
          <w:sz w:val="24"/>
          <w:szCs w:val="24"/>
          <w:highlight w:val="none"/>
        </w:rPr>
        <w:t>。</w:t>
      </w:r>
    </w:p>
    <w:p w14:paraId="2C077710">
      <w:pPr>
        <w:numPr>
          <w:ilvl w:val="0"/>
          <w:numId w:val="18"/>
        </w:numPr>
        <w:spacing w:beforeLines="0" w:afterLines="0"/>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估算模型参数</w:t>
      </w:r>
    </w:p>
    <w:p w14:paraId="4E66E484">
      <w:pPr>
        <w:numPr>
          <w:ilvl w:val="0"/>
          <w:numId w:val="0"/>
        </w:numPr>
        <w:spacing w:beforeLines="0" w:afterLines="0"/>
        <w:ind w:leftChars="200" w:firstLine="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项目估算模型参数见表2.5-4。</w:t>
      </w:r>
    </w:p>
    <w:p w14:paraId="7CA8DEDF">
      <w:pPr>
        <w:pStyle w:val="45"/>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表 2.5-4</w:t>
      </w:r>
      <w:r>
        <w:rPr>
          <w:rFonts w:hint="default" w:ascii="Times New Roman" w:hAnsi="Times New Roman" w:cs="Times New Roman"/>
          <w:color w:val="auto"/>
          <w:sz w:val="24"/>
          <w:szCs w:val="24"/>
          <w:highlight w:val="none"/>
        </w:rPr>
        <w:tab/>
      </w:r>
      <w:r>
        <w:rPr>
          <w:rFonts w:hint="default" w:ascii="Times New Roman" w:hAnsi="Times New Roman" w:cs="Times New Roman"/>
          <w:color w:val="auto"/>
          <w:sz w:val="24"/>
          <w:szCs w:val="24"/>
          <w:highlight w:val="none"/>
        </w:rPr>
        <w:t>估算模型参数一览表</w:t>
      </w:r>
    </w:p>
    <w:tbl>
      <w:tblPr>
        <w:tblStyle w:val="31"/>
        <w:tblW w:w="0" w:type="auto"/>
        <w:tblInd w:w="22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473"/>
        <w:gridCol w:w="2856"/>
        <w:gridCol w:w="3842"/>
      </w:tblGrid>
      <w:tr w14:paraId="6130FC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329" w:type="dxa"/>
            <w:gridSpan w:val="2"/>
            <w:tcBorders>
              <w:top w:val="single" w:color="auto" w:sz="4" w:space="0"/>
              <w:left w:val="single" w:color="auto" w:sz="4" w:space="0"/>
              <w:bottom w:val="single" w:color="auto" w:sz="4" w:space="0"/>
              <w:right w:val="single" w:color="auto" w:sz="4" w:space="0"/>
              <w:tl2br w:val="nil"/>
              <w:tr2bl w:val="nil"/>
            </w:tcBorders>
            <w:noWrap w:val="0"/>
            <w:vAlign w:val="top"/>
          </w:tcPr>
          <w:p w14:paraId="7647BD91">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参数</w:t>
            </w:r>
          </w:p>
        </w:tc>
        <w:tc>
          <w:tcPr>
            <w:tcW w:w="3842" w:type="dxa"/>
            <w:tcBorders>
              <w:top w:val="single" w:color="auto" w:sz="4" w:space="0"/>
              <w:left w:val="single" w:color="auto" w:sz="4" w:space="0"/>
              <w:bottom w:val="single" w:color="auto" w:sz="4" w:space="0"/>
              <w:right w:val="single" w:color="auto" w:sz="4" w:space="0"/>
              <w:tl2br w:val="nil"/>
              <w:tr2bl w:val="nil"/>
            </w:tcBorders>
            <w:noWrap w:val="0"/>
            <w:vAlign w:val="top"/>
          </w:tcPr>
          <w:p w14:paraId="4B6D6396">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取值</w:t>
            </w:r>
          </w:p>
        </w:tc>
      </w:tr>
      <w:tr w14:paraId="528D00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473" w:type="dxa"/>
            <w:vMerge w:val="restart"/>
            <w:tcBorders>
              <w:top w:val="single" w:color="auto" w:sz="4" w:space="0"/>
              <w:left w:val="single" w:color="auto" w:sz="4" w:space="0"/>
              <w:bottom w:val="single" w:color="auto" w:sz="4" w:space="0"/>
              <w:right w:val="single" w:color="auto" w:sz="4" w:space="0"/>
              <w:tl2br w:val="nil"/>
              <w:tr2bl w:val="nil"/>
            </w:tcBorders>
            <w:noWrap w:val="0"/>
            <w:vAlign w:val="top"/>
          </w:tcPr>
          <w:p w14:paraId="5C472B18">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城市农村/选项</w:t>
            </w:r>
          </w:p>
        </w:tc>
        <w:tc>
          <w:tcPr>
            <w:tcW w:w="2856" w:type="dxa"/>
            <w:tcBorders>
              <w:top w:val="single" w:color="auto" w:sz="4" w:space="0"/>
              <w:left w:val="single" w:color="auto" w:sz="4" w:space="0"/>
              <w:bottom w:val="single" w:color="auto" w:sz="4" w:space="0"/>
              <w:right w:val="single" w:color="auto" w:sz="4" w:space="0"/>
              <w:tl2br w:val="nil"/>
              <w:tr2bl w:val="nil"/>
            </w:tcBorders>
            <w:noWrap w:val="0"/>
            <w:vAlign w:val="top"/>
          </w:tcPr>
          <w:p w14:paraId="325411BE">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城市/农村</w:t>
            </w:r>
          </w:p>
        </w:tc>
        <w:tc>
          <w:tcPr>
            <w:tcW w:w="3842" w:type="dxa"/>
            <w:tcBorders>
              <w:top w:val="single" w:color="auto" w:sz="4" w:space="0"/>
              <w:left w:val="single" w:color="auto" w:sz="4" w:space="0"/>
              <w:bottom w:val="single" w:color="auto" w:sz="4" w:space="0"/>
              <w:right w:val="single" w:color="auto" w:sz="4" w:space="0"/>
              <w:tl2br w:val="nil"/>
              <w:tr2bl w:val="nil"/>
            </w:tcBorders>
            <w:noWrap w:val="0"/>
            <w:vAlign w:val="top"/>
          </w:tcPr>
          <w:p w14:paraId="6C01F934">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农村</w:t>
            </w:r>
          </w:p>
        </w:tc>
      </w:tr>
      <w:tr w14:paraId="3AA2DE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473" w:type="dxa"/>
            <w:vMerge w:val="continue"/>
            <w:tcBorders>
              <w:top w:val="single" w:color="auto" w:sz="4" w:space="0"/>
              <w:left w:val="single" w:color="auto" w:sz="4" w:space="0"/>
              <w:bottom w:val="single" w:color="auto" w:sz="4" w:space="0"/>
              <w:right w:val="single" w:color="auto" w:sz="4" w:space="0"/>
              <w:tl2br w:val="nil"/>
              <w:tr2bl w:val="nil"/>
            </w:tcBorders>
            <w:noWrap w:val="0"/>
            <w:vAlign w:val="top"/>
          </w:tcPr>
          <w:p w14:paraId="2B37A5E8">
            <w:pPr>
              <w:pStyle w:val="48"/>
              <w:spacing w:beforeLines="0" w:afterLines="0"/>
              <w:rPr>
                <w:rFonts w:hint="default" w:ascii="Times New Roman" w:hAnsi="Times New Roman" w:cs="Times New Roman"/>
                <w:color w:val="auto"/>
                <w:sz w:val="24"/>
                <w:szCs w:val="24"/>
                <w:highlight w:val="none"/>
              </w:rPr>
            </w:pPr>
          </w:p>
        </w:tc>
        <w:tc>
          <w:tcPr>
            <w:tcW w:w="2856" w:type="dxa"/>
            <w:tcBorders>
              <w:top w:val="single" w:color="auto" w:sz="4" w:space="0"/>
              <w:left w:val="single" w:color="auto" w:sz="4" w:space="0"/>
              <w:bottom w:val="single" w:color="auto" w:sz="4" w:space="0"/>
              <w:right w:val="single" w:color="auto" w:sz="4" w:space="0"/>
              <w:tl2br w:val="nil"/>
              <w:tr2bl w:val="nil"/>
            </w:tcBorders>
            <w:noWrap w:val="0"/>
            <w:vAlign w:val="top"/>
          </w:tcPr>
          <w:p w14:paraId="283A3FE7">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人口数(城市人口数)</w:t>
            </w:r>
          </w:p>
        </w:tc>
        <w:tc>
          <w:tcPr>
            <w:tcW w:w="3842" w:type="dxa"/>
            <w:tcBorders>
              <w:top w:val="single" w:color="auto" w:sz="4" w:space="0"/>
              <w:left w:val="single" w:color="auto" w:sz="4" w:space="0"/>
              <w:bottom w:val="single" w:color="auto" w:sz="4" w:space="0"/>
              <w:right w:val="single" w:color="auto" w:sz="4" w:space="0"/>
              <w:tl2br w:val="nil"/>
              <w:tr2bl w:val="nil"/>
            </w:tcBorders>
            <w:noWrap w:val="0"/>
            <w:vAlign w:val="top"/>
          </w:tcPr>
          <w:p w14:paraId="71B96795">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p>
        </w:tc>
      </w:tr>
      <w:tr w14:paraId="6D5842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329" w:type="dxa"/>
            <w:gridSpan w:val="2"/>
            <w:tcBorders>
              <w:top w:val="single" w:color="auto" w:sz="4" w:space="0"/>
              <w:left w:val="single" w:color="auto" w:sz="4" w:space="0"/>
              <w:bottom w:val="single" w:color="auto" w:sz="4" w:space="0"/>
              <w:right w:val="single" w:color="auto" w:sz="4" w:space="0"/>
              <w:tl2br w:val="nil"/>
              <w:tr2bl w:val="nil"/>
            </w:tcBorders>
            <w:noWrap w:val="0"/>
            <w:vAlign w:val="top"/>
          </w:tcPr>
          <w:p w14:paraId="5DE32F71">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最高环境温度</w:t>
            </w:r>
          </w:p>
        </w:tc>
        <w:tc>
          <w:tcPr>
            <w:tcW w:w="3842" w:type="dxa"/>
            <w:tcBorders>
              <w:top w:val="single" w:color="auto" w:sz="4" w:space="0"/>
              <w:left w:val="single" w:color="auto" w:sz="4" w:space="0"/>
              <w:bottom w:val="single" w:color="auto" w:sz="4" w:space="0"/>
              <w:right w:val="single" w:color="auto" w:sz="4" w:space="0"/>
              <w:tl2br w:val="nil"/>
              <w:tr2bl w:val="nil"/>
            </w:tcBorders>
            <w:noWrap w:val="0"/>
            <w:vAlign w:val="top"/>
          </w:tcPr>
          <w:p w14:paraId="0A8E465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41.5°C</w:t>
            </w:r>
          </w:p>
        </w:tc>
      </w:tr>
      <w:tr w14:paraId="25AFBB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329" w:type="dxa"/>
            <w:gridSpan w:val="2"/>
            <w:tcBorders>
              <w:top w:val="single" w:color="auto" w:sz="4" w:space="0"/>
              <w:left w:val="single" w:color="auto" w:sz="4" w:space="0"/>
              <w:bottom w:val="single" w:color="auto" w:sz="4" w:space="0"/>
              <w:right w:val="single" w:color="auto" w:sz="4" w:space="0"/>
              <w:tl2br w:val="nil"/>
              <w:tr2bl w:val="nil"/>
            </w:tcBorders>
            <w:noWrap w:val="0"/>
            <w:vAlign w:val="top"/>
          </w:tcPr>
          <w:p w14:paraId="39C8F4A8">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最低环境温度</w:t>
            </w:r>
          </w:p>
        </w:tc>
        <w:tc>
          <w:tcPr>
            <w:tcW w:w="3842" w:type="dxa"/>
            <w:tcBorders>
              <w:top w:val="single" w:color="auto" w:sz="4" w:space="0"/>
              <w:left w:val="single" w:color="auto" w:sz="4" w:space="0"/>
              <w:bottom w:val="single" w:color="auto" w:sz="4" w:space="0"/>
              <w:right w:val="single" w:color="auto" w:sz="4" w:space="0"/>
              <w:tl2br w:val="nil"/>
              <w:tr2bl w:val="nil"/>
            </w:tcBorders>
            <w:noWrap w:val="0"/>
            <w:vAlign w:val="top"/>
          </w:tcPr>
          <w:p w14:paraId="356246D7">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-34.4°C</w:t>
            </w:r>
          </w:p>
        </w:tc>
      </w:tr>
      <w:tr w14:paraId="7674E9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329" w:type="dxa"/>
            <w:gridSpan w:val="2"/>
            <w:tcBorders>
              <w:top w:val="single" w:color="auto" w:sz="4" w:space="0"/>
              <w:left w:val="single" w:color="auto" w:sz="4" w:space="0"/>
              <w:bottom w:val="single" w:color="auto" w:sz="4" w:space="0"/>
              <w:right w:val="single" w:color="auto" w:sz="4" w:space="0"/>
              <w:tl2br w:val="nil"/>
              <w:tr2bl w:val="nil"/>
            </w:tcBorders>
            <w:noWrap w:val="0"/>
            <w:vAlign w:val="top"/>
          </w:tcPr>
          <w:p w14:paraId="38D01DC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土地利用类型</w:t>
            </w:r>
          </w:p>
        </w:tc>
        <w:tc>
          <w:tcPr>
            <w:tcW w:w="3842" w:type="dxa"/>
            <w:tcBorders>
              <w:top w:val="single" w:color="auto" w:sz="4" w:space="0"/>
              <w:left w:val="single" w:color="auto" w:sz="4" w:space="0"/>
              <w:bottom w:val="single" w:color="auto" w:sz="4" w:space="0"/>
              <w:right w:val="single" w:color="auto" w:sz="4" w:space="0"/>
              <w:tl2br w:val="nil"/>
              <w:tr2bl w:val="nil"/>
            </w:tcBorders>
            <w:noWrap w:val="0"/>
            <w:vAlign w:val="top"/>
          </w:tcPr>
          <w:p w14:paraId="7DD62AC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草地</w:t>
            </w:r>
          </w:p>
        </w:tc>
      </w:tr>
      <w:tr w14:paraId="410795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329" w:type="dxa"/>
            <w:gridSpan w:val="2"/>
            <w:tcBorders>
              <w:top w:val="single" w:color="auto" w:sz="4" w:space="0"/>
              <w:left w:val="single" w:color="auto" w:sz="4" w:space="0"/>
              <w:bottom w:val="single" w:color="auto" w:sz="4" w:space="0"/>
              <w:right w:val="single" w:color="auto" w:sz="4" w:space="0"/>
              <w:tl2br w:val="nil"/>
              <w:tr2bl w:val="nil"/>
            </w:tcBorders>
            <w:noWrap w:val="0"/>
            <w:vAlign w:val="top"/>
          </w:tcPr>
          <w:p w14:paraId="114C3976">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区域湿度条件</w:t>
            </w:r>
          </w:p>
        </w:tc>
        <w:tc>
          <w:tcPr>
            <w:tcW w:w="3842" w:type="dxa"/>
            <w:tcBorders>
              <w:top w:val="single" w:color="auto" w:sz="4" w:space="0"/>
              <w:left w:val="single" w:color="auto" w:sz="4" w:space="0"/>
              <w:bottom w:val="single" w:color="auto" w:sz="4" w:space="0"/>
              <w:right w:val="single" w:color="auto" w:sz="4" w:space="0"/>
              <w:tl2br w:val="nil"/>
              <w:tr2bl w:val="nil"/>
            </w:tcBorders>
            <w:noWrap w:val="0"/>
            <w:vAlign w:val="top"/>
          </w:tcPr>
          <w:p w14:paraId="3E32EA0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干燥</w:t>
            </w:r>
          </w:p>
        </w:tc>
      </w:tr>
      <w:tr w14:paraId="1C22AA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473" w:type="dxa"/>
            <w:vMerge w:val="restart"/>
            <w:tcBorders>
              <w:top w:val="single" w:color="auto" w:sz="4" w:space="0"/>
              <w:left w:val="single" w:color="auto" w:sz="4" w:space="0"/>
              <w:bottom w:val="single" w:color="auto" w:sz="4" w:space="0"/>
              <w:right w:val="single" w:color="auto" w:sz="4" w:space="0"/>
              <w:tl2br w:val="nil"/>
              <w:tr2bl w:val="nil"/>
            </w:tcBorders>
            <w:noWrap w:val="0"/>
            <w:vAlign w:val="top"/>
          </w:tcPr>
          <w:p w14:paraId="40DDA14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是否考虑地形</w:t>
            </w:r>
          </w:p>
        </w:tc>
        <w:tc>
          <w:tcPr>
            <w:tcW w:w="2856" w:type="dxa"/>
            <w:tcBorders>
              <w:top w:val="single" w:color="auto" w:sz="4" w:space="0"/>
              <w:left w:val="single" w:color="auto" w:sz="4" w:space="0"/>
              <w:bottom w:val="single" w:color="auto" w:sz="4" w:space="0"/>
              <w:right w:val="single" w:color="auto" w:sz="4" w:space="0"/>
              <w:tl2br w:val="nil"/>
              <w:tr2bl w:val="nil"/>
            </w:tcBorders>
            <w:noWrap w:val="0"/>
            <w:vAlign w:val="top"/>
          </w:tcPr>
          <w:p w14:paraId="2C52B84C">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考虑地形</w:t>
            </w:r>
          </w:p>
        </w:tc>
        <w:tc>
          <w:tcPr>
            <w:tcW w:w="3842" w:type="dxa"/>
            <w:tcBorders>
              <w:top w:val="single" w:color="auto" w:sz="4" w:space="0"/>
              <w:left w:val="single" w:color="auto" w:sz="4" w:space="0"/>
              <w:bottom w:val="single" w:color="auto" w:sz="4" w:space="0"/>
              <w:right w:val="single" w:color="auto" w:sz="4" w:space="0"/>
              <w:tl2br w:val="nil"/>
              <w:tr2bl w:val="nil"/>
            </w:tcBorders>
            <w:noWrap w:val="0"/>
            <w:vAlign w:val="top"/>
          </w:tcPr>
          <w:p w14:paraId="6BC7790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否</w:t>
            </w:r>
          </w:p>
        </w:tc>
      </w:tr>
      <w:tr w14:paraId="122E7D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473" w:type="dxa"/>
            <w:vMerge w:val="continue"/>
            <w:tcBorders>
              <w:top w:val="single" w:color="auto" w:sz="4" w:space="0"/>
              <w:left w:val="single" w:color="auto" w:sz="4" w:space="0"/>
              <w:bottom w:val="single" w:color="auto" w:sz="4" w:space="0"/>
              <w:right w:val="single" w:color="auto" w:sz="4" w:space="0"/>
              <w:tl2br w:val="nil"/>
              <w:tr2bl w:val="nil"/>
            </w:tcBorders>
            <w:noWrap w:val="0"/>
            <w:vAlign w:val="top"/>
          </w:tcPr>
          <w:p w14:paraId="3F8ABED8">
            <w:pPr>
              <w:pStyle w:val="48"/>
              <w:spacing w:beforeLines="0" w:afterLines="0"/>
              <w:rPr>
                <w:rFonts w:hint="default" w:ascii="Times New Roman" w:hAnsi="Times New Roman" w:cs="Times New Roman"/>
                <w:color w:val="auto"/>
                <w:sz w:val="24"/>
                <w:szCs w:val="24"/>
                <w:highlight w:val="none"/>
              </w:rPr>
            </w:pPr>
          </w:p>
        </w:tc>
        <w:tc>
          <w:tcPr>
            <w:tcW w:w="2856" w:type="dxa"/>
            <w:tcBorders>
              <w:top w:val="single" w:color="auto" w:sz="4" w:space="0"/>
              <w:left w:val="single" w:color="auto" w:sz="4" w:space="0"/>
              <w:bottom w:val="single" w:color="auto" w:sz="4" w:space="0"/>
              <w:right w:val="single" w:color="auto" w:sz="4" w:space="0"/>
              <w:tl2br w:val="nil"/>
              <w:tr2bl w:val="nil"/>
            </w:tcBorders>
            <w:noWrap w:val="0"/>
            <w:vAlign w:val="top"/>
          </w:tcPr>
          <w:p w14:paraId="43CE9228">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地形数据分辨率(m)</w:t>
            </w:r>
          </w:p>
        </w:tc>
        <w:tc>
          <w:tcPr>
            <w:tcW w:w="3842" w:type="dxa"/>
            <w:tcBorders>
              <w:top w:val="single" w:color="auto" w:sz="4" w:space="0"/>
              <w:left w:val="single" w:color="auto" w:sz="4" w:space="0"/>
              <w:bottom w:val="single" w:color="auto" w:sz="4" w:space="0"/>
              <w:right w:val="single" w:color="auto" w:sz="4" w:space="0"/>
              <w:tl2br w:val="nil"/>
              <w:tr2bl w:val="nil"/>
            </w:tcBorders>
            <w:noWrap w:val="0"/>
            <w:vAlign w:val="top"/>
          </w:tcPr>
          <w:p w14:paraId="3284FB9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p>
        </w:tc>
      </w:tr>
      <w:tr w14:paraId="139F08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473" w:type="dxa"/>
            <w:vMerge w:val="restart"/>
            <w:tcBorders>
              <w:top w:val="single" w:color="auto" w:sz="4" w:space="0"/>
              <w:left w:val="single" w:color="auto" w:sz="4" w:space="0"/>
              <w:bottom w:val="single" w:color="auto" w:sz="4" w:space="0"/>
              <w:right w:val="single" w:color="auto" w:sz="4" w:space="0"/>
              <w:tl2br w:val="nil"/>
              <w:tr2bl w:val="nil"/>
            </w:tcBorders>
            <w:noWrap w:val="0"/>
            <w:vAlign w:val="top"/>
          </w:tcPr>
          <w:p w14:paraId="71370B43">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是否考虑海岸线熏烟</w:t>
            </w:r>
          </w:p>
        </w:tc>
        <w:tc>
          <w:tcPr>
            <w:tcW w:w="2856" w:type="dxa"/>
            <w:tcBorders>
              <w:top w:val="single" w:color="auto" w:sz="4" w:space="0"/>
              <w:left w:val="single" w:color="auto" w:sz="4" w:space="0"/>
              <w:bottom w:val="single" w:color="auto" w:sz="4" w:space="0"/>
              <w:right w:val="single" w:color="auto" w:sz="4" w:space="0"/>
              <w:tl2br w:val="nil"/>
              <w:tr2bl w:val="nil"/>
            </w:tcBorders>
            <w:noWrap w:val="0"/>
            <w:vAlign w:val="top"/>
          </w:tcPr>
          <w:p w14:paraId="2AEEF611">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考虑海岸线熏烟</w:t>
            </w:r>
          </w:p>
        </w:tc>
        <w:tc>
          <w:tcPr>
            <w:tcW w:w="3842" w:type="dxa"/>
            <w:tcBorders>
              <w:top w:val="single" w:color="auto" w:sz="4" w:space="0"/>
              <w:left w:val="single" w:color="auto" w:sz="4" w:space="0"/>
              <w:bottom w:val="single" w:color="auto" w:sz="4" w:space="0"/>
              <w:right w:val="single" w:color="auto" w:sz="4" w:space="0"/>
              <w:tl2br w:val="nil"/>
              <w:tr2bl w:val="nil"/>
            </w:tcBorders>
            <w:noWrap w:val="0"/>
            <w:vAlign w:val="top"/>
          </w:tcPr>
          <w:p w14:paraId="277E1234">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否</w:t>
            </w:r>
          </w:p>
        </w:tc>
      </w:tr>
      <w:tr w14:paraId="4B8A1D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473" w:type="dxa"/>
            <w:vMerge w:val="continue"/>
            <w:tcBorders>
              <w:top w:val="single" w:color="auto" w:sz="4" w:space="0"/>
              <w:left w:val="single" w:color="auto" w:sz="4" w:space="0"/>
              <w:bottom w:val="single" w:color="auto" w:sz="4" w:space="0"/>
              <w:right w:val="single" w:color="auto" w:sz="4" w:space="0"/>
              <w:tl2br w:val="nil"/>
              <w:tr2bl w:val="nil"/>
            </w:tcBorders>
            <w:noWrap w:val="0"/>
            <w:vAlign w:val="top"/>
          </w:tcPr>
          <w:p w14:paraId="002E3CED">
            <w:pPr>
              <w:pStyle w:val="48"/>
              <w:spacing w:beforeLines="0" w:afterLines="0"/>
              <w:rPr>
                <w:rFonts w:hint="default" w:ascii="Times New Roman" w:hAnsi="Times New Roman" w:cs="Times New Roman"/>
                <w:color w:val="auto"/>
                <w:sz w:val="24"/>
                <w:szCs w:val="24"/>
                <w:highlight w:val="none"/>
              </w:rPr>
            </w:pPr>
          </w:p>
        </w:tc>
        <w:tc>
          <w:tcPr>
            <w:tcW w:w="2856" w:type="dxa"/>
            <w:tcBorders>
              <w:top w:val="single" w:color="auto" w:sz="4" w:space="0"/>
              <w:left w:val="single" w:color="auto" w:sz="4" w:space="0"/>
              <w:bottom w:val="single" w:color="auto" w:sz="4" w:space="0"/>
              <w:right w:val="single" w:color="auto" w:sz="4" w:space="0"/>
              <w:tl2br w:val="nil"/>
              <w:tr2bl w:val="nil"/>
            </w:tcBorders>
            <w:noWrap w:val="0"/>
            <w:vAlign w:val="top"/>
          </w:tcPr>
          <w:p w14:paraId="4AD7BE4C">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海岸线距离/km</w:t>
            </w:r>
          </w:p>
        </w:tc>
        <w:tc>
          <w:tcPr>
            <w:tcW w:w="3842" w:type="dxa"/>
            <w:tcBorders>
              <w:top w:val="single" w:color="auto" w:sz="4" w:space="0"/>
              <w:left w:val="single" w:color="auto" w:sz="4" w:space="0"/>
              <w:bottom w:val="single" w:color="auto" w:sz="4" w:space="0"/>
              <w:right w:val="single" w:color="auto" w:sz="4" w:space="0"/>
              <w:tl2br w:val="nil"/>
              <w:tr2bl w:val="nil"/>
            </w:tcBorders>
            <w:noWrap w:val="0"/>
            <w:vAlign w:val="top"/>
          </w:tcPr>
          <w:p w14:paraId="69C70D4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p>
        </w:tc>
      </w:tr>
      <w:tr w14:paraId="11E8C6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473" w:type="dxa"/>
            <w:vMerge w:val="continue"/>
            <w:tcBorders>
              <w:top w:val="single" w:color="auto" w:sz="4" w:space="0"/>
              <w:left w:val="single" w:color="auto" w:sz="4" w:space="0"/>
              <w:bottom w:val="single" w:color="auto" w:sz="4" w:space="0"/>
              <w:right w:val="single" w:color="auto" w:sz="4" w:space="0"/>
              <w:tl2br w:val="nil"/>
              <w:tr2bl w:val="nil"/>
            </w:tcBorders>
            <w:noWrap w:val="0"/>
            <w:vAlign w:val="top"/>
          </w:tcPr>
          <w:p w14:paraId="07B67904">
            <w:pPr>
              <w:pStyle w:val="48"/>
              <w:spacing w:beforeLines="0" w:afterLines="0"/>
              <w:rPr>
                <w:rFonts w:hint="default" w:ascii="Times New Roman" w:hAnsi="Times New Roman" w:cs="Times New Roman"/>
                <w:color w:val="auto"/>
                <w:sz w:val="24"/>
                <w:szCs w:val="24"/>
                <w:highlight w:val="none"/>
              </w:rPr>
            </w:pPr>
          </w:p>
        </w:tc>
        <w:tc>
          <w:tcPr>
            <w:tcW w:w="2856" w:type="dxa"/>
            <w:tcBorders>
              <w:top w:val="single" w:color="auto" w:sz="4" w:space="0"/>
              <w:left w:val="single" w:color="auto" w:sz="4" w:space="0"/>
              <w:bottom w:val="single" w:color="auto" w:sz="4" w:space="0"/>
              <w:right w:val="single" w:color="auto" w:sz="4" w:space="0"/>
              <w:tl2br w:val="nil"/>
              <w:tr2bl w:val="nil"/>
            </w:tcBorders>
            <w:noWrap w:val="0"/>
            <w:vAlign w:val="top"/>
          </w:tcPr>
          <w:p w14:paraId="56598085">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海岸线方向/o</w:t>
            </w:r>
          </w:p>
        </w:tc>
        <w:tc>
          <w:tcPr>
            <w:tcW w:w="3842" w:type="dxa"/>
            <w:tcBorders>
              <w:top w:val="single" w:color="auto" w:sz="4" w:space="0"/>
              <w:left w:val="single" w:color="auto" w:sz="4" w:space="0"/>
              <w:bottom w:val="single" w:color="auto" w:sz="4" w:space="0"/>
              <w:right w:val="single" w:color="auto" w:sz="4" w:space="0"/>
              <w:tl2br w:val="nil"/>
              <w:tr2bl w:val="nil"/>
            </w:tcBorders>
            <w:noWrap w:val="0"/>
            <w:vAlign w:val="top"/>
          </w:tcPr>
          <w:p w14:paraId="694126A7">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p>
        </w:tc>
      </w:tr>
    </w:tbl>
    <w:p w14:paraId="0B388F91">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rPr>
        <w:t>）评价工作等级确定</w:t>
      </w:r>
    </w:p>
    <w:p w14:paraId="5208A154">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本项目污染源正常排放污染物的Pmax和D10%预测结果见表2.5-5。</w:t>
      </w:r>
    </w:p>
    <w:p w14:paraId="581BF8AD">
      <w:pPr>
        <w:pStyle w:val="45"/>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表2.5-5</w:t>
      </w:r>
      <w:r>
        <w:rPr>
          <w:rFonts w:hint="default" w:ascii="Times New Roman" w:hAnsi="Times New Roman" w:cs="Times New Roman"/>
          <w:color w:val="auto"/>
          <w:sz w:val="24"/>
          <w:szCs w:val="24"/>
          <w:highlight w:val="none"/>
        </w:rPr>
        <w:tab/>
      </w:r>
      <w:r>
        <w:rPr>
          <w:rFonts w:hint="default" w:ascii="Times New Roman" w:hAnsi="Times New Roman" w:cs="Times New Roman"/>
          <w:color w:val="auto"/>
          <w:sz w:val="24"/>
          <w:szCs w:val="24"/>
          <w:highlight w:val="none"/>
        </w:rPr>
        <w:t>Pmax和D10%预测结果一览表</w:t>
      </w:r>
    </w:p>
    <w:tbl>
      <w:tblPr>
        <w:tblStyle w:val="31"/>
        <w:tblW w:w="9167" w:type="dxa"/>
        <w:tblInd w:w="2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3"/>
        <w:gridCol w:w="1542"/>
        <w:gridCol w:w="2028"/>
        <w:gridCol w:w="1643"/>
        <w:gridCol w:w="1154"/>
        <w:gridCol w:w="1067"/>
      </w:tblGrid>
      <w:tr w14:paraId="74072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73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5A88558">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污染源名称</w:t>
            </w:r>
          </w:p>
        </w:tc>
        <w:tc>
          <w:tcPr>
            <w:tcW w:w="154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87B1FD5">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评价因子</w:t>
            </w:r>
          </w:p>
        </w:tc>
        <w:tc>
          <w:tcPr>
            <w:tcW w:w="202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A583EB6">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评价标准(</w:t>
            </w:r>
            <w:r>
              <w:rPr>
                <w:rFonts w:hint="default" w:ascii="Times New Roman" w:hAnsi="Times New Roman" w:cs="Times New Roman"/>
                <w:color w:val="auto"/>
                <w:sz w:val="24"/>
                <w:szCs w:val="24"/>
                <w:highlight w:val="none"/>
                <w:lang w:val="en-US" w:eastAsia="zh-CN"/>
              </w:rPr>
              <w:t>m</w:t>
            </w:r>
            <w:r>
              <w:rPr>
                <w:rFonts w:hint="default" w:ascii="Times New Roman" w:hAnsi="Times New Roman" w:cs="Times New Roman"/>
                <w:color w:val="auto"/>
                <w:sz w:val="24"/>
                <w:szCs w:val="24"/>
                <w:highlight w:val="none"/>
              </w:rPr>
              <w:t>g/m³)</w:t>
            </w:r>
          </w:p>
        </w:tc>
        <w:tc>
          <w:tcPr>
            <w:tcW w:w="164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969331B">
            <w:pPr>
              <w:pStyle w:val="48"/>
              <w:spacing w:beforeLines="0" w:afterLines="0"/>
              <w:rPr>
                <w:rFonts w:hint="default" w:ascii="Times New Roman" w:hAnsi="Times New Roman" w:cs="Times New Roman"/>
                <w:color w:val="FF0000"/>
                <w:sz w:val="24"/>
                <w:szCs w:val="24"/>
                <w:highlight w:val="none"/>
              </w:rPr>
            </w:pPr>
            <w:r>
              <w:rPr>
                <w:rFonts w:hint="default" w:ascii="Times New Roman" w:hAnsi="Times New Roman" w:cs="Times New Roman"/>
                <w:color w:val="FF0000"/>
                <w:sz w:val="24"/>
                <w:szCs w:val="24"/>
                <w:highlight w:val="none"/>
              </w:rPr>
              <w:t>Cmax(</w:t>
            </w:r>
            <w:r>
              <w:rPr>
                <w:rFonts w:hint="default" w:ascii="Times New Roman" w:hAnsi="Times New Roman" w:cs="Times New Roman"/>
                <w:color w:val="FF0000"/>
                <w:sz w:val="24"/>
                <w:szCs w:val="24"/>
                <w:highlight w:val="none"/>
                <w:lang w:val="en-US" w:eastAsia="zh-CN"/>
              </w:rPr>
              <w:t>m</w:t>
            </w:r>
            <w:r>
              <w:rPr>
                <w:rFonts w:hint="default" w:ascii="Times New Roman" w:hAnsi="Times New Roman" w:cs="Times New Roman"/>
                <w:color w:val="FF0000"/>
                <w:sz w:val="24"/>
                <w:szCs w:val="24"/>
                <w:highlight w:val="none"/>
              </w:rPr>
              <w:t>g/m³)</w:t>
            </w:r>
          </w:p>
        </w:tc>
        <w:tc>
          <w:tcPr>
            <w:tcW w:w="115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6E796B1">
            <w:pPr>
              <w:pStyle w:val="48"/>
              <w:spacing w:beforeLines="0" w:afterLines="0"/>
              <w:rPr>
                <w:rFonts w:hint="default" w:ascii="Times New Roman" w:hAnsi="Times New Roman" w:cs="Times New Roman"/>
                <w:color w:val="FF0000"/>
                <w:sz w:val="24"/>
                <w:szCs w:val="24"/>
                <w:highlight w:val="none"/>
              </w:rPr>
            </w:pPr>
            <w:r>
              <w:rPr>
                <w:rFonts w:hint="default" w:ascii="Times New Roman" w:hAnsi="Times New Roman" w:cs="Times New Roman"/>
                <w:color w:val="FF0000"/>
                <w:sz w:val="24"/>
                <w:szCs w:val="24"/>
                <w:highlight w:val="none"/>
              </w:rPr>
              <w:t>Pmax(%)</w:t>
            </w:r>
          </w:p>
        </w:tc>
        <w:tc>
          <w:tcPr>
            <w:tcW w:w="106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A948B9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D10%(m)</w:t>
            </w:r>
          </w:p>
        </w:tc>
      </w:tr>
      <w:tr w14:paraId="3C5A7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3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6D8B2FB">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筛分粉尘</w:t>
            </w:r>
          </w:p>
          <w:p w14:paraId="203D270B">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（有组织）</w:t>
            </w:r>
          </w:p>
        </w:tc>
        <w:tc>
          <w:tcPr>
            <w:tcW w:w="154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CEB9A9E">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颗粒物</w:t>
            </w:r>
          </w:p>
        </w:tc>
        <w:tc>
          <w:tcPr>
            <w:tcW w:w="202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25F4EAE">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0.</w:t>
            </w:r>
            <w:r>
              <w:rPr>
                <w:rFonts w:hint="default" w:ascii="Times New Roman" w:hAnsi="Times New Roman" w:cs="Times New Roman"/>
                <w:color w:val="auto"/>
                <w:sz w:val="24"/>
                <w:szCs w:val="24"/>
                <w:highlight w:val="none"/>
              </w:rPr>
              <w:t>900</w:t>
            </w:r>
          </w:p>
        </w:tc>
        <w:tc>
          <w:tcPr>
            <w:tcW w:w="164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1FD8197">
            <w:pPr>
              <w:pStyle w:val="48"/>
              <w:spacing w:beforeLines="0" w:afterLines="0"/>
              <w:rPr>
                <w:rFonts w:hint="default" w:ascii="Times New Roman" w:hAnsi="Times New Roman" w:cs="Times New Roman"/>
                <w:color w:val="FF0000"/>
                <w:sz w:val="24"/>
                <w:szCs w:val="24"/>
                <w:highlight w:val="none"/>
                <w:lang w:val="en-US" w:eastAsia="zh-CN"/>
              </w:rPr>
            </w:pPr>
            <w:r>
              <w:rPr>
                <w:rFonts w:hint="default" w:ascii="Times New Roman" w:hAnsi="Times New Roman" w:cs="Times New Roman"/>
                <w:color w:val="FF0000"/>
                <w:sz w:val="24"/>
                <w:szCs w:val="24"/>
                <w:highlight w:val="none"/>
                <w:lang w:val="en-US" w:eastAsia="zh-CN"/>
              </w:rPr>
              <w:t>0.0118</w:t>
            </w:r>
          </w:p>
        </w:tc>
        <w:tc>
          <w:tcPr>
            <w:tcW w:w="115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0A62CB4">
            <w:pPr>
              <w:pStyle w:val="48"/>
              <w:spacing w:beforeLines="0" w:afterLines="0"/>
              <w:rPr>
                <w:rFonts w:hint="default" w:ascii="Times New Roman" w:hAnsi="Times New Roman" w:cs="Times New Roman"/>
                <w:color w:val="FF0000"/>
                <w:sz w:val="24"/>
                <w:szCs w:val="24"/>
                <w:highlight w:val="none"/>
                <w:lang w:val="en-US" w:eastAsia="zh-CN"/>
              </w:rPr>
            </w:pPr>
            <w:r>
              <w:rPr>
                <w:rFonts w:hint="default" w:ascii="Times New Roman" w:hAnsi="Times New Roman" w:cs="Times New Roman"/>
                <w:color w:val="FF0000"/>
                <w:sz w:val="24"/>
                <w:szCs w:val="24"/>
                <w:highlight w:val="none"/>
                <w:lang w:val="en-US" w:eastAsia="zh-CN"/>
              </w:rPr>
              <w:t>1.32</w:t>
            </w:r>
          </w:p>
        </w:tc>
        <w:tc>
          <w:tcPr>
            <w:tcW w:w="1067"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447F2844">
            <w:pPr>
              <w:pStyle w:val="48"/>
              <w:spacing w:beforeLines="0" w:afterLines="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val="en-US" w:eastAsia="zh-CN"/>
              </w:rPr>
              <w:t>/</w:t>
            </w:r>
          </w:p>
        </w:tc>
      </w:tr>
      <w:tr w14:paraId="1E35E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73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EB9495A">
            <w:pPr>
              <w:pStyle w:val="48"/>
              <w:spacing w:beforeLines="0" w:afterLines="0"/>
              <w:rPr>
                <w:rFonts w:hint="default" w:ascii="Times New Roman" w:hAnsi="Times New Roman" w:cs="Times New Roman"/>
                <w:color w:val="00B050"/>
                <w:sz w:val="24"/>
                <w:szCs w:val="24"/>
                <w:highlight w:val="none"/>
                <w:lang w:val="en-US" w:eastAsia="zh-CN"/>
              </w:rPr>
            </w:pPr>
            <w:r>
              <w:rPr>
                <w:rFonts w:hint="default" w:ascii="Times New Roman" w:hAnsi="Times New Roman" w:cs="Times New Roman"/>
                <w:color w:val="00B050"/>
                <w:sz w:val="24"/>
                <w:szCs w:val="24"/>
                <w:highlight w:val="none"/>
                <w:lang w:val="en-US" w:eastAsia="zh-CN"/>
              </w:rPr>
              <w:t>烘干炉废气</w:t>
            </w:r>
          </w:p>
          <w:p w14:paraId="23B5FBB2">
            <w:pPr>
              <w:pStyle w:val="48"/>
              <w:spacing w:beforeLines="0" w:afterLines="0"/>
              <w:rPr>
                <w:rFonts w:hint="default" w:ascii="Times New Roman" w:hAnsi="Times New Roman" w:cs="Times New Roman"/>
                <w:color w:val="00B050"/>
                <w:sz w:val="24"/>
                <w:szCs w:val="24"/>
                <w:highlight w:val="none"/>
                <w:lang w:val="en-US" w:eastAsia="zh-CN"/>
              </w:rPr>
            </w:pPr>
            <w:r>
              <w:rPr>
                <w:rFonts w:hint="default" w:ascii="Times New Roman" w:hAnsi="Times New Roman" w:cs="Times New Roman"/>
                <w:color w:val="00B050"/>
                <w:sz w:val="24"/>
                <w:szCs w:val="24"/>
                <w:highlight w:val="none"/>
                <w:lang w:val="en-US" w:eastAsia="zh-CN"/>
              </w:rPr>
              <w:t>（有组织）</w:t>
            </w:r>
          </w:p>
        </w:tc>
        <w:tc>
          <w:tcPr>
            <w:tcW w:w="1542" w:type="dxa"/>
            <w:vMerge w:val="restart"/>
            <w:tcBorders>
              <w:top w:val="single" w:color="auto" w:sz="4" w:space="0"/>
              <w:left w:val="single" w:color="auto" w:sz="4" w:space="0"/>
              <w:right w:val="single" w:color="auto" w:sz="4" w:space="0"/>
              <w:tl2br w:val="nil"/>
              <w:tr2bl w:val="nil"/>
            </w:tcBorders>
            <w:noWrap w:val="0"/>
            <w:vAlign w:val="center"/>
          </w:tcPr>
          <w:p w14:paraId="34A138BA">
            <w:pPr>
              <w:pStyle w:val="48"/>
              <w:spacing w:beforeLines="0" w:afterLines="0"/>
              <w:rPr>
                <w:rFonts w:hint="default" w:ascii="Times New Roman" w:hAnsi="Times New Roman" w:cs="Times New Roman"/>
                <w:color w:val="00B050"/>
                <w:sz w:val="24"/>
                <w:szCs w:val="24"/>
                <w:highlight w:val="none"/>
                <w:lang w:val="en-US" w:eastAsia="zh-CN"/>
              </w:rPr>
            </w:pPr>
            <w:r>
              <w:rPr>
                <w:rFonts w:hint="default" w:ascii="Times New Roman" w:hAnsi="Times New Roman" w:cs="Times New Roman"/>
                <w:color w:val="00B050"/>
                <w:sz w:val="24"/>
                <w:szCs w:val="24"/>
                <w:highlight w:val="none"/>
                <w:lang w:val="en-US" w:eastAsia="zh-CN"/>
              </w:rPr>
              <w:t>颗粒物</w:t>
            </w:r>
          </w:p>
        </w:tc>
        <w:tc>
          <w:tcPr>
            <w:tcW w:w="2028" w:type="dxa"/>
            <w:vMerge w:val="restart"/>
            <w:tcBorders>
              <w:top w:val="single" w:color="auto" w:sz="4" w:space="0"/>
              <w:left w:val="single" w:color="auto" w:sz="4" w:space="0"/>
              <w:right w:val="single" w:color="auto" w:sz="4" w:space="0"/>
              <w:tl2br w:val="nil"/>
              <w:tr2bl w:val="nil"/>
            </w:tcBorders>
            <w:noWrap w:val="0"/>
            <w:vAlign w:val="center"/>
          </w:tcPr>
          <w:p w14:paraId="51D7AA54">
            <w:pPr>
              <w:pStyle w:val="48"/>
              <w:spacing w:beforeLines="0" w:afterLines="0"/>
              <w:rPr>
                <w:rFonts w:hint="default" w:ascii="Times New Roman" w:hAnsi="Times New Roman" w:cs="Times New Roman"/>
                <w:color w:val="00B050"/>
                <w:sz w:val="24"/>
                <w:szCs w:val="24"/>
                <w:highlight w:val="none"/>
                <w:lang w:val="en-US" w:eastAsia="zh-CN"/>
              </w:rPr>
            </w:pPr>
            <w:r>
              <w:rPr>
                <w:rFonts w:hint="default" w:ascii="Times New Roman" w:hAnsi="Times New Roman" w:cs="Times New Roman"/>
                <w:color w:val="00B050"/>
                <w:sz w:val="24"/>
                <w:szCs w:val="24"/>
                <w:highlight w:val="none"/>
                <w:lang w:val="en-US" w:eastAsia="zh-CN"/>
              </w:rPr>
              <w:t>0.9</w:t>
            </w:r>
          </w:p>
        </w:tc>
        <w:tc>
          <w:tcPr>
            <w:tcW w:w="1643" w:type="dxa"/>
            <w:tcBorders>
              <w:top w:val="single" w:color="auto" w:sz="4" w:space="0"/>
              <w:left w:val="single" w:color="auto" w:sz="4" w:space="0"/>
              <w:right w:val="single" w:color="auto" w:sz="4" w:space="0"/>
              <w:tl2br w:val="nil"/>
              <w:tr2bl w:val="nil"/>
            </w:tcBorders>
            <w:noWrap w:val="0"/>
            <w:vAlign w:val="center"/>
          </w:tcPr>
          <w:p w14:paraId="230B6EFD">
            <w:pPr>
              <w:pStyle w:val="48"/>
              <w:spacing w:beforeLines="0" w:afterLines="0"/>
              <w:rPr>
                <w:rFonts w:hint="default" w:ascii="Times New Roman" w:hAnsi="Times New Roman" w:cs="Times New Roman"/>
                <w:color w:val="00B050"/>
                <w:sz w:val="24"/>
                <w:szCs w:val="24"/>
                <w:highlight w:val="none"/>
                <w:lang w:val="en-US" w:eastAsia="zh-CN"/>
              </w:rPr>
            </w:pPr>
            <w:r>
              <w:rPr>
                <w:rFonts w:hint="default" w:ascii="Times New Roman" w:hAnsi="Times New Roman" w:cs="Times New Roman"/>
                <w:color w:val="00B050"/>
                <w:sz w:val="24"/>
                <w:szCs w:val="24"/>
                <w:highlight w:val="none"/>
                <w:lang w:val="en-US" w:eastAsia="zh-CN"/>
              </w:rPr>
              <w:t>0.00</w:t>
            </w:r>
            <w:r>
              <w:rPr>
                <w:rFonts w:hint="eastAsia" w:ascii="Times New Roman" w:hAnsi="Times New Roman" w:cs="Times New Roman"/>
                <w:color w:val="00B050"/>
                <w:sz w:val="24"/>
                <w:szCs w:val="24"/>
                <w:highlight w:val="none"/>
                <w:lang w:val="en-US" w:eastAsia="zh-CN"/>
              </w:rPr>
              <w:t>30</w:t>
            </w:r>
          </w:p>
        </w:tc>
        <w:tc>
          <w:tcPr>
            <w:tcW w:w="115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7900253">
            <w:pPr>
              <w:pStyle w:val="48"/>
              <w:spacing w:beforeLines="0" w:afterLines="0"/>
              <w:rPr>
                <w:rFonts w:hint="default" w:ascii="Times New Roman" w:hAnsi="Times New Roman" w:cs="Times New Roman"/>
                <w:color w:val="00B050"/>
                <w:sz w:val="24"/>
                <w:szCs w:val="24"/>
                <w:highlight w:val="none"/>
                <w:lang w:val="en-US" w:eastAsia="zh-CN"/>
              </w:rPr>
            </w:pPr>
            <w:r>
              <w:rPr>
                <w:rFonts w:hint="default" w:ascii="Times New Roman" w:hAnsi="Times New Roman" w:cs="Times New Roman"/>
                <w:color w:val="00B050"/>
                <w:sz w:val="24"/>
                <w:szCs w:val="24"/>
                <w:highlight w:val="none"/>
                <w:lang w:val="en-US" w:eastAsia="zh-CN"/>
              </w:rPr>
              <w:t>0.33</w:t>
            </w:r>
          </w:p>
        </w:tc>
        <w:tc>
          <w:tcPr>
            <w:tcW w:w="1067"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125A7EEC">
            <w:pPr>
              <w:pStyle w:val="48"/>
              <w:spacing w:beforeLines="0" w:afterLines="0"/>
              <w:rPr>
                <w:rFonts w:hint="default" w:ascii="Times New Roman" w:hAnsi="Times New Roman" w:cs="Times New Roman"/>
                <w:color w:val="auto"/>
                <w:sz w:val="24"/>
                <w:szCs w:val="24"/>
                <w:highlight w:val="none"/>
              </w:rPr>
            </w:pPr>
          </w:p>
        </w:tc>
      </w:tr>
      <w:tr w14:paraId="0CB91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73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C998E13">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开采粉尘</w:t>
            </w:r>
          </w:p>
        </w:tc>
        <w:tc>
          <w:tcPr>
            <w:tcW w:w="1542" w:type="dxa"/>
            <w:vMerge w:val="restart"/>
            <w:tcBorders>
              <w:top w:val="single" w:color="auto" w:sz="4" w:space="0"/>
              <w:left w:val="single" w:color="auto" w:sz="4" w:space="0"/>
              <w:right w:val="single" w:color="auto" w:sz="4" w:space="0"/>
              <w:tl2br w:val="nil"/>
              <w:tr2bl w:val="nil"/>
            </w:tcBorders>
            <w:noWrap w:val="0"/>
            <w:vAlign w:val="center"/>
          </w:tcPr>
          <w:p w14:paraId="45F91FCF">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颗粒物</w:t>
            </w:r>
          </w:p>
        </w:tc>
        <w:tc>
          <w:tcPr>
            <w:tcW w:w="2028" w:type="dxa"/>
            <w:vMerge w:val="restart"/>
            <w:tcBorders>
              <w:top w:val="single" w:color="auto" w:sz="4" w:space="0"/>
              <w:left w:val="single" w:color="auto" w:sz="4" w:space="0"/>
              <w:right w:val="single" w:color="auto" w:sz="4" w:space="0"/>
              <w:tl2br w:val="nil"/>
              <w:tr2bl w:val="nil"/>
            </w:tcBorders>
            <w:noWrap w:val="0"/>
            <w:vAlign w:val="center"/>
          </w:tcPr>
          <w:p w14:paraId="43ADB9A9">
            <w:pPr>
              <w:pStyle w:val="48"/>
              <w:spacing w:beforeLines="0" w:afterLines="0"/>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0.9</w:t>
            </w:r>
          </w:p>
        </w:tc>
        <w:tc>
          <w:tcPr>
            <w:tcW w:w="164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23B7FB4">
            <w:pPr>
              <w:pStyle w:val="48"/>
              <w:spacing w:beforeLines="0" w:afterLines="0"/>
              <w:rPr>
                <w:rFonts w:hint="default" w:ascii="Times New Roman" w:hAnsi="Times New Roman" w:cs="Times New Roman"/>
                <w:color w:val="FF0000"/>
                <w:sz w:val="24"/>
                <w:szCs w:val="24"/>
                <w:highlight w:val="none"/>
                <w:lang w:val="en-US" w:eastAsia="zh-CN"/>
              </w:rPr>
            </w:pPr>
            <w:r>
              <w:rPr>
                <w:rFonts w:hint="default" w:ascii="Times New Roman" w:hAnsi="Times New Roman" w:cs="Times New Roman"/>
                <w:color w:val="FF0000"/>
                <w:sz w:val="24"/>
                <w:szCs w:val="24"/>
                <w:highlight w:val="none"/>
                <w:lang w:val="en-US" w:eastAsia="zh-CN"/>
              </w:rPr>
              <w:t>0.0735</w:t>
            </w:r>
          </w:p>
        </w:tc>
        <w:tc>
          <w:tcPr>
            <w:tcW w:w="115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CCDAB54">
            <w:pPr>
              <w:pStyle w:val="48"/>
              <w:spacing w:beforeLines="0" w:afterLines="0"/>
              <w:rPr>
                <w:rFonts w:hint="default" w:ascii="Times New Roman" w:hAnsi="Times New Roman" w:cs="Times New Roman"/>
                <w:color w:val="FF0000"/>
                <w:sz w:val="24"/>
                <w:szCs w:val="24"/>
                <w:highlight w:val="none"/>
                <w:lang w:val="en-US" w:eastAsia="zh-CN"/>
              </w:rPr>
            </w:pPr>
            <w:r>
              <w:rPr>
                <w:rFonts w:hint="default" w:ascii="Times New Roman" w:hAnsi="Times New Roman" w:cs="Times New Roman"/>
                <w:color w:val="FF0000"/>
                <w:sz w:val="24"/>
                <w:szCs w:val="24"/>
                <w:highlight w:val="none"/>
                <w:lang w:val="en-US" w:eastAsia="zh-CN"/>
              </w:rPr>
              <w:t>8.17</w:t>
            </w:r>
          </w:p>
        </w:tc>
        <w:tc>
          <w:tcPr>
            <w:tcW w:w="1067"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3E66948A">
            <w:pPr>
              <w:pStyle w:val="48"/>
              <w:spacing w:beforeLines="0" w:afterLines="0"/>
              <w:rPr>
                <w:rFonts w:hint="default" w:ascii="Times New Roman" w:hAnsi="Times New Roman" w:cs="Times New Roman"/>
                <w:color w:val="auto"/>
                <w:sz w:val="24"/>
                <w:szCs w:val="24"/>
                <w:highlight w:val="none"/>
              </w:rPr>
            </w:pPr>
          </w:p>
        </w:tc>
      </w:tr>
      <w:tr w14:paraId="7B1AF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73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AEB2826">
            <w:pPr>
              <w:pStyle w:val="48"/>
              <w:spacing w:beforeLines="0" w:afterLines="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筛分</w:t>
            </w:r>
          </w:p>
        </w:tc>
        <w:tc>
          <w:tcPr>
            <w:tcW w:w="1542" w:type="dxa"/>
            <w:vMerge w:val="continue"/>
            <w:tcBorders>
              <w:left w:val="single" w:color="auto" w:sz="4" w:space="0"/>
              <w:right w:val="single" w:color="auto" w:sz="4" w:space="0"/>
              <w:tl2br w:val="nil"/>
              <w:tr2bl w:val="nil"/>
            </w:tcBorders>
            <w:noWrap w:val="0"/>
            <w:vAlign w:val="center"/>
          </w:tcPr>
          <w:p w14:paraId="3F709F5A">
            <w:pPr>
              <w:pStyle w:val="48"/>
              <w:spacing w:beforeLines="0" w:afterLines="0"/>
              <w:rPr>
                <w:rFonts w:hint="default" w:ascii="Times New Roman" w:hAnsi="Times New Roman" w:cs="Times New Roman"/>
                <w:color w:val="auto"/>
                <w:sz w:val="24"/>
                <w:szCs w:val="24"/>
                <w:highlight w:val="none"/>
                <w:lang w:val="en-US" w:eastAsia="zh-CN"/>
              </w:rPr>
            </w:pPr>
          </w:p>
        </w:tc>
        <w:tc>
          <w:tcPr>
            <w:tcW w:w="2028" w:type="dxa"/>
            <w:vMerge w:val="continue"/>
            <w:tcBorders>
              <w:left w:val="single" w:color="auto" w:sz="4" w:space="0"/>
              <w:right w:val="single" w:color="auto" w:sz="4" w:space="0"/>
              <w:tl2br w:val="nil"/>
              <w:tr2bl w:val="nil"/>
            </w:tcBorders>
            <w:noWrap w:val="0"/>
            <w:vAlign w:val="center"/>
          </w:tcPr>
          <w:p w14:paraId="0BCEB08A">
            <w:pPr>
              <w:pStyle w:val="48"/>
              <w:spacing w:beforeLines="0" w:afterLines="0"/>
              <w:rPr>
                <w:rFonts w:hint="default" w:ascii="Times New Roman" w:hAnsi="Times New Roman" w:cs="Times New Roman"/>
                <w:color w:val="auto"/>
                <w:sz w:val="24"/>
                <w:szCs w:val="24"/>
                <w:highlight w:val="none"/>
                <w:lang w:val="en-US" w:eastAsia="zh-CN"/>
              </w:rPr>
            </w:pPr>
          </w:p>
        </w:tc>
        <w:tc>
          <w:tcPr>
            <w:tcW w:w="164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193BD5B">
            <w:pPr>
              <w:pStyle w:val="48"/>
              <w:spacing w:beforeLines="0" w:afterLines="0"/>
              <w:rPr>
                <w:rFonts w:hint="default" w:ascii="Times New Roman" w:hAnsi="Times New Roman" w:cs="Times New Roman"/>
                <w:color w:val="FF0000"/>
                <w:sz w:val="24"/>
                <w:szCs w:val="24"/>
                <w:highlight w:val="none"/>
                <w:lang w:val="en-US" w:eastAsia="zh-CN"/>
              </w:rPr>
            </w:pPr>
            <w:r>
              <w:rPr>
                <w:rFonts w:hint="eastAsia" w:ascii="Times New Roman" w:hAnsi="Times New Roman" w:cs="Times New Roman"/>
                <w:color w:val="FF0000"/>
                <w:sz w:val="24"/>
                <w:szCs w:val="24"/>
                <w:highlight w:val="none"/>
                <w:lang w:val="en-US" w:eastAsia="zh-CN"/>
              </w:rPr>
              <w:t>0.0417</w:t>
            </w:r>
          </w:p>
        </w:tc>
        <w:tc>
          <w:tcPr>
            <w:tcW w:w="115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B90048F">
            <w:pPr>
              <w:pStyle w:val="48"/>
              <w:spacing w:beforeLines="0" w:afterLines="0"/>
              <w:rPr>
                <w:rFonts w:hint="default" w:ascii="Times New Roman" w:hAnsi="Times New Roman" w:cs="Times New Roman"/>
                <w:color w:val="FF0000"/>
                <w:sz w:val="24"/>
                <w:szCs w:val="24"/>
                <w:highlight w:val="none"/>
                <w:lang w:val="en-US" w:eastAsia="zh-CN"/>
              </w:rPr>
            </w:pPr>
            <w:r>
              <w:rPr>
                <w:rFonts w:hint="eastAsia" w:ascii="Times New Roman" w:hAnsi="Times New Roman" w:cs="Times New Roman"/>
                <w:color w:val="FF0000"/>
                <w:sz w:val="24"/>
                <w:szCs w:val="24"/>
                <w:highlight w:val="none"/>
                <w:lang w:val="en-US" w:eastAsia="zh-CN"/>
              </w:rPr>
              <w:t>4.63</w:t>
            </w:r>
          </w:p>
        </w:tc>
        <w:tc>
          <w:tcPr>
            <w:tcW w:w="1067"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03F993CB">
            <w:pPr>
              <w:pStyle w:val="48"/>
              <w:spacing w:beforeLines="0" w:afterLines="0"/>
              <w:rPr>
                <w:rFonts w:hint="default" w:ascii="Times New Roman" w:hAnsi="Times New Roman" w:cs="Times New Roman"/>
                <w:color w:val="auto"/>
                <w:sz w:val="24"/>
                <w:szCs w:val="24"/>
                <w:highlight w:val="none"/>
              </w:rPr>
            </w:pPr>
          </w:p>
        </w:tc>
      </w:tr>
      <w:tr w14:paraId="37E88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73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1907FBD">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表土堆场</w:t>
            </w:r>
          </w:p>
        </w:tc>
        <w:tc>
          <w:tcPr>
            <w:tcW w:w="1542" w:type="dxa"/>
            <w:vMerge w:val="continue"/>
            <w:tcBorders>
              <w:left w:val="single" w:color="auto" w:sz="4" w:space="0"/>
              <w:right w:val="single" w:color="auto" w:sz="4" w:space="0"/>
              <w:tl2br w:val="nil"/>
              <w:tr2bl w:val="nil"/>
            </w:tcBorders>
            <w:noWrap w:val="0"/>
            <w:vAlign w:val="center"/>
          </w:tcPr>
          <w:p w14:paraId="04D001FB">
            <w:pPr>
              <w:pStyle w:val="48"/>
              <w:spacing w:beforeLines="0" w:afterLines="0"/>
              <w:rPr>
                <w:rFonts w:hint="default" w:ascii="Times New Roman" w:hAnsi="Times New Roman" w:cs="Times New Roman"/>
                <w:color w:val="auto"/>
                <w:sz w:val="24"/>
                <w:szCs w:val="24"/>
                <w:highlight w:val="none"/>
              </w:rPr>
            </w:pPr>
          </w:p>
        </w:tc>
        <w:tc>
          <w:tcPr>
            <w:tcW w:w="2028" w:type="dxa"/>
            <w:vMerge w:val="continue"/>
            <w:tcBorders>
              <w:left w:val="single" w:color="auto" w:sz="4" w:space="0"/>
              <w:right w:val="single" w:color="auto" w:sz="4" w:space="0"/>
              <w:tl2br w:val="nil"/>
              <w:tr2bl w:val="nil"/>
            </w:tcBorders>
            <w:noWrap w:val="0"/>
            <w:vAlign w:val="center"/>
          </w:tcPr>
          <w:p w14:paraId="0797A1BC">
            <w:pPr>
              <w:pStyle w:val="48"/>
              <w:spacing w:beforeLines="0" w:afterLines="0"/>
              <w:rPr>
                <w:rFonts w:hint="default" w:ascii="Times New Roman" w:hAnsi="Times New Roman" w:cs="Times New Roman"/>
                <w:color w:val="auto"/>
                <w:sz w:val="24"/>
                <w:szCs w:val="24"/>
                <w:highlight w:val="none"/>
              </w:rPr>
            </w:pPr>
          </w:p>
        </w:tc>
        <w:tc>
          <w:tcPr>
            <w:tcW w:w="164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EF6C775">
            <w:pPr>
              <w:pStyle w:val="48"/>
              <w:spacing w:beforeLines="0" w:afterLines="0"/>
              <w:rPr>
                <w:rFonts w:hint="default" w:ascii="Times New Roman" w:hAnsi="Times New Roman" w:cs="Times New Roman"/>
                <w:color w:val="FF0000"/>
                <w:sz w:val="24"/>
                <w:szCs w:val="24"/>
                <w:highlight w:val="none"/>
                <w:lang w:val="en-US" w:eastAsia="zh-CN"/>
              </w:rPr>
            </w:pPr>
            <w:r>
              <w:rPr>
                <w:rFonts w:hint="default" w:ascii="Times New Roman" w:hAnsi="Times New Roman" w:cs="Times New Roman"/>
                <w:color w:val="FF0000"/>
                <w:sz w:val="24"/>
                <w:szCs w:val="24"/>
                <w:highlight w:val="none"/>
                <w:lang w:val="en-US" w:eastAsia="zh-CN"/>
              </w:rPr>
              <w:t>0.0215</w:t>
            </w:r>
          </w:p>
        </w:tc>
        <w:tc>
          <w:tcPr>
            <w:tcW w:w="115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B4067D4">
            <w:pPr>
              <w:pStyle w:val="48"/>
              <w:spacing w:beforeLines="0" w:afterLines="0"/>
              <w:rPr>
                <w:rFonts w:hint="default" w:ascii="Times New Roman" w:hAnsi="Times New Roman" w:cs="Times New Roman"/>
                <w:color w:val="FF0000"/>
                <w:sz w:val="24"/>
                <w:szCs w:val="24"/>
                <w:highlight w:val="none"/>
                <w:lang w:val="en-US" w:eastAsia="zh-CN"/>
              </w:rPr>
            </w:pPr>
            <w:r>
              <w:rPr>
                <w:rFonts w:hint="default" w:ascii="Times New Roman" w:hAnsi="Times New Roman" w:cs="Times New Roman"/>
                <w:color w:val="FF0000"/>
                <w:sz w:val="24"/>
                <w:szCs w:val="24"/>
                <w:highlight w:val="none"/>
                <w:lang w:val="en-US" w:eastAsia="zh-CN"/>
              </w:rPr>
              <w:t>2.39</w:t>
            </w:r>
          </w:p>
        </w:tc>
        <w:tc>
          <w:tcPr>
            <w:tcW w:w="1067"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05F20F6F">
            <w:pPr>
              <w:pStyle w:val="48"/>
              <w:spacing w:beforeLines="0" w:afterLines="0"/>
              <w:rPr>
                <w:rFonts w:hint="default" w:ascii="Times New Roman" w:hAnsi="Times New Roman" w:cs="Times New Roman"/>
                <w:color w:val="auto"/>
                <w:sz w:val="24"/>
                <w:szCs w:val="24"/>
                <w:highlight w:val="none"/>
              </w:rPr>
            </w:pPr>
          </w:p>
        </w:tc>
      </w:tr>
      <w:tr w14:paraId="7CD30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73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74798EE">
            <w:pPr>
              <w:pStyle w:val="48"/>
              <w:spacing w:beforeLines="0" w:afterLines="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val="en-US" w:eastAsia="zh-CN"/>
              </w:rPr>
              <w:t>排土场</w:t>
            </w:r>
          </w:p>
        </w:tc>
        <w:tc>
          <w:tcPr>
            <w:tcW w:w="1542" w:type="dxa"/>
            <w:vMerge w:val="continue"/>
            <w:tcBorders>
              <w:left w:val="single" w:color="auto" w:sz="4" w:space="0"/>
              <w:right w:val="single" w:color="auto" w:sz="4" w:space="0"/>
              <w:tl2br w:val="nil"/>
              <w:tr2bl w:val="nil"/>
            </w:tcBorders>
            <w:noWrap w:val="0"/>
            <w:vAlign w:val="center"/>
          </w:tcPr>
          <w:p w14:paraId="6E5FCEBD">
            <w:pPr>
              <w:pStyle w:val="48"/>
              <w:spacing w:beforeLines="0" w:afterLines="0"/>
              <w:rPr>
                <w:rFonts w:hint="default" w:ascii="Times New Roman" w:hAnsi="Times New Roman" w:cs="Times New Roman"/>
                <w:color w:val="auto"/>
                <w:sz w:val="24"/>
                <w:szCs w:val="24"/>
                <w:highlight w:val="none"/>
              </w:rPr>
            </w:pPr>
          </w:p>
        </w:tc>
        <w:tc>
          <w:tcPr>
            <w:tcW w:w="2028" w:type="dxa"/>
            <w:vMerge w:val="continue"/>
            <w:tcBorders>
              <w:left w:val="single" w:color="auto" w:sz="4" w:space="0"/>
              <w:right w:val="single" w:color="auto" w:sz="4" w:space="0"/>
              <w:tl2br w:val="nil"/>
              <w:tr2bl w:val="nil"/>
            </w:tcBorders>
            <w:noWrap w:val="0"/>
            <w:vAlign w:val="center"/>
          </w:tcPr>
          <w:p w14:paraId="4B16E7BD">
            <w:pPr>
              <w:pStyle w:val="48"/>
              <w:spacing w:beforeLines="0" w:afterLines="0"/>
              <w:rPr>
                <w:rFonts w:hint="default" w:ascii="Times New Roman" w:hAnsi="Times New Roman" w:cs="Times New Roman"/>
                <w:color w:val="auto"/>
                <w:sz w:val="24"/>
                <w:szCs w:val="24"/>
                <w:highlight w:val="none"/>
              </w:rPr>
            </w:pPr>
          </w:p>
        </w:tc>
        <w:tc>
          <w:tcPr>
            <w:tcW w:w="164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7B60EC9">
            <w:pPr>
              <w:pStyle w:val="48"/>
              <w:spacing w:beforeLines="0" w:afterLines="0"/>
              <w:rPr>
                <w:rFonts w:hint="default" w:ascii="Times New Roman" w:hAnsi="Times New Roman" w:cs="Times New Roman"/>
                <w:color w:val="FF0000"/>
                <w:sz w:val="24"/>
                <w:szCs w:val="24"/>
                <w:highlight w:val="none"/>
                <w:lang w:val="en-US" w:eastAsia="zh-CN"/>
              </w:rPr>
            </w:pPr>
            <w:r>
              <w:rPr>
                <w:rFonts w:hint="default" w:ascii="Times New Roman" w:hAnsi="Times New Roman" w:cs="Times New Roman"/>
                <w:color w:val="FF0000"/>
                <w:sz w:val="24"/>
                <w:szCs w:val="24"/>
                <w:highlight w:val="none"/>
                <w:lang w:val="en-US" w:eastAsia="zh-CN"/>
              </w:rPr>
              <w:t>0.0329</w:t>
            </w:r>
          </w:p>
        </w:tc>
        <w:tc>
          <w:tcPr>
            <w:tcW w:w="115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0F02B8D">
            <w:pPr>
              <w:pStyle w:val="48"/>
              <w:spacing w:beforeLines="0" w:afterLines="0"/>
              <w:rPr>
                <w:rFonts w:hint="default" w:ascii="Times New Roman" w:hAnsi="Times New Roman" w:cs="Times New Roman"/>
                <w:color w:val="FF0000"/>
                <w:sz w:val="24"/>
                <w:szCs w:val="24"/>
                <w:highlight w:val="none"/>
                <w:lang w:val="en-US" w:eastAsia="zh-CN"/>
              </w:rPr>
            </w:pPr>
            <w:r>
              <w:rPr>
                <w:rFonts w:hint="default" w:ascii="Times New Roman" w:hAnsi="Times New Roman" w:cs="Times New Roman"/>
                <w:color w:val="FF0000"/>
                <w:sz w:val="24"/>
                <w:szCs w:val="24"/>
                <w:highlight w:val="none"/>
                <w:lang w:val="en-US" w:eastAsia="zh-CN"/>
              </w:rPr>
              <w:t>3.66</w:t>
            </w:r>
          </w:p>
        </w:tc>
        <w:tc>
          <w:tcPr>
            <w:tcW w:w="1067"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2146C2C">
            <w:pPr>
              <w:pStyle w:val="48"/>
              <w:spacing w:beforeLines="0" w:afterLines="0"/>
              <w:rPr>
                <w:rFonts w:hint="default" w:ascii="Times New Roman" w:hAnsi="Times New Roman" w:cs="Times New Roman"/>
                <w:color w:val="auto"/>
                <w:sz w:val="24"/>
                <w:szCs w:val="24"/>
                <w:highlight w:val="none"/>
              </w:rPr>
            </w:pPr>
          </w:p>
        </w:tc>
      </w:tr>
      <w:tr w14:paraId="4FA15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73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66A6DCD">
            <w:pPr>
              <w:pStyle w:val="48"/>
              <w:spacing w:beforeLines="0" w:afterLines="0"/>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原料堆场</w:t>
            </w:r>
          </w:p>
        </w:tc>
        <w:tc>
          <w:tcPr>
            <w:tcW w:w="1542" w:type="dxa"/>
            <w:vMerge w:val="continue"/>
            <w:tcBorders>
              <w:left w:val="single" w:color="auto" w:sz="4" w:space="0"/>
              <w:bottom w:val="single" w:color="auto" w:sz="4" w:space="0"/>
              <w:right w:val="single" w:color="auto" w:sz="4" w:space="0"/>
              <w:tl2br w:val="nil"/>
              <w:tr2bl w:val="nil"/>
            </w:tcBorders>
            <w:noWrap w:val="0"/>
            <w:vAlign w:val="center"/>
          </w:tcPr>
          <w:p w14:paraId="6AE023D5">
            <w:pPr>
              <w:pStyle w:val="48"/>
              <w:spacing w:beforeLines="0" w:afterLines="0"/>
              <w:rPr>
                <w:rFonts w:hint="default" w:ascii="Times New Roman" w:hAnsi="Times New Roman" w:cs="Times New Roman"/>
                <w:color w:val="auto"/>
                <w:sz w:val="24"/>
                <w:szCs w:val="24"/>
                <w:highlight w:val="none"/>
              </w:rPr>
            </w:pPr>
          </w:p>
        </w:tc>
        <w:tc>
          <w:tcPr>
            <w:tcW w:w="2028" w:type="dxa"/>
            <w:vMerge w:val="continue"/>
            <w:tcBorders>
              <w:left w:val="single" w:color="auto" w:sz="4" w:space="0"/>
              <w:bottom w:val="single" w:color="auto" w:sz="4" w:space="0"/>
              <w:right w:val="single" w:color="auto" w:sz="4" w:space="0"/>
              <w:tl2br w:val="nil"/>
              <w:tr2bl w:val="nil"/>
            </w:tcBorders>
            <w:noWrap w:val="0"/>
            <w:vAlign w:val="center"/>
          </w:tcPr>
          <w:p w14:paraId="11DB8565">
            <w:pPr>
              <w:pStyle w:val="48"/>
              <w:spacing w:beforeLines="0" w:afterLines="0"/>
              <w:rPr>
                <w:rFonts w:hint="default" w:ascii="Times New Roman" w:hAnsi="Times New Roman" w:cs="Times New Roman"/>
                <w:color w:val="auto"/>
                <w:sz w:val="24"/>
                <w:szCs w:val="24"/>
                <w:highlight w:val="none"/>
              </w:rPr>
            </w:pPr>
          </w:p>
        </w:tc>
        <w:tc>
          <w:tcPr>
            <w:tcW w:w="164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4CFD070">
            <w:pPr>
              <w:pStyle w:val="48"/>
              <w:spacing w:beforeLines="0" w:afterLines="0"/>
              <w:rPr>
                <w:rFonts w:hint="default" w:ascii="Times New Roman" w:hAnsi="Times New Roman" w:cs="Times New Roman"/>
                <w:color w:val="FF0000"/>
                <w:sz w:val="24"/>
                <w:szCs w:val="24"/>
                <w:highlight w:val="none"/>
                <w:lang w:val="en-US" w:eastAsia="zh-CN"/>
              </w:rPr>
            </w:pPr>
            <w:r>
              <w:rPr>
                <w:rFonts w:hint="eastAsia" w:ascii="Times New Roman" w:hAnsi="Times New Roman" w:cs="Times New Roman"/>
                <w:color w:val="FF0000"/>
                <w:sz w:val="24"/>
                <w:szCs w:val="24"/>
                <w:highlight w:val="none"/>
                <w:lang w:val="en-US" w:eastAsia="zh-CN"/>
              </w:rPr>
              <w:t>0.0273</w:t>
            </w:r>
          </w:p>
        </w:tc>
        <w:tc>
          <w:tcPr>
            <w:tcW w:w="115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44A057E">
            <w:pPr>
              <w:pStyle w:val="48"/>
              <w:spacing w:beforeLines="0" w:afterLines="0"/>
              <w:rPr>
                <w:rFonts w:hint="default" w:ascii="Times New Roman" w:hAnsi="Times New Roman" w:cs="Times New Roman"/>
                <w:color w:val="FF0000"/>
                <w:sz w:val="24"/>
                <w:szCs w:val="24"/>
                <w:highlight w:val="none"/>
                <w:lang w:val="en-US" w:eastAsia="zh-CN"/>
              </w:rPr>
            </w:pPr>
            <w:r>
              <w:rPr>
                <w:rFonts w:hint="eastAsia" w:ascii="Times New Roman" w:hAnsi="Times New Roman" w:cs="Times New Roman"/>
                <w:color w:val="FF0000"/>
                <w:sz w:val="24"/>
                <w:szCs w:val="24"/>
                <w:highlight w:val="none"/>
                <w:lang w:val="en-US" w:eastAsia="zh-CN"/>
              </w:rPr>
              <w:t>3.03</w:t>
            </w:r>
          </w:p>
        </w:tc>
        <w:tc>
          <w:tcPr>
            <w:tcW w:w="1067"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41B01364">
            <w:pPr>
              <w:pStyle w:val="48"/>
              <w:spacing w:beforeLines="0" w:afterLines="0"/>
              <w:rPr>
                <w:rFonts w:hint="default" w:ascii="Times New Roman" w:hAnsi="Times New Roman" w:cs="Times New Roman"/>
                <w:color w:val="auto"/>
                <w:sz w:val="24"/>
                <w:szCs w:val="24"/>
                <w:highlight w:val="none"/>
              </w:rPr>
            </w:pPr>
          </w:p>
        </w:tc>
      </w:tr>
    </w:tbl>
    <w:p w14:paraId="20F6DB08">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本项目Pmax最大值出现为</w:t>
      </w:r>
      <w:r>
        <w:rPr>
          <w:rFonts w:hint="default" w:ascii="Times New Roman" w:hAnsi="Times New Roman" w:cs="Times New Roman"/>
          <w:color w:val="auto"/>
          <w:sz w:val="24"/>
          <w:szCs w:val="24"/>
          <w:highlight w:val="none"/>
          <w:lang w:val="en-US" w:eastAsia="zh-CN"/>
        </w:rPr>
        <w:t>表土堆场</w:t>
      </w:r>
      <w:r>
        <w:rPr>
          <w:rFonts w:hint="default" w:ascii="Times New Roman" w:hAnsi="Times New Roman" w:cs="Times New Roman"/>
          <w:color w:val="auto"/>
          <w:sz w:val="24"/>
          <w:szCs w:val="24"/>
          <w:highlight w:val="none"/>
        </w:rPr>
        <w:t>面源排放的颗粒物，Pmax值为</w:t>
      </w:r>
      <w:r>
        <w:rPr>
          <w:rFonts w:hint="default" w:ascii="Times New Roman" w:hAnsi="Times New Roman" w:cs="Times New Roman"/>
          <w:color w:val="auto"/>
          <w:sz w:val="24"/>
          <w:szCs w:val="24"/>
          <w:highlight w:val="none"/>
          <w:lang w:val="en-US" w:eastAsia="zh-CN"/>
        </w:rPr>
        <w:t>8.17</w:t>
      </w:r>
      <w:r>
        <w:rPr>
          <w:rFonts w:hint="default" w:ascii="Times New Roman" w:hAnsi="Times New Roman" w:cs="Times New Roman"/>
          <w:color w:val="auto"/>
          <w:sz w:val="24"/>
          <w:szCs w:val="24"/>
          <w:highlight w:val="none"/>
        </w:rPr>
        <w:t>%&lt;10%，Cmax为</w:t>
      </w:r>
      <w:r>
        <w:rPr>
          <w:rFonts w:hint="default" w:ascii="Times New Roman" w:hAnsi="Times New Roman" w:cs="Times New Roman"/>
          <w:color w:val="auto"/>
          <w:sz w:val="24"/>
          <w:szCs w:val="24"/>
          <w:highlight w:val="none"/>
          <w:lang w:val="en-US" w:eastAsia="zh-CN"/>
        </w:rPr>
        <w:t>0.0735m</w:t>
      </w:r>
      <w:r>
        <w:rPr>
          <w:rFonts w:hint="default" w:ascii="Times New Roman" w:hAnsi="Times New Roman" w:cs="Times New Roman"/>
          <w:color w:val="auto"/>
          <w:sz w:val="24"/>
          <w:szCs w:val="24"/>
          <w:highlight w:val="none"/>
        </w:rPr>
        <w:t>g/m³，根据《环境影响评价技术导则 大气环境》（HJ2.2-2018）分级判据，确定本项目大气环境影响评价工作等级为二级。</w:t>
      </w:r>
    </w:p>
    <w:p w14:paraId="56BE69D0">
      <w:pPr>
        <w:pStyle w:val="5"/>
        <w:bidi w:val="0"/>
        <w:rPr>
          <w:rFonts w:hint="default"/>
        </w:rPr>
      </w:pPr>
      <w:bookmarkStart w:id="91" w:name="2.5.1.2水环境影响评价工作等级"/>
      <w:bookmarkEnd w:id="91"/>
      <w:r>
        <w:rPr>
          <w:rFonts w:hint="default"/>
        </w:rPr>
        <w:t>水环境影响评价工作等级</w:t>
      </w:r>
    </w:p>
    <w:p w14:paraId="1EF701C1">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（1）地表水</w:t>
      </w:r>
    </w:p>
    <w:p w14:paraId="6CDF4545">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根据《环境影响评价技术导则 地表水环境》（HJ2.3-2018）中地表水环境影响分为水污染影响及水文要素影响，本项目不直接排入地表水，将其划分为水污染影响，环境影响评价工作等级分级判据主要为项目废（污）水排放量及排放方式。</w:t>
      </w:r>
    </w:p>
    <w:p w14:paraId="2C60CCAE">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mc:AlternateContent>
          <mc:Choice Requires="wps">
            <w:drawing>
              <wp:anchor distT="0" distB="0" distL="114300" distR="114300" simplePos="0" relativeHeight="251662336" behindDoc="1" locked="0" layoutInCell="1" allowOverlap="1">
                <wp:simplePos x="0" y="0"/>
                <wp:positionH relativeFrom="page">
                  <wp:posOffset>6737985</wp:posOffset>
                </wp:positionH>
                <wp:positionV relativeFrom="paragraph">
                  <wp:posOffset>680085</wp:posOffset>
                </wp:positionV>
                <wp:extent cx="12700" cy="367030"/>
                <wp:effectExtent l="4445" t="0" r="0" b="1270"/>
                <wp:wrapNone/>
                <wp:docPr id="34" name="任意多边形 357"/>
                <wp:cNvGraphicFramePr/>
                <a:graphic xmlns:a="http://schemas.openxmlformats.org/drawingml/2006/main">
                  <a:graphicData uri="http://schemas.microsoft.com/office/word/2010/wordprocessingShape">
                    <wps:wsp>
                      <wps:cNvSpPr/>
                      <wps:spPr>
                        <a:xfrm>
                          <a:off x="0" y="0"/>
                          <a:ext cx="12700" cy="367030"/>
                        </a:xfrm>
                        <a:custGeom>
                          <a:avLst/>
                          <a:gdLst/>
                          <a:ahLst/>
                          <a:cxnLst/>
                          <a:pathLst>
                            <a:path w="20" h="578">
                              <a:moveTo>
                                <a:pt x="0" y="0"/>
                              </a:moveTo>
                              <a:lnTo>
                                <a:pt x="0" y="577"/>
                              </a:lnTo>
                            </a:path>
                          </a:pathLst>
                        </a:custGeom>
                        <a:noFill/>
                        <a:ln w="0" cap="flat" cmpd="sng">
                          <a:solidFill>
                            <a:srgbClr val="000000"/>
                          </a:solidFill>
                          <a:prstDash val="solid"/>
                          <a:headEnd type="none" w="med" len="med"/>
                          <a:tailEnd type="none" w="med" len="med"/>
                        </a:ln>
                      </wps:spPr>
                      <wps:bodyPr wrap="square" upright="1"/>
                    </wps:wsp>
                  </a:graphicData>
                </a:graphic>
              </wp:anchor>
            </w:drawing>
          </mc:Choice>
          <mc:Fallback>
            <w:pict>
              <v:shape id="任意多边形 357" o:spid="_x0000_s1026" o:spt="100" style="position:absolute;left:0pt;margin-left:530.55pt;margin-top:53.55pt;height:28.9pt;width:1pt;mso-position-horizontal-relative:page;z-index:-251654144;mso-width-relative:page;mso-height-relative:page;" filled="f" stroked="t" coordsize="20,578" o:gfxdata="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xupMydkAAAANAQAADwAAAAAAAAABACAAAAAiAAAAZHJz&#10;L2Rvd25yZXYueG1sUEsBAhQAFAAAAAgAh07iQHn92CI8AgAAmAQAAA4AAAAAAAAAAQAgAAAAKAEA&#10;AGRycy9lMm9Eb2MueG1sUEsFBgAAAAAGAAYAWQEAANYFAAAAAA==&#10;" path="m0,0l0,577e">
                <v:fill on="f" focussize="0,0"/>
                <v:stroke weight="0pt" color="#000000" joinstyle="round"/>
                <v:imagedata o:title=""/>
                <o:lock v:ext="edit" aspectratio="f"/>
              </v:shape>
            </w:pict>
          </mc:Fallback>
        </mc:AlternateContent>
      </w:r>
      <w:r>
        <w:rPr>
          <w:rFonts w:hint="default" w:ascii="Times New Roman" w:hAnsi="Times New Roman" w:cs="Times New Roman"/>
          <w:color w:val="auto"/>
          <w:sz w:val="24"/>
          <w:szCs w:val="24"/>
          <w:highlight w:val="none"/>
        </w:rPr>
        <w:t>本项目生产废水经处理后循环利用；生活污水水质简单，经</w:t>
      </w:r>
      <w:r>
        <w:rPr>
          <w:rFonts w:hint="default" w:ascii="Times New Roman" w:hAnsi="Times New Roman" w:cs="Times New Roman"/>
          <w:color w:val="auto"/>
          <w:sz w:val="24"/>
          <w:szCs w:val="24"/>
          <w:highlight w:val="none"/>
          <w:lang w:val="en-US" w:eastAsia="zh-CN"/>
        </w:rPr>
        <w:t>地埋式一体化污水处理装置</w:t>
      </w:r>
      <w:r>
        <w:rPr>
          <w:rFonts w:hint="default" w:ascii="Times New Roman" w:hAnsi="Times New Roman" w:cs="Times New Roman"/>
          <w:color w:val="auto"/>
          <w:sz w:val="24"/>
          <w:szCs w:val="24"/>
          <w:highlight w:val="none"/>
        </w:rPr>
        <w:t>处理后作为</w:t>
      </w:r>
      <w:r>
        <w:rPr>
          <w:rFonts w:hint="eastAsia" w:cs="Times New Roman"/>
          <w:color w:val="auto"/>
          <w:sz w:val="24"/>
          <w:szCs w:val="24"/>
          <w:highlight w:val="none"/>
          <w:lang w:val="en-US" w:eastAsia="zh-CN"/>
        </w:rPr>
        <w:t>矿区</w:t>
      </w:r>
      <w:r>
        <w:rPr>
          <w:rFonts w:hint="default" w:ascii="Times New Roman" w:hAnsi="Times New Roman" w:cs="Times New Roman"/>
          <w:color w:val="auto"/>
          <w:sz w:val="24"/>
          <w:szCs w:val="24"/>
          <w:highlight w:val="none"/>
          <w:lang w:val="en-US" w:eastAsia="zh-CN"/>
        </w:rPr>
        <w:t>降尘用水</w:t>
      </w:r>
      <w:r>
        <w:rPr>
          <w:rFonts w:hint="default" w:ascii="Times New Roman" w:hAnsi="Times New Roman" w:cs="Times New Roman"/>
          <w:color w:val="auto"/>
          <w:sz w:val="24"/>
          <w:szCs w:val="24"/>
          <w:highlight w:val="none"/>
        </w:rPr>
        <w:t>，不排放到外环境。根据《环境影响评价技术导则 地表水环境》（HJ2.3-2018）中的地表水环境影响评价工作等级分级判据，地表水评价等级为三级B。</w:t>
      </w:r>
    </w:p>
    <w:p w14:paraId="283830D2">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（2）地下水</w:t>
      </w:r>
    </w:p>
    <w:p w14:paraId="44F9A75D">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根据《环境影响评价技术导则 地下水环境》（HJ610-2016）附录A，本项目属于“J非金属采选及制品制造”中的“54、土砂石开采”，为IV类项目，根据导则要求，IV类项目不开展地下水环境影响评价。本项目地下水环境影响评价开展简单环境影响分析。</w:t>
      </w:r>
    </w:p>
    <w:p w14:paraId="1B4D18DC">
      <w:pPr>
        <w:pStyle w:val="5"/>
        <w:bidi w:val="0"/>
        <w:rPr>
          <w:rFonts w:hint="default"/>
        </w:rPr>
      </w:pPr>
      <w:bookmarkStart w:id="92" w:name="2.5.1.3声环境影响评价工作等级"/>
      <w:bookmarkEnd w:id="92"/>
      <w:r>
        <w:rPr>
          <w:rFonts w:hint="default"/>
        </w:rPr>
        <w:t>声环境影响评价工作等级</w:t>
      </w:r>
    </w:p>
    <w:p w14:paraId="40D30337">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项目区位于《声环境质量标准》（GB3096）中的2类功能区，根据《环境影响评价技术导则</w:t>
      </w: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rPr>
        <w:t>声环境》（HJ2.4-2021），项目建设前后噪声值变化较小且厂址附近没有声环境敏感目标，受影响人口数量基本不发生变化，因此本项目声环境评价等级定为二级。环境噪声影响评价工作等级判定依据，见表2.5-6。</w:t>
      </w:r>
    </w:p>
    <w:p w14:paraId="78E1EAAC">
      <w:pPr>
        <w:pStyle w:val="45"/>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表2.5-6</w:t>
      </w:r>
      <w:r>
        <w:rPr>
          <w:rFonts w:hint="default" w:ascii="Times New Roman" w:hAnsi="Times New Roman" w:cs="Times New Roman"/>
          <w:color w:val="auto"/>
          <w:sz w:val="24"/>
          <w:szCs w:val="24"/>
          <w:highlight w:val="none"/>
        </w:rPr>
        <w:tab/>
      </w:r>
      <w:r>
        <w:rPr>
          <w:rFonts w:hint="default" w:ascii="Times New Roman" w:hAnsi="Times New Roman" w:cs="Times New Roman"/>
          <w:color w:val="auto"/>
          <w:sz w:val="24"/>
          <w:szCs w:val="24"/>
          <w:highlight w:val="none"/>
        </w:rPr>
        <w:t>环境噪声影响评价工作等级判定依据表</w:t>
      </w:r>
    </w:p>
    <w:tbl>
      <w:tblPr>
        <w:tblStyle w:val="31"/>
        <w:tblW w:w="0" w:type="auto"/>
        <w:tblInd w:w="22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22"/>
        <w:gridCol w:w="3628"/>
        <w:gridCol w:w="2398"/>
        <w:gridCol w:w="1561"/>
      </w:tblGrid>
      <w:tr w14:paraId="137A85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42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C6D9AB8">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判别依据</w:t>
            </w:r>
          </w:p>
        </w:tc>
        <w:tc>
          <w:tcPr>
            <w:tcW w:w="362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02426C6">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声环境功能区类别</w:t>
            </w:r>
          </w:p>
        </w:tc>
        <w:tc>
          <w:tcPr>
            <w:tcW w:w="239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5B9113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项目建设前后评价范围内敏感目标噪声级增高量</w:t>
            </w:r>
          </w:p>
        </w:tc>
        <w:tc>
          <w:tcPr>
            <w:tcW w:w="15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0D6E55E">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受噪声影响范围内的人口数量</w:t>
            </w:r>
          </w:p>
        </w:tc>
      </w:tr>
      <w:tr w14:paraId="194F1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42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A92AB48">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二级评价标准判据</w:t>
            </w:r>
          </w:p>
        </w:tc>
        <w:tc>
          <w:tcPr>
            <w:tcW w:w="7587" w:type="dxa"/>
            <w:gridSpan w:val="3"/>
            <w:tcBorders>
              <w:top w:val="single" w:color="auto" w:sz="4" w:space="0"/>
              <w:left w:val="single" w:color="auto" w:sz="4" w:space="0"/>
              <w:bottom w:val="single" w:color="auto" w:sz="4" w:space="0"/>
              <w:right w:val="single" w:color="auto" w:sz="4" w:space="0"/>
              <w:tl2br w:val="nil"/>
              <w:tr2bl w:val="nil"/>
            </w:tcBorders>
            <w:noWrap w:val="0"/>
            <w:vAlign w:val="center"/>
          </w:tcPr>
          <w:p w14:paraId="7000D01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建设项目所处的声环境功能区为GB3096规定的1类、2类地区，</w:t>
            </w:r>
          </w:p>
          <w:p w14:paraId="229B5AB8">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或建设项目建设前后评价范围内声环境保护目标噪声级增量达3dB(A)～5dB(A)，受噪声影响人口数量增加较多时，按二级评价</w:t>
            </w:r>
          </w:p>
        </w:tc>
      </w:tr>
      <w:tr w14:paraId="4E0AD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42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8225CE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本工程</w:t>
            </w:r>
          </w:p>
        </w:tc>
        <w:tc>
          <w:tcPr>
            <w:tcW w:w="7587" w:type="dxa"/>
            <w:gridSpan w:val="3"/>
            <w:tcBorders>
              <w:top w:val="single" w:color="auto" w:sz="4" w:space="0"/>
              <w:left w:val="single" w:color="auto" w:sz="4" w:space="0"/>
              <w:bottom w:val="single" w:color="auto" w:sz="4" w:space="0"/>
              <w:right w:val="single" w:color="auto" w:sz="4" w:space="0"/>
              <w:tl2br w:val="nil"/>
              <w:tr2bl w:val="nil"/>
            </w:tcBorders>
            <w:noWrap w:val="0"/>
            <w:vAlign w:val="center"/>
          </w:tcPr>
          <w:p w14:paraId="394E2B5D">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2类区</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噪声级增量3</w:t>
            </w:r>
            <w:r>
              <w:rPr>
                <w:rFonts w:hint="default"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dB（A）</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受噪声影响人口数量无变化</w:t>
            </w:r>
          </w:p>
        </w:tc>
      </w:tr>
      <w:tr w14:paraId="069725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42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3EE8701">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评价等级</w:t>
            </w:r>
          </w:p>
        </w:tc>
        <w:tc>
          <w:tcPr>
            <w:tcW w:w="7587" w:type="dxa"/>
            <w:gridSpan w:val="3"/>
            <w:tcBorders>
              <w:top w:val="single" w:color="auto" w:sz="4" w:space="0"/>
              <w:left w:val="single" w:color="auto" w:sz="4" w:space="0"/>
              <w:bottom w:val="single" w:color="auto" w:sz="4" w:space="0"/>
              <w:right w:val="single" w:color="auto" w:sz="4" w:space="0"/>
              <w:tl2br w:val="nil"/>
              <w:tr2bl w:val="nil"/>
            </w:tcBorders>
            <w:noWrap w:val="0"/>
            <w:vAlign w:val="center"/>
          </w:tcPr>
          <w:p w14:paraId="4B1A34B3">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二级评价</w:t>
            </w:r>
          </w:p>
        </w:tc>
      </w:tr>
    </w:tbl>
    <w:p w14:paraId="2B2479F4">
      <w:pPr>
        <w:pStyle w:val="5"/>
        <w:bidi w:val="0"/>
        <w:rPr>
          <w:rFonts w:hint="default"/>
        </w:rPr>
      </w:pPr>
      <w:bookmarkStart w:id="93" w:name="2.5.1.4土壤环境评价等级"/>
      <w:bookmarkEnd w:id="93"/>
      <w:r>
        <w:rPr>
          <w:rFonts w:hint="default"/>
        </w:rPr>
        <w:t>土壤环境评价等级</w:t>
      </w:r>
    </w:p>
    <w:p w14:paraId="6A65819D">
      <w:pPr>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本项目包含石英矿露天开采和选矿工序，根据</w:t>
      </w:r>
      <w:r>
        <w:rPr>
          <w:rFonts w:hint="default" w:ascii="Times New Roman" w:hAnsi="Times New Roman" w:cs="Times New Roman"/>
          <w:color w:val="auto"/>
          <w:sz w:val="24"/>
          <w:szCs w:val="24"/>
          <w:highlight w:val="none"/>
        </w:rPr>
        <w:t>《环境影响评价技术导则 土壤环境（试行）》（HJ964-2018）</w:t>
      </w:r>
      <w:r>
        <w:rPr>
          <w:rFonts w:hint="default" w:ascii="Times New Roman" w:hAnsi="Times New Roman" w:cs="Times New Roman"/>
          <w:color w:val="auto"/>
          <w:sz w:val="24"/>
          <w:szCs w:val="24"/>
          <w:highlight w:val="none"/>
          <w:lang w:val="en-US" w:eastAsia="zh-CN"/>
        </w:rPr>
        <w:t>6.2.3 建设项目同时涉及土壤环境生态影响型与污染影响型时，应分别判定评价工作等级，并按相应等级分别开展评价工作。判定结果如下：</w:t>
      </w:r>
    </w:p>
    <w:p w14:paraId="052DE20C">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（1）项目类别</w:t>
      </w:r>
    </w:p>
    <w:p w14:paraId="77EB0675">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根据《环境影响评价技术导则 土壤环境（试行）》（HJ964-2018）附录A土壤环境影响评价项目类别表（表2.5-7），环境敏感程度见表2.5-8。本项目属于采矿业中的Ⅲ类项目；</w:t>
      </w:r>
    </w:p>
    <w:p w14:paraId="6CCBF159">
      <w:pPr>
        <w:pStyle w:val="45"/>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表 2.5-7</w:t>
      </w: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rPr>
        <w:t>土壤环境影响评价项目类别</w:t>
      </w:r>
    </w:p>
    <w:tbl>
      <w:tblPr>
        <w:tblStyle w:val="31"/>
        <w:tblW w:w="9098" w:type="dxa"/>
        <w:tblInd w:w="2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1717"/>
        <w:gridCol w:w="4857"/>
        <w:gridCol w:w="935"/>
        <w:gridCol w:w="839"/>
      </w:tblGrid>
      <w:tr w14:paraId="6B9B9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rPr>
        <w:tc>
          <w:tcPr>
            <w:tcW w:w="750"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254DBDC3">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行业类别</w:t>
            </w:r>
          </w:p>
        </w:tc>
        <w:tc>
          <w:tcPr>
            <w:tcW w:w="8348" w:type="dxa"/>
            <w:gridSpan w:val="4"/>
            <w:tcBorders>
              <w:top w:val="single" w:color="auto" w:sz="4" w:space="0"/>
              <w:left w:val="single" w:color="auto" w:sz="4" w:space="0"/>
              <w:bottom w:val="single" w:color="auto" w:sz="4" w:space="0"/>
              <w:right w:val="single" w:color="auto" w:sz="4" w:space="0"/>
              <w:tl2br w:val="nil"/>
              <w:tr2bl w:val="nil"/>
            </w:tcBorders>
            <w:noWrap w:val="0"/>
            <w:vAlign w:val="center"/>
          </w:tcPr>
          <w:p w14:paraId="1201E12B">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项目类别</w:t>
            </w:r>
          </w:p>
        </w:tc>
      </w:tr>
      <w:tr w14:paraId="7A07F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5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5C4BFD5A">
            <w:pPr>
              <w:pStyle w:val="48"/>
              <w:spacing w:beforeLines="0" w:afterLines="0"/>
              <w:rPr>
                <w:rFonts w:hint="default" w:ascii="Times New Roman" w:hAnsi="Times New Roman" w:cs="Times New Roman"/>
                <w:color w:val="auto"/>
                <w:sz w:val="24"/>
                <w:szCs w:val="24"/>
                <w:highlight w:val="none"/>
              </w:rPr>
            </w:pPr>
          </w:p>
        </w:tc>
        <w:tc>
          <w:tcPr>
            <w:tcW w:w="171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3A1201D">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I类</w:t>
            </w:r>
          </w:p>
        </w:tc>
        <w:tc>
          <w:tcPr>
            <w:tcW w:w="485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2136843">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II类</w:t>
            </w:r>
          </w:p>
        </w:tc>
        <w:tc>
          <w:tcPr>
            <w:tcW w:w="93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6567A0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III类</w:t>
            </w:r>
          </w:p>
        </w:tc>
        <w:tc>
          <w:tcPr>
            <w:tcW w:w="83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D14BE0D">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Ⅳ类</w:t>
            </w:r>
          </w:p>
        </w:tc>
      </w:tr>
      <w:tr w14:paraId="36213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5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250BD55">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采矿业</w:t>
            </w:r>
          </w:p>
        </w:tc>
        <w:tc>
          <w:tcPr>
            <w:tcW w:w="171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F4A1A15">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金属矿、石油、页岩油开采</w:t>
            </w:r>
          </w:p>
        </w:tc>
        <w:tc>
          <w:tcPr>
            <w:tcW w:w="485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C58043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化学矿采选；石棉矿采选；煤矿采选、天然气开采、页岩气开采、砂岩气开采、煤气层开采（含净化、液化）</w:t>
            </w:r>
          </w:p>
        </w:tc>
        <w:tc>
          <w:tcPr>
            <w:tcW w:w="93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C7D634B">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其他</w:t>
            </w:r>
          </w:p>
        </w:tc>
        <w:tc>
          <w:tcPr>
            <w:tcW w:w="83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0FD8F91">
            <w:pPr>
              <w:pStyle w:val="48"/>
              <w:spacing w:beforeLines="0" w:afterLines="0"/>
              <w:rPr>
                <w:rFonts w:hint="default" w:ascii="Times New Roman" w:hAnsi="Times New Roman" w:cs="Times New Roman"/>
                <w:color w:val="auto"/>
                <w:sz w:val="24"/>
                <w:szCs w:val="24"/>
                <w:highlight w:val="none"/>
              </w:rPr>
            </w:pPr>
          </w:p>
        </w:tc>
      </w:tr>
    </w:tbl>
    <w:p w14:paraId="13843BF0">
      <w:pPr>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rPr>
        <w:t>（2）</w:t>
      </w:r>
      <w:r>
        <w:rPr>
          <w:rFonts w:hint="default" w:ascii="Times New Roman" w:hAnsi="Times New Roman" w:cs="Times New Roman"/>
          <w:color w:val="auto"/>
          <w:sz w:val="24"/>
          <w:szCs w:val="24"/>
          <w:highlight w:val="none"/>
          <w:lang w:val="en-US" w:eastAsia="zh-CN"/>
        </w:rPr>
        <w:t>按生态影响型项目判定评价等级</w:t>
      </w:r>
    </w:p>
    <w:p w14:paraId="49B0DEBB">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①环境敏感程度</w:t>
      </w:r>
    </w:p>
    <w:p w14:paraId="54BA741B">
      <w:pPr>
        <w:pStyle w:val="45"/>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表2.5-8</w:t>
      </w: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rPr>
        <w:t>生态影响型敏感程度分级表</w:t>
      </w:r>
    </w:p>
    <w:tbl>
      <w:tblPr>
        <w:tblStyle w:val="31"/>
        <w:tblW w:w="0" w:type="auto"/>
        <w:tblInd w:w="22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85"/>
        <w:gridCol w:w="5175"/>
        <w:gridCol w:w="1485"/>
        <w:gridCol w:w="1429"/>
      </w:tblGrid>
      <w:tr w14:paraId="6A9023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85"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0E2A0E07">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敏感</w:t>
            </w:r>
          </w:p>
          <w:p w14:paraId="7F0DB357">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程度</w:t>
            </w:r>
          </w:p>
        </w:tc>
        <w:tc>
          <w:tcPr>
            <w:tcW w:w="8089" w:type="dxa"/>
            <w:gridSpan w:val="3"/>
            <w:tcBorders>
              <w:top w:val="single" w:color="auto" w:sz="4" w:space="0"/>
              <w:left w:val="single" w:color="auto" w:sz="4" w:space="0"/>
              <w:bottom w:val="single" w:color="auto" w:sz="4" w:space="0"/>
              <w:right w:val="single" w:color="auto" w:sz="4" w:space="0"/>
              <w:tl2br w:val="nil"/>
              <w:tr2bl w:val="nil"/>
            </w:tcBorders>
            <w:noWrap w:val="0"/>
            <w:vAlign w:val="center"/>
          </w:tcPr>
          <w:p w14:paraId="0CA18A6D">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判别依据</w:t>
            </w:r>
          </w:p>
        </w:tc>
      </w:tr>
      <w:tr w14:paraId="194796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85"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40BC4F71">
            <w:pPr>
              <w:pStyle w:val="48"/>
              <w:spacing w:beforeLines="0" w:afterLines="0"/>
              <w:rPr>
                <w:rFonts w:hint="default" w:ascii="Times New Roman" w:hAnsi="Times New Roman" w:cs="Times New Roman"/>
                <w:color w:val="auto"/>
                <w:sz w:val="24"/>
                <w:szCs w:val="24"/>
                <w:highlight w:val="none"/>
              </w:rPr>
            </w:pPr>
          </w:p>
        </w:tc>
        <w:tc>
          <w:tcPr>
            <w:tcW w:w="517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FBD1FFC">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盐化</w:t>
            </w:r>
          </w:p>
        </w:tc>
        <w:tc>
          <w:tcPr>
            <w:tcW w:w="148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EABCB65">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酸化</w:t>
            </w:r>
          </w:p>
        </w:tc>
        <w:tc>
          <w:tcPr>
            <w:tcW w:w="142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19DC7D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碱化</w:t>
            </w:r>
          </w:p>
        </w:tc>
      </w:tr>
      <w:tr w14:paraId="3C958D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8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C4731F8">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敏感</w:t>
            </w:r>
          </w:p>
        </w:tc>
        <w:tc>
          <w:tcPr>
            <w:tcW w:w="517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8A010C1">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建设项目所在地干燥度a&gt;2.5且常年地下水位平均埋深＜1.5m的地势平坦区域；或土壤含盐量＞4g/kg的区域</w:t>
            </w:r>
          </w:p>
        </w:tc>
        <w:tc>
          <w:tcPr>
            <w:tcW w:w="148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1FC923A">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pH≤4.5</w:t>
            </w:r>
          </w:p>
        </w:tc>
        <w:tc>
          <w:tcPr>
            <w:tcW w:w="142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F0F57BB">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pH≥9.0</w:t>
            </w:r>
          </w:p>
        </w:tc>
      </w:tr>
      <w:tr w14:paraId="189392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8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0656C0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较敏感</w:t>
            </w:r>
          </w:p>
        </w:tc>
        <w:tc>
          <w:tcPr>
            <w:tcW w:w="517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F90B26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建设项目所在地干燥度＞2.5且常年地下水位平均埋深≥1.5m的，或1.8＜干燥度≤2.5且常年地下水位平均埋深＜1.8m的地势平坦区域；建设项目所在地干燥度＞2.5或常年地下水位平均埋深＜1.5m的平原区；或2g/kg＜土壤含盐量≤4g/kg的区域</w:t>
            </w:r>
          </w:p>
        </w:tc>
        <w:tc>
          <w:tcPr>
            <w:tcW w:w="148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8FDD56A">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4.5＜pH≤5.5</w:t>
            </w:r>
          </w:p>
        </w:tc>
        <w:tc>
          <w:tcPr>
            <w:tcW w:w="142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D930F5C">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8.5≤pH＜9.0</w:t>
            </w:r>
          </w:p>
        </w:tc>
      </w:tr>
      <w:tr w14:paraId="316409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8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4647A84">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不敏感</w:t>
            </w:r>
          </w:p>
        </w:tc>
        <w:tc>
          <w:tcPr>
            <w:tcW w:w="517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51365DC">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其他</w:t>
            </w:r>
          </w:p>
        </w:tc>
        <w:tc>
          <w:tcPr>
            <w:tcW w:w="2914"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003673B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5.5＜pH＜8.5</w:t>
            </w:r>
          </w:p>
        </w:tc>
      </w:tr>
      <w:tr w14:paraId="46DA4D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9174" w:type="dxa"/>
            <w:gridSpan w:val="4"/>
            <w:tcBorders>
              <w:top w:val="single" w:color="auto" w:sz="4" w:space="0"/>
              <w:left w:val="single" w:color="auto" w:sz="4" w:space="0"/>
              <w:bottom w:val="single" w:color="auto" w:sz="4" w:space="0"/>
              <w:right w:val="single" w:color="auto" w:sz="4" w:space="0"/>
              <w:tl2br w:val="nil"/>
              <w:tr2bl w:val="nil"/>
            </w:tcBorders>
            <w:noWrap w:val="0"/>
            <w:vAlign w:val="center"/>
          </w:tcPr>
          <w:p w14:paraId="67FCF056">
            <w:pPr>
              <w:pStyle w:val="48"/>
              <w:spacing w:beforeLines="0" w:afterLines="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a是指采用E601观测的多年平均水面蒸发量与降水量的比值，即蒸降比值</w:t>
            </w:r>
          </w:p>
        </w:tc>
      </w:tr>
    </w:tbl>
    <w:p w14:paraId="779D6C7E">
      <w:pPr>
        <w:pStyle w:val="14"/>
        <w:kinsoku w:val="0"/>
        <w:overflowPunct w:val="0"/>
        <w:spacing w:before="8" w:beforeLines="0" w:afterLines="0"/>
        <w:ind w:left="0" w:firstLine="0" w:firstLineChars="0"/>
        <w:rPr>
          <w:rFonts w:hint="default" w:ascii="Times New Roman" w:hAnsi="Times New Roman" w:cs="Times New Roman"/>
          <w:color w:val="auto"/>
          <w:sz w:val="2"/>
          <w:szCs w:val="24"/>
          <w:highlight w:val="none"/>
        </w:rPr>
      </w:pPr>
    </w:p>
    <w:p w14:paraId="2287C3AC">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②评价工作等级判定</w:t>
      </w:r>
    </w:p>
    <w:p w14:paraId="5B53C42A">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按照《环境影响评价技术导则 土壤环境（试行）》（HJ964-2018）中生态影响型评价工作等级分级表的划分方法进行确定，其判定依据见表2.5-9。</w:t>
      </w:r>
    </w:p>
    <w:p w14:paraId="27E4C116">
      <w:pPr>
        <w:pStyle w:val="45"/>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表2.5-9</w:t>
      </w: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rPr>
        <w:t>生态影响型评价工作等级划分表</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93"/>
        <w:gridCol w:w="1809"/>
        <w:gridCol w:w="1457"/>
        <w:gridCol w:w="2387"/>
      </w:tblGrid>
      <w:tr w14:paraId="478F9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3893" w:type="dxa"/>
            <w:tcBorders>
              <w:top w:val="single" w:color="auto" w:sz="4" w:space="0"/>
              <w:left w:val="single" w:color="auto" w:sz="4" w:space="0"/>
              <w:bottom w:val="single" w:color="auto" w:sz="4" w:space="0"/>
              <w:right w:val="single" w:color="auto" w:sz="4" w:space="0"/>
              <w:tl2br w:val="nil"/>
              <w:tr2bl w:val="nil"/>
            </w:tcBorders>
            <w:noWrap w:val="0"/>
            <w:vAlign w:val="center"/>
            <mc:AlternateContent>
              <mc:Choice Requires="wpsCustomData">
                <wpsCustomData:diagonals>
                  <wpsCustomData:diagonal from="10000" to="25400">
                    <wpsCustomData:border w:val="single" w:color="auto" w:sz="4" w:space="0"/>
                  </wpsCustomData:diagonal>
                  <wpsCustomData:diagonal from="10000" to="34700">
                    <wpsCustomData:border w:val="single" w:color="auto" w:sz="4" w:space="0"/>
                  </wpsCustomData:diagonal>
                </wpsCustomData:diagonals>
              </mc:Choice>
            </mc:AlternateContent>
          </w:tcPr>
          <w:p w14:paraId="3A67ABF5">
            <w:pPr>
              <w:pStyle w:val="48"/>
              <w:snapToGrid w:val="0"/>
              <w:spacing w:beforeLines="0" w:afterLines="0" w:line="240" w:lineRule="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 xml:space="preserve">                 </w:t>
            </w:r>
          </w:p>
          <w:p w14:paraId="0CD87010">
            <w:pPr>
              <w:pStyle w:val="48"/>
              <w:snapToGrid w:val="0"/>
              <w:spacing w:beforeLines="0" w:afterLines="0" w:line="240" w:lineRule="auto"/>
              <w:rPr>
                <w:rFonts w:hint="default" w:ascii="Times New Roman" w:hAnsi="Times New Roman" w:cs="Times New Roman"/>
                <w:color w:val="auto"/>
                <w:sz w:val="18"/>
                <w:szCs w:val="18"/>
                <w:highlight w:val="none"/>
                <w:lang w:val="en-US" w:eastAsia="zh-CN"/>
              </w:rPr>
            </w:pPr>
          </w:p>
          <w:p w14:paraId="04F32AA4">
            <w:pPr>
              <w:pStyle w:val="48"/>
              <w:snapToGrid w:val="0"/>
              <w:spacing w:beforeLines="0" w:afterLines="0" w:line="240" w:lineRule="auto"/>
              <w:jc w:val="both"/>
              <mc:AlternateContent>
                <mc:Choice Requires="wpsCustomData">
                  <wpsCustomData:diagonalParaType/>
                </mc:Choice>
              </mc:AlternateContent>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敏感程度</w:t>
            </w:r>
          </w:p>
          <w:p w14:paraId="5C8915A1">
            <w:pPr>
              <w:pStyle w:val="48"/>
              <w:snapToGrid w:val="0"/>
              <w:spacing w:beforeLines="0" w:afterLines="0" w:line="240" w:lineRule="auto"/>
              <w:ind w:firstLine="540" w:firstLineChars="300"/>
              <w:jc w:val="both"/>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 xml:space="preserve">    </w:t>
            </w:r>
          </w:p>
          <w:p w14:paraId="12E8CDED">
            <w:pPr>
              <w:pStyle w:val="48"/>
              <w:snapToGrid w:val="0"/>
              <w:spacing w:beforeLines="0" w:afterLines="0" w:line="240" w:lineRule="auto"/>
              <w:ind w:firstLine="540" w:firstLineChars="300"/>
              <w:jc w:val="both"/>
              <mc:AlternateContent>
                <mc:Choice Requires="wpsCustomData">
                  <wpsCustomData:diagonalParaType/>
                </mc:Choice>
              </mc:AlternateContent>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评价工作等级</w:t>
            </w:r>
          </w:p>
          <w:p w14:paraId="12A63FAE">
            <w:pPr>
              <w:pStyle w:val="48"/>
              <w:spacing w:beforeLines="0" w:afterLines="0" w:line="240" w:lineRule="auto"/>
              <w:ind w:firstLine="900" w:firstLineChars="500"/>
              <w:jc w:val="both"/>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项目类别</w:t>
            </w:r>
          </w:p>
        </w:tc>
        <w:tc>
          <w:tcPr>
            <w:tcW w:w="180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D853176">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I</w:t>
            </w:r>
          </w:p>
        </w:tc>
        <w:tc>
          <w:tcPr>
            <w:tcW w:w="145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A9EB8B5">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II</w:t>
            </w:r>
          </w:p>
        </w:tc>
        <w:tc>
          <w:tcPr>
            <w:tcW w:w="23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8E2AB4F">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III</w:t>
            </w:r>
          </w:p>
        </w:tc>
      </w:tr>
      <w:tr w14:paraId="44B7B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5A99CA5">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敏感</w:t>
            </w:r>
          </w:p>
        </w:tc>
        <w:tc>
          <w:tcPr>
            <w:tcW w:w="180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AE0008F">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一级</w:t>
            </w:r>
          </w:p>
        </w:tc>
        <w:tc>
          <w:tcPr>
            <w:tcW w:w="145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9127372">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二级</w:t>
            </w:r>
          </w:p>
        </w:tc>
        <w:tc>
          <w:tcPr>
            <w:tcW w:w="23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16C3FE9">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三级</w:t>
            </w:r>
          </w:p>
        </w:tc>
      </w:tr>
      <w:tr w14:paraId="5B144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C33FD58">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较敏感</w:t>
            </w:r>
          </w:p>
        </w:tc>
        <w:tc>
          <w:tcPr>
            <w:tcW w:w="180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5DC89ED">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二级</w:t>
            </w:r>
          </w:p>
        </w:tc>
        <w:tc>
          <w:tcPr>
            <w:tcW w:w="145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E032394">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二级</w:t>
            </w:r>
          </w:p>
        </w:tc>
        <w:tc>
          <w:tcPr>
            <w:tcW w:w="23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20FCB37">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三级</w:t>
            </w:r>
          </w:p>
        </w:tc>
      </w:tr>
      <w:tr w14:paraId="34094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417B7A4">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不敏感</w:t>
            </w:r>
          </w:p>
        </w:tc>
        <w:tc>
          <w:tcPr>
            <w:tcW w:w="180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12F26C0">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二级</w:t>
            </w:r>
          </w:p>
        </w:tc>
        <w:tc>
          <w:tcPr>
            <w:tcW w:w="145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4DF0B2E">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三级</w:t>
            </w:r>
          </w:p>
        </w:tc>
        <w:tc>
          <w:tcPr>
            <w:tcW w:w="23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0A9879B">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w:t>
            </w:r>
          </w:p>
        </w:tc>
      </w:tr>
      <w:tr w14:paraId="2E879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46" w:type="dxa"/>
            <w:gridSpan w:val="4"/>
            <w:tcBorders>
              <w:top w:val="single" w:color="auto" w:sz="4" w:space="0"/>
              <w:left w:val="single" w:color="auto" w:sz="4" w:space="0"/>
              <w:bottom w:val="single" w:color="auto" w:sz="4" w:space="0"/>
              <w:right w:val="single" w:color="auto" w:sz="4" w:space="0"/>
              <w:tl2br w:val="nil"/>
              <w:tr2bl w:val="nil"/>
            </w:tcBorders>
            <w:noWrap w:val="0"/>
            <w:vAlign w:val="center"/>
          </w:tcPr>
          <w:p w14:paraId="31931B40">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注“-”表示可不开展土壤环境影响评价工作</w:t>
            </w:r>
          </w:p>
        </w:tc>
      </w:tr>
    </w:tbl>
    <w:p w14:paraId="77A5AD2F">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本项目区域土壤环境影响评价项目类别为Ⅲ类，所在区域土壤pH值处于</w:t>
      </w:r>
      <w:r>
        <w:rPr>
          <w:rFonts w:hint="default" w:ascii="Times New Roman" w:hAnsi="Times New Roman" w:cs="Times New Roman"/>
          <w:color w:val="auto"/>
          <w:sz w:val="24"/>
          <w:szCs w:val="24"/>
          <w:highlight w:val="none"/>
          <w:lang w:val="en-US" w:eastAsia="zh-CN"/>
        </w:rPr>
        <w:t>8.14-8.18</w:t>
      </w:r>
      <w:r>
        <w:rPr>
          <w:rFonts w:hint="default" w:ascii="Times New Roman" w:hAnsi="Times New Roman" w:cs="Times New Roman"/>
          <w:color w:val="auto"/>
          <w:sz w:val="24"/>
          <w:szCs w:val="24"/>
          <w:highlight w:val="none"/>
        </w:rPr>
        <w:t>之间，</w:t>
      </w:r>
      <w:r>
        <w:rPr>
          <w:rFonts w:hint="default" w:ascii="Times New Roman" w:hAnsi="Times New Roman" w:cs="Times New Roman"/>
          <w:color w:val="auto"/>
          <w:sz w:val="24"/>
          <w:szCs w:val="24"/>
          <w:highlight w:val="none"/>
          <w:lang w:val="en-US" w:eastAsia="zh-CN"/>
        </w:rPr>
        <w:t>根据多年气象观测资料计算，干燥度大于2.5</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且地下水埋深大于1.5m，</w:t>
      </w:r>
      <w:r>
        <w:rPr>
          <w:rFonts w:hint="default" w:ascii="Times New Roman" w:hAnsi="Times New Roman" w:cs="Times New Roman"/>
          <w:color w:val="auto"/>
          <w:sz w:val="24"/>
          <w:szCs w:val="24"/>
          <w:highlight w:val="none"/>
        </w:rPr>
        <w:t>土壤环境敏感程度为</w:t>
      </w:r>
      <w:r>
        <w:rPr>
          <w:rFonts w:hint="default" w:ascii="Times New Roman" w:hAnsi="Times New Roman" w:cs="Times New Roman"/>
          <w:color w:val="auto"/>
          <w:sz w:val="24"/>
          <w:szCs w:val="24"/>
          <w:highlight w:val="none"/>
          <w:lang w:val="en-US" w:eastAsia="zh-CN"/>
        </w:rPr>
        <w:t>较</w:t>
      </w:r>
      <w:r>
        <w:rPr>
          <w:rFonts w:hint="default" w:ascii="Times New Roman" w:hAnsi="Times New Roman" w:cs="Times New Roman"/>
          <w:color w:val="auto"/>
          <w:sz w:val="24"/>
          <w:szCs w:val="24"/>
          <w:highlight w:val="none"/>
        </w:rPr>
        <w:t>敏感。因此，确定本项目土壤环境影响评价等级为三级。</w:t>
      </w:r>
    </w:p>
    <w:p w14:paraId="51F36560">
      <w:pPr>
        <w:numPr>
          <w:ilvl w:val="0"/>
          <w:numId w:val="16"/>
        </w:numPr>
        <w:spacing w:beforeLines="0" w:afterLines="0"/>
        <w:ind w:firstLine="48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按污染影响型项目判定评价等级</w:t>
      </w:r>
    </w:p>
    <w:p w14:paraId="58A957F1">
      <w:pPr>
        <w:spacing w:beforeLines="0" w:afterLines="0"/>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工业场地筛分粉尘以及烘干炉产生的烘干废气、生活区生活污水排放，占地面积合计103.6</w:t>
      </w:r>
      <w:r>
        <w:rPr>
          <w:rFonts w:hint="eastAsia" w:ascii="Times New Roman" w:hAnsi="Times New Roman" w:cs="Times New Roman"/>
          <w:color w:val="auto"/>
          <w:sz w:val="24"/>
          <w:szCs w:val="24"/>
          <w:highlight w:val="none"/>
          <w:lang w:val="en-US" w:eastAsia="zh-CN"/>
        </w:rPr>
        <w:t>6</w:t>
      </w:r>
      <w:r>
        <w:rPr>
          <w:rFonts w:hint="default" w:ascii="Times New Roman" w:hAnsi="Times New Roman" w:cs="Times New Roman"/>
          <w:color w:val="auto"/>
          <w:sz w:val="24"/>
          <w:szCs w:val="24"/>
          <w:highlight w:val="none"/>
          <w:lang w:val="en-US" w:eastAsia="zh-CN"/>
        </w:rPr>
        <w:t>hm</w:t>
      </w:r>
      <w:r>
        <w:rPr>
          <w:rFonts w:hint="default" w:ascii="Times New Roman" w:hAnsi="Times New Roman" w:cs="Times New Roman"/>
          <w:color w:val="auto"/>
          <w:sz w:val="24"/>
          <w:szCs w:val="24"/>
          <w:highlight w:val="none"/>
          <w:vertAlign w:val="superscript"/>
          <w:lang w:val="en-US" w:eastAsia="zh-CN"/>
        </w:rPr>
        <w:t>2</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5hm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，占地规模为“</w:t>
      </w:r>
      <w:r>
        <w:rPr>
          <w:rFonts w:hint="default" w:ascii="Times New Roman" w:hAnsi="Times New Roman" w:cs="Times New Roman"/>
          <w:color w:val="auto"/>
          <w:sz w:val="24"/>
          <w:szCs w:val="24"/>
          <w:highlight w:val="none"/>
          <w:lang w:val="en-US" w:eastAsia="zh-CN"/>
        </w:rPr>
        <w:t>大</w:t>
      </w:r>
      <w:r>
        <w:rPr>
          <w:rFonts w:hint="default" w:ascii="Times New Roman" w:hAnsi="Times New Roman" w:cs="Times New Roman"/>
          <w:color w:val="auto"/>
          <w:sz w:val="24"/>
          <w:szCs w:val="24"/>
          <w:highlight w:val="none"/>
        </w:rPr>
        <w:t>型”，因此，对照导则评价工作等级划分依据，本项目厂址区土壤环境影响评价工作等级判定为“</w:t>
      </w:r>
      <w:r>
        <w:rPr>
          <w:rFonts w:hint="default" w:ascii="Times New Roman" w:hAnsi="Times New Roman" w:cs="Times New Roman"/>
          <w:color w:val="auto"/>
          <w:sz w:val="24"/>
          <w:szCs w:val="24"/>
          <w:highlight w:val="none"/>
          <w:lang w:val="en-US" w:eastAsia="zh-CN"/>
        </w:rPr>
        <w:t>三</w:t>
      </w:r>
      <w:r>
        <w:rPr>
          <w:rFonts w:hint="default" w:ascii="Times New Roman" w:hAnsi="Times New Roman" w:cs="Times New Roman"/>
          <w:color w:val="auto"/>
          <w:sz w:val="24"/>
          <w:szCs w:val="24"/>
          <w:highlight w:val="none"/>
        </w:rPr>
        <w:t>级”。</w:t>
      </w:r>
    </w:p>
    <w:p w14:paraId="3B034649">
      <w:pPr>
        <w:pStyle w:val="45"/>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表2</w:t>
      </w:r>
      <w:r>
        <w:rPr>
          <w:rFonts w:hint="default" w:ascii="Times New Roman" w:hAnsi="Times New Roman" w:cs="Times New Roman"/>
          <w:color w:val="auto"/>
          <w:sz w:val="24"/>
          <w:szCs w:val="24"/>
          <w:highlight w:val="none"/>
          <w:lang w:val="en-US" w:eastAsia="zh-CN"/>
        </w:rPr>
        <w:t>.5-10</w:t>
      </w:r>
      <w:r>
        <w:rPr>
          <w:rFonts w:hint="default" w:ascii="Times New Roman" w:hAnsi="Times New Roman" w:cs="Times New Roman"/>
          <w:color w:val="auto"/>
          <w:sz w:val="24"/>
          <w:szCs w:val="24"/>
          <w:highlight w:val="none"/>
        </w:rPr>
        <w:t xml:space="preserve">   厂址区土壤环境影响评价工作等级划分</w:t>
      </w:r>
    </w:p>
    <w:tbl>
      <w:tblPr>
        <w:tblStyle w:val="31"/>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664"/>
        <w:gridCol w:w="4840"/>
        <w:gridCol w:w="1354"/>
        <w:gridCol w:w="1314"/>
      </w:tblGrid>
      <w:tr w14:paraId="2C855D1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2DD8A95">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土壤环境影响类型</w:t>
            </w:r>
          </w:p>
        </w:tc>
        <w:tc>
          <w:tcPr>
            <w:tcW w:w="7508" w:type="dxa"/>
            <w:gridSpan w:val="3"/>
            <w:tcBorders>
              <w:top w:val="single" w:color="auto" w:sz="4" w:space="0"/>
              <w:left w:val="single" w:color="auto" w:sz="4" w:space="0"/>
              <w:bottom w:val="single" w:color="auto" w:sz="4" w:space="0"/>
              <w:right w:val="single" w:color="auto" w:sz="4" w:space="0"/>
              <w:tl2br w:val="nil"/>
              <w:tr2bl w:val="nil"/>
            </w:tcBorders>
            <w:noWrap w:val="0"/>
            <w:vAlign w:val="center"/>
          </w:tcPr>
          <w:p w14:paraId="2E5B1808">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污染影响型</w:t>
            </w:r>
          </w:p>
        </w:tc>
      </w:tr>
      <w:tr w14:paraId="3D93CAA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37" w:hRule="atLeast"/>
          <w:jc w:val="center"/>
        </w:trPr>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9D64211">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等级划分依据</w:t>
            </w:r>
          </w:p>
        </w:tc>
        <w:tc>
          <w:tcPr>
            <w:tcW w:w="484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A78B88C">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情况概述</w:t>
            </w:r>
          </w:p>
        </w:tc>
        <w:tc>
          <w:tcPr>
            <w:tcW w:w="135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8C563DF">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类别/规模</w:t>
            </w:r>
          </w:p>
        </w:tc>
        <w:tc>
          <w:tcPr>
            <w:tcW w:w="131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8E59C5E">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评价等级</w:t>
            </w:r>
          </w:p>
        </w:tc>
      </w:tr>
      <w:tr w14:paraId="18C766E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431E233">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项目类别</w:t>
            </w:r>
          </w:p>
        </w:tc>
        <w:tc>
          <w:tcPr>
            <w:tcW w:w="484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95D04AC">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根据土壤环境影响评价项目类别划分，本项目属于“采矿业”中的“</w:t>
            </w:r>
            <w:r>
              <w:rPr>
                <w:rFonts w:hint="default" w:ascii="Times New Roman" w:hAnsi="Times New Roman" w:cs="Times New Roman"/>
                <w:color w:val="auto"/>
                <w:highlight w:val="none"/>
                <w:lang w:val="en-US" w:eastAsia="zh-CN"/>
              </w:rPr>
              <w:t>其他</w:t>
            </w:r>
            <w:r>
              <w:rPr>
                <w:rFonts w:hint="default" w:ascii="Times New Roman" w:hAnsi="Times New Roman" w:cs="Times New Roman"/>
                <w:color w:val="auto"/>
                <w:highlight w:val="none"/>
              </w:rPr>
              <w:t>”项目。</w:t>
            </w:r>
          </w:p>
        </w:tc>
        <w:tc>
          <w:tcPr>
            <w:tcW w:w="135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9D23A61">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I</w:t>
            </w:r>
            <w:r>
              <w:rPr>
                <w:rFonts w:hint="default" w:ascii="Times New Roman" w:hAnsi="Times New Roman" w:cs="Times New Roman"/>
                <w:color w:val="auto"/>
                <w:highlight w:val="none"/>
                <w:lang w:val="en-US" w:eastAsia="zh-CN"/>
              </w:rPr>
              <w:t>I</w:t>
            </w:r>
            <w:r>
              <w:rPr>
                <w:rFonts w:hint="default" w:ascii="Times New Roman" w:hAnsi="Times New Roman" w:cs="Times New Roman"/>
                <w:color w:val="auto"/>
                <w:highlight w:val="none"/>
              </w:rPr>
              <w:t>I类</w:t>
            </w:r>
          </w:p>
        </w:tc>
        <w:tc>
          <w:tcPr>
            <w:tcW w:w="1314"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1388FD8A">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三</w:t>
            </w:r>
            <w:r>
              <w:rPr>
                <w:rFonts w:hint="default" w:ascii="Times New Roman" w:hAnsi="Times New Roman" w:cs="Times New Roman"/>
                <w:color w:val="auto"/>
                <w:highlight w:val="none"/>
              </w:rPr>
              <w:t>级</w:t>
            </w:r>
          </w:p>
        </w:tc>
      </w:tr>
      <w:tr w14:paraId="2E57352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D58FFB7">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项目占地规模</w:t>
            </w:r>
          </w:p>
        </w:tc>
        <w:tc>
          <w:tcPr>
            <w:tcW w:w="484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61EB434">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拟建厂址区占地</w:t>
            </w:r>
            <w:r>
              <w:rPr>
                <w:rFonts w:hint="default" w:ascii="Times New Roman" w:hAnsi="Times New Roman" w:cs="Times New Roman"/>
                <w:color w:val="auto"/>
                <w:highlight w:val="none"/>
                <w:lang w:val="en-US" w:eastAsia="zh-CN"/>
              </w:rPr>
              <w:t>103.69</w:t>
            </w:r>
            <w:r>
              <w:rPr>
                <w:rFonts w:hint="default" w:ascii="Times New Roman" w:hAnsi="Times New Roman" w:cs="Times New Roman"/>
                <w:color w:val="auto"/>
                <w:highlight w:val="none"/>
              </w:rPr>
              <w:t>hm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rPr>
              <w:t>5hm</w:t>
            </w:r>
            <w:r>
              <w:rPr>
                <w:rFonts w:hint="default" w:ascii="Times New Roman" w:hAnsi="Times New Roman" w:cs="Times New Roman"/>
                <w:color w:val="auto"/>
                <w:highlight w:val="none"/>
                <w:vertAlign w:val="superscript"/>
              </w:rPr>
              <w:t>2</w:t>
            </w:r>
          </w:p>
        </w:tc>
        <w:tc>
          <w:tcPr>
            <w:tcW w:w="135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A9D4C78">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大</w:t>
            </w:r>
            <w:r>
              <w:rPr>
                <w:rFonts w:hint="default" w:ascii="Times New Roman" w:hAnsi="Times New Roman" w:cs="Times New Roman"/>
                <w:color w:val="auto"/>
                <w:highlight w:val="none"/>
              </w:rPr>
              <w:t>型</w:t>
            </w:r>
          </w:p>
        </w:tc>
        <w:tc>
          <w:tcPr>
            <w:tcW w:w="1314"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663E9BF6">
            <w:pPr>
              <w:pStyle w:val="48"/>
              <w:bidi w:val="0"/>
              <w:rPr>
                <w:rFonts w:hint="default" w:ascii="Times New Roman" w:hAnsi="Times New Roman" w:cs="Times New Roman"/>
                <w:color w:val="auto"/>
                <w:highlight w:val="none"/>
              </w:rPr>
            </w:pPr>
          </w:p>
        </w:tc>
      </w:tr>
      <w:tr w14:paraId="1C36FD5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66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7086447">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周边土壤环境敏感程度</w:t>
            </w:r>
          </w:p>
        </w:tc>
        <w:tc>
          <w:tcPr>
            <w:tcW w:w="484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E45D041">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厂区</w:t>
            </w:r>
            <w:r>
              <w:rPr>
                <w:rFonts w:hint="default" w:ascii="Times New Roman" w:hAnsi="Times New Roman" w:cs="Times New Roman"/>
                <w:color w:val="auto"/>
                <w:highlight w:val="none"/>
                <w:lang w:val="en-US" w:eastAsia="zh-CN"/>
              </w:rPr>
              <w:t>周围为天然牧草地</w:t>
            </w:r>
          </w:p>
        </w:tc>
        <w:tc>
          <w:tcPr>
            <w:tcW w:w="135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9671603">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敏感</w:t>
            </w:r>
          </w:p>
        </w:tc>
        <w:tc>
          <w:tcPr>
            <w:tcW w:w="1314"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63CD2EE">
            <w:pPr>
              <w:pStyle w:val="48"/>
              <w:bidi w:val="0"/>
              <w:rPr>
                <w:rFonts w:hint="default" w:ascii="Times New Roman" w:hAnsi="Times New Roman" w:cs="Times New Roman"/>
                <w:color w:val="auto"/>
                <w:highlight w:val="none"/>
              </w:rPr>
            </w:pPr>
          </w:p>
        </w:tc>
      </w:tr>
    </w:tbl>
    <w:p w14:paraId="3305A14E">
      <w:pPr>
        <w:bidi w:val="0"/>
        <w:rPr>
          <w:rFonts w:hint="default" w:ascii="Times New Roman" w:hAnsi="Times New Roman" w:cs="Times New Roman"/>
          <w:color w:val="auto"/>
          <w:highlight w:val="none"/>
          <w:lang w:val="en-US" w:eastAsia="zh-CN"/>
        </w:rPr>
      </w:pPr>
      <w:bookmarkStart w:id="94" w:name="2.5.1.5生态环境工作等级"/>
      <w:bookmarkEnd w:id="94"/>
      <w:r>
        <w:rPr>
          <w:rFonts w:hint="default" w:ascii="Times New Roman" w:hAnsi="Times New Roman" w:cs="Times New Roman"/>
          <w:color w:val="auto"/>
          <w:highlight w:val="none"/>
          <w:lang w:val="en-US" w:eastAsia="zh-CN"/>
        </w:rPr>
        <w:t>综合以上判断，本项目土壤影响评价等级为三级。</w:t>
      </w:r>
    </w:p>
    <w:p w14:paraId="720919AE">
      <w:pPr>
        <w:pStyle w:val="5"/>
        <w:bidi w:val="0"/>
        <w:rPr>
          <w:rFonts w:hint="default"/>
        </w:rPr>
      </w:pPr>
      <w:r>
        <w:rPr>
          <w:rFonts w:hint="default"/>
        </w:rPr>
        <w:t>生态环境工作等级</w:t>
      </w:r>
    </w:p>
    <w:p w14:paraId="7BCE0378">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本项目生态影响评价等级判定情况见表2.5-1</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w:t>
      </w:r>
    </w:p>
    <w:p w14:paraId="39A53841">
      <w:pPr>
        <w:pStyle w:val="45"/>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表 2.5-1</w:t>
      </w:r>
      <w:r>
        <w:rPr>
          <w:rFonts w:hint="default"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rPr>
        <w:tab/>
      </w:r>
      <w:r>
        <w:rPr>
          <w:rFonts w:hint="default" w:ascii="Times New Roman" w:hAnsi="Times New Roman" w:cs="Times New Roman"/>
          <w:color w:val="auto"/>
          <w:sz w:val="24"/>
          <w:szCs w:val="24"/>
          <w:highlight w:val="none"/>
        </w:rPr>
        <w:t>本项目生态影响评价等级判定表</w:t>
      </w:r>
    </w:p>
    <w:tbl>
      <w:tblPr>
        <w:tblStyle w:val="31"/>
        <w:tblW w:w="0" w:type="auto"/>
        <w:tblInd w:w="2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5771"/>
        <w:gridCol w:w="2189"/>
      </w:tblGrid>
      <w:tr w14:paraId="2CD6C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12" w:type="dxa"/>
            <w:tcBorders>
              <w:top w:val="single" w:color="auto" w:sz="4" w:space="0"/>
              <w:left w:val="single" w:color="auto" w:sz="4" w:space="0"/>
              <w:bottom w:val="single" w:color="auto" w:sz="4" w:space="0"/>
              <w:right w:val="single" w:color="auto" w:sz="4" w:space="0"/>
              <w:tl2br w:val="nil"/>
              <w:tr2bl w:val="nil"/>
            </w:tcBorders>
            <w:noWrap w:val="0"/>
            <w:vAlign w:val="top"/>
          </w:tcPr>
          <w:p w14:paraId="2DF5FD1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判定依据</w:t>
            </w:r>
          </w:p>
        </w:tc>
        <w:tc>
          <w:tcPr>
            <w:tcW w:w="5771" w:type="dxa"/>
            <w:tcBorders>
              <w:top w:val="single" w:color="auto" w:sz="4" w:space="0"/>
              <w:left w:val="single" w:color="auto" w:sz="4" w:space="0"/>
              <w:bottom w:val="single" w:color="auto" w:sz="4" w:space="0"/>
              <w:right w:val="single" w:color="auto" w:sz="4" w:space="0"/>
              <w:tl2br w:val="nil"/>
              <w:tr2bl w:val="nil"/>
            </w:tcBorders>
            <w:noWrap w:val="0"/>
            <w:vAlign w:val="top"/>
          </w:tcPr>
          <w:p w14:paraId="4284B443">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生态影响评价等级判定原则</w:t>
            </w:r>
          </w:p>
        </w:tc>
        <w:tc>
          <w:tcPr>
            <w:tcW w:w="218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07FB901">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本项目情况</w:t>
            </w:r>
          </w:p>
        </w:tc>
      </w:tr>
      <w:tr w14:paraId="5A46D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1212"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370AECB4">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《环境影响评价技术导则 生态环境》（HJ19-2022）</w:t>
            </w:r>
          </w:p>
        </w:tc>
        <w:tc>
          <w:tcPr>
            <w:tcW w:w="5771" w:type="dxa"/>
            <w:tcBorders>
              <w:top w:val="single" w:color="auto" w:sz="4" w:space="0"/>
              <w:left w:val="single" w:color="auto" w:sz="4" w:space="0"/>
              <w:bottom w:val="single" w:color="auto" w:sz="4" w:space="0"/>
              <w:right w:val="single" w:color="auto" w:sz="4" w:space="0"/>
              <w:tl2br w:val="nil"/>
              <w:tr2bl w:val="nil"/>
            </w:tcBorders>
            <w:noWrap w:val="0"/>
            <w:vAlign w:val="top"/>
          </w:tcPr>
          <w:p w14:paraId="0B96BC71">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a、涉及国家公园、自然保护区、世界自然遗产、重要生境时，评价等级为一级</w:t>
            </w:r>
          </w:p>
        </w:tc>
        <w:tc>
          <w:tcPr>
            <w:tcW w:w="218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5DD85E1">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不涉及</w:t>
            </w:r>
          </w:p>
        </w:tc>
      </w:tr>
      <w:tr w14:paraId="107B3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12" w:type="dxa"/>
            <w:vMerge w:val="continue"/>
            <w:tcBorders>
              <w:top w:val="single" w:color="auto" w:sz="4" w:space="0"/>
              <w:left w:val="single" w:color="auto" w:sz="4" w:space="0"/>
              <w:bottom w:val="single" w:color="auto" w:sz="4" w:space="0"/>
              <w:right w:val="single" w:color="auto" w:sz="4" w:space="0"/>
              <w:tl2br w:val="nil"/>
              <w:tr2bl w:val="nil"/>
            </w:tcBorders>
            <w:noWrap w:val="0"/>
            <w:vAlign w:val="top"/>
          </w:tcPr>
          <w:p w14:paraId="4F017235">
            <w:pPr>
              <w:pStyle w:val="48"/>
              <w:spacing w:beforeLines="0" w:afterLines="0"/>
              <w:rPr>
                <w:rFonts w:hint="default" w:ascii="Times New Roman" w:hAnsi="Times New Roman" w:cs="Times New Roman"/>
                <w:color w:val="auto"/>
                <w:sz w:val="24"/>
                <w:szCs w:val="24"/>
                <w:highlight w:val="none"/>
              </w:rPr>
            </w:pPr>
          </w:p>
        </w:tc>
        <w:tc>
          <w:tcPr>
            <w:tcW w:w="5771" w:type="dxa"/>
            <w:tcBorders>
              <w:top w:val="single" w:color="auto" w:sz="4" w:space="0"/>
              <w:left w:val="single" w:color="auto" w:sz="4" w:space="0"/>
              <w:bottom w:val="single" w:color="auto" w:sz="4" w:space="0"/>
              <w:right w:val="single" w:color="auto" w:sz="4" w:space="0"/>
              <w:tl2br w:val="nil"/>
              <w:tr2bl w:val="nil"/>
            </w:tcBorders>
            <w:noWrap w:val="0"/>
            <w:vAlign w:val="top"/>
          </w:tcPr>
          <w:p w14:paraId="03430E38">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b、涉及自然公园时，评价等级为二级</w:t>
            </w:r>
          </w:p>
        </w:tc>
        <w:tc>
          <w:tcPr>
            <w:tcW w:w="218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F40F5C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不涉及</w:t>
            </w:r>
          </w:p>
        </w:tc>
      </w:tr>
      <w:tr w14:paraId="51A58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12" w:type="dxa"/>
            <w:vMerge w:val="continue"/>
            <w:tcBorders>
              <w:top w:val="single" w:color="auto" w:sz="4" w:space="0"/>
              <w:left w:val="single" w:color="auto" w:sz="4" w:space="0"/>
              <w:bottom w:val="single" w:color="auto" w:sz="4" w:space="0"/>
              <w:right w:val="single" w:color="auto" w:sz="4" w:space="0"/>
              <w:tl2br w:val="nil"/>
              <w:tr2bl w:val="nil"/>
            </w:tcBorders>
            <w:noWrap w:val="0"/>
            <w:vAlign w:val="top"/>
          </w:tcPr>
          <w:p w14:paraId="22323D49">
            <w:pPr>
              <w:pStyle w:val="48"/>
              <w:spacing w:beforeLines="0" w:afterLines="0"/>
              <w:rPr>
                <w:rFonts w:hint="default" w:ascii="Times New Roman" w:hAnsi="Times New Roman" w:cs="Times New Roman"/>
                <w:color w:val="auto"/>
                <w:sz w:val="24"/>
                <w:szCs w:val="24"/>
                <w:highlight w:val="none"/>
              </w:rPr>
            </w:pPr>
          </w:p>
        </w:tc>
        <w:tc>
          <w:tcPr>
            <w:tcW w:w="5771" w:type="dxa"/>
            <w:tcBorders>
              <w:top w:val="single" w:color="auto" w:sz="4" w:space="0"/>
              <w:left w:val="single" w:color="auto" w:sz="4" w:space="0"/>
              <w:bottom w:val="single" w:color="auto" w:sz="4" w:space="0"/>
              <w:right w:val="single" w:color="auto" w:sz="4" w:space="0"/>
              <w:tl2br w:val="nil"/>
              <w:tr2bl w:val="nil"/>
            </w:tcBorders>
            <w:noWrap w:val="0"/>
            <w:vAlign w:val="top"/>
          </w:tcPr>
          <w:p w14:paraId="238CF50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c、涉及生态保护红线时，评价等级不低于二级</w:t>
            </w:r>
          </w:p>
        </w:tc>
        <w:tc>
          <w:tcPr>
            <w:tcW w:w="218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B298BC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不涉及</w:t>
            </w:r>
          </w:p>
        </w:tc>
      </w:tr>
      <w:tr w14:paraId="0F1C4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7" w:hRule="atLeast"/>
        </w:trPr>
        <w:tc>
          <w:tcPr>
            <w:tcW w:w="1212" w:type="dxa"/>
            <w:vMerge w:val="continue"/>
            <w:tcBorders>
              <w:top w:val="single" w:color="auto" w:sz="4" w:space="0"/>
              <w:left w:val="single" w:color="auto" w:sz="4" w:space="0"/>
              <w:bottom w:val="single" w:color="auto" w:sz="4" w:space="0"/>
              <w:right w:val="single" w:color="auto" w:sz="4" w:space="0"/>
              <w:tl2br w:val="nil"/>
              <w:tr2bl w:val="nil"/>
            </w:tcBorders>
            <w:noWrap w:val="0"/>
            <w:vAlign w:val="top"/>
          </w:tcPr>
          <w:p w14:paraId="34E2ADF5">
            <w:pPr>
              <w:pStyle w:val="48"/>
              <w:spacing w:beforeLines="0" w:afterLines="0"/>
              <w:rPr>
                <w:rFonts w:hint="default" w:ascii="Times New Roman" w:hAnsi="Times New Roman" w:cs="Times New Roman"/>
                <w:color w:val="auto"/>
                <w:sz w:val="24"/>
                <w:szCs w:val="24"/>
                <w:highlight w:val="none"/>
              </w:rPr>
            </w:pPr>
          </w:p>
        </w:tc>
        <w:tc>
          <w:tcPr>
            <w:tcW w:w="5771" w:type="dxa"/>
            <w:tcBorders>
              <w:top w:val="single" w:color="auto" w:sz="4" w:space="0"/>
              <w:left w:val="single" w:color="auto" w:sz="4" w:space="0"/>
              <w:bottom w:val="single" w:color="auto" w:sz="4" w:space="0"/>
              <w:right w:val="single" w:color="auto" w:sz="4" w:space="0"/>
              <w:tl2br w:val="nil"/>
              <w:tr2bl w:val="nil"/>
            </w:tcBorders>
            <w:noWrap w:val="0"/>
            <w:vAlign w:val="top"/>
          </w:tcPr>
          <w:p w14:paraId="6615F09D">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d、根据HJ2.3判断属于水文要素影响型且地表水评价等级不低于二级的建设项目，生态影响评价等级不低于二级</w:t>
            </w:r>
          </w:p>
        </w:tc>
        <w:tc>
          <w:tcPr>
            <w:tcW w:w="218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C296566">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本项目不属于水文要素影响型项目，地表水评价等级为三级B</w:t>
            </w:r>
          </w:p>
        </w:tc>
      </w:tr>
      <w:tr w14:paraId="48A88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1212" w:type="dxa"/>
            <w:vMerge w:val="continue"/>
            <w:tcBorders>
              <w:top w:val="single" w:color="auto" w:sz="4" w:space="0"/>
              <w:left w:val="single" w:color="auto" w:sz="4" w:space="0"/>
              <w:bottom w:val="single" w:color="auto" w:sz="4" w:space="0"/>
              <w:right w:val="single" w:color="auto" w:sz="4" w:space="0"/>
              <w:tl2br w:val="nil"/>
              <w:tr2bl w:val="nil"/>
            </w:tcBorders>
            <w:noWrap w:val="0"/>
            <w:vAlign w:val="top"/>
          </w:tcPr>
          <w:p w14:paraId="3124C4CC">
            <w:pPr>
              <w:pStyle w:val="48"/>
              <w:spacing w:beforeLines="0" w:afterLines="0"/>
              <w:rPr>
                <w:rFonts w:hint="default" w:ascii="Times New Roman" w:hAnsi="Times New Roman" w:cs="Times New Roman"/>
                <w:color w:val="auto"/>
                <w:sz w:val="24"/>
                <w:szCs w:val="24"/>
                <w:highlight w:val="none"/>
              </w:rPr>
            </w:pPr>
          </w:p>
        </w:tc>
        <w:tc>
          <w:tcPr>
            <w:tcW w:w="5771" w:type="dxa"/>
            <w:tcBorders>
              <w:top w:val="single" w:color="auto" w:sz="4" w:space="0"/>
              <w:left w:val="single" w:color="auto" w:sz="4" w:space="0"/>
              <w:bottom w:val="single" w:color="auto" w:sz="4" w:space="0"/>
              <w:right w:val="single" w:color="auto" w:sz="4" w:space="0"/>
              <w:tl2br w:val="nil"/>
              <w:tr2bl w:val="nil"/>
            </w:tcBorders>
            <w:noWrap w:val="0"/>
            <w:vAlign w:val="top"/>
          </w:tcPr>
          <w:p w14:paraId="6E4B2557">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e、根据HJ610、HJ964判断地下水水位或土壤影响范围内分布有天然林、公益林、湿地等生态保护目标的建设项目，生态影响评价等级不低于二级</w:t>
            </w:r>
          </w:p>
        </w:tc>
        <w:tc>
          <w:tcPr>
            <w:tcW w:w="218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1880E81">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不涉及</w:t>
            </w:r>
          </w:p>
        </w:tc>
      </w:tr>
      <w:tr w14:paraId="3472B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12" w:type="dxa"/>
            <w:vMerge w:val="continue"/>
            <w:tcBorders>
              <w:top w:val="single" w:color="auto" w:sz="4" w:space="0"/>
              <w:left w:val="single" w:color="auto" w:sz="4" w:space="0"/>
              <w:bottom w:val="single" w:color="auto" w:sz="4" w:space="0"/>
              <w:right w:val="single" w:color="auto" w:sz="4" w:space="0"/>
              <w:tl2br w:val="nil"/>
              <w:tr2bl w:val="nil"/>
            </w:tcBorders>
            <w:noWrap w:val="0"/>
            <w:vAlign w:val="top"/>
          </w:tcPr>
          <w:p w14:paraId="73CDDD1C">
            <w:pPr>
              <w:pStyle w:val="48"/>
              <w:spacing w:beforeLines="0" w:afterLines="0"/>
              <w:rPr>
                <w:rFonts w:hint="default" w:ascii="Times New Roman" w:hAnsi="Times New Roman" w:cs="Times New Roman"/>
                <w:color w:val="auto"/>
                <w:sz w:val="24"/>
                <w:szCs w:val="24"/>
                <w:highlight w:val="none"/>
              </w:rPr>
            </w:pPr>
          </w:p>
        </w:tc>
        <w:tc>
          <w:tcPr>
            <w:tcW w:w="5771" w:type="dxa"/>
            <w:tcBorders>
              <w:top w:val="single" w:color="auto" w:sz="4" w:space="0"/>
              <w:left w:val="single" w:color="auto" w:sz="4" w:space="0"/>
              <w:bottom w:val="single" w:color="auto" w:sz="4" w:space="0"/>
              <w:right w:val="single" w:color="auto" w:sz="4" w:space="0"/>
              <w:tl2br w:val="nil"/>
              <w:tr2bl w:val="nil"/>
            </w:tcBorders>
            <w:noWrap w:val="0"/>
            <w:vAlign w:val="top"/>
          </w:tcPr>
          <w:p w14:paraId="382B400B">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f、当工程占地规模大于20km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时（包括永久和临时占用陆域和水域），评价等级不低于二级；改扩建项目的占地范围以新增占地（包括陆域和水域）确定</w:t>
            </w:r>
          </w:p>
        </w:tc>
        <w:tc>
          <w:tcPr>
            <w:tcW w:w="218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EE6A54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本项目占地面积为</w:t>
            </w:r>
          </w:p>
          <w:p w14:paraId="4F022A6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1.0366km</w:t>
            </w:r>
            <w:r>
              <w:rPr>
                <w:rFonts w:hint="default" w:ascii="Times New Roman" w:hAnsi="Times New Roman" w:cs="Times New Roman"/>
                <w:color w:val="auto"/>
                <w:sz w:val="24"/>
                <w:szCs w:val="24"/>
                <w:highlight w:val="none"/>
                <w:vertAlign w:val="superscript"/>
                <w:lang w:eastAsia="zh-CN"/>
              </w:rPr>
              <w:t>2</w:t>
            </w:r>
            <w:r>
              <w:rPr>
                <w:rFonts w:hint="default" w:ascii="Times New Roman" w:hAnsi="Times New Roman" w:cs="Times New Roman"/>
                <w:color w:val="auto"/>
                <w:sz w:val="24"/>
                <w:szCs w:val="24"/>
                <w:highlight w:val="none"/>
              </w:rPr>
              <w:t>，小于20km</w:t>
            </w:r>
            <w:r>
              <w:rPr>
                <w:rFonts w:hint="default" w:ascii="Times New Roman" w:hAnsi="Times New Roman" w:cs="Times New Roman"/>
                <w:color w:val="auto"/>
                <w:sz w:val="24"/>
                <w:szCs w:val="24"/>
                <w:highlight w:val="none"/>
                <w:vertAlign w:val="superscript"/>
              </w:rPr>
              <w:t>2</w:t>
            </w:r>
          </w:p>
        </w:tc>
      </w:tr>
      <w:tr w14:paraId="1EAF5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212" w:type="dxa"/>
            <w:vMerge w:val="continue"/>
            <w:tcBorders>
              <w:top w:val="single" w:color="auto" w:sz="4" w:space="0"/>
              <w:left w:val="single" w:color="auto" w:sz="4" w:space="0"/>
              <w:bottom w:val="single" w:color="auto" w:sz="4" w:space="0"/>
              <w:right w:val="single" w:color="auto" w:sz="4" w:space="0"/>
              <w:tl2br w:val="nil"/>
              <w:tr2bl w:val="nil"/>
            </w:tcBorders>
            <w:noWrap w:val="0"/>
            <w:vAlign w:val="top"/>
          </w:tcPr>
          <w:p w14:paraId="2690C34E">
            <w:pPr>
              <w:pStyle w:val="48"/>
              <w:spacing w:beforeLines="0" w:afterLines="0"/>
              <w:rPr>
                <w:rFonts w:hint="default" w:ascii="Times New Roman" w:hAnsi="Times New Roman" w:cs="Times New Roman"/>
                <w:color w:val="auto"/>
                <w:sz w:val="24"/>
                <w:szCs w:val="24"/>
                <w:highlight w:val="none"/>
              </w:rPr>
            </w:pPr>
          </w:p>
        </w:tc>
        <w:tc>
          <w:tcPr>
            <w:tcW w:w="5771" w:type="dxa"/>
            <w:tcBorders>
              <w:top w:val="single" w:color="auto" w:sz="4" w:space="0"/>
              <w:left w:val="single" w:color="auto" w:sz="4" w:space="0"/>
              <w:bottom w:val="single" w:color="auto" w:sz="4" w:space="0"/>
              <w:right w:val="single" w:color="auto" w:sz="4" w:space="0"/>
              <w:tl2br w:val="nil"/>
              <w:tr2bl w:val="nil"/>
            </w:tcBorders>
            <w:noWrap w:val="0"/>
            <w:vAlign w:val="top"/>
          </w:tcPr>
          <w:p w14:paraId="2C5427D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g、除本条a、b、c、d、e、f以外的情况，评价等级为三级</w:t>
            </w:r>
          </w:p>
        </w:tc>
        <w:tc>
          <w:tcPr>
            <w:tcW w:w="218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C3D1406">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属于</w:t>
            </w:r>
          </w:p>
        </w:tc>
      </w:tr>
      <w:tr w14:paraId="02B63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12" w:type="dxa"/>
            <w:vMerge w:val="continue"/>
            <w:tcBorders>
              <w:top w:val="single" w:color="auto" w:sz="4" w:space="0"/>
              <w:left w:val="single" w:color="auto" w:sz="4" w:space="0"/>
              <w:bottom w:val="single" w:color="auto" w:sz="4" w:space="0"/>
              <w:right w:val="single" w:color="auto" w:sz="4" w:space="0"/>
              <w:tl2br w:val="nil"/>
              <w:tr2bl w:val="nil"/>
            </w:tcBorders>
            <w:noWrap w:val="0"/>
            <w:vAlign w:val="top"/>
          </w:tcPr>
          <w:p w14:paraId="32F960D6">
            <w:pPr>
              <w:pStyle w:val="48"/>
              <w:spacing w:beforeLines="0" w:afterLines="0"/>
              <w:rPr>
                <w:rFonts w:hint="default" w:ascii="Times New Roman" w:hAnsi="Times New Roman" w:cs="Times New Roman"/>
                <w:color w:val="auto"/>
                <w:sz w:val="24"/>
                <w:szCs w:val="24"/>
                <w:highlight w:val="none"/>
              </w:rPr>
            </w:pPr>
          </w:p>
        </w:tc>
        <w:tc>
          <w:tcPr>
            <w:tcW w:w="5771" w:type="dxa"/>
            <w:tcBorders>
              <w:top w:val="single" w:color="auto" w:sz="4" w:space="0"/>
              <w:left w:val="single" w:color="auto" w:sz="4" w:space="0"/>
              <w:bottom w:val="single" w:color="auto" w:sz="4" w:space="0"/>
              <w:right w:val="single" w:color="auto" w:sz="4" w:space="0"/>
              <w:tl2br w:val="nil"/>
              <w:tr2bl w:val="nil"/>
            </w:tcBorders>
            <w:noWrap w:val="0"/>
            <w:vAlign w:val="top"/>
          </w:tcPr>
          <w:p w14:paraId="4D3B0D7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h、当评价等级判定同时符合上述多种情况时，应采用其中最高的评价等级</w:t>
            </w:r>
          </w:p>
        </w:tc>
        <w:tc>
          <w:tcPr>
            <w:tcW w:w="218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159CF0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p>
        </w:tc>
      </w:tr>
    </w:tbl>
    <w:p w14:paraId="6E51167F">
      <w:pPr>
        <w:pStyle w:val="14"/>
        <w:kinsoku w:val="0"/>
        <w:overflowPunct w:val="0"/>
        <w:spacing w:before="26" w:beforeLines="0" w:afterLines="0" w:line="367" w:lineRule="auto"/>
        <w:ind w:left="233" w:right="131"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pacing w:val="2"/>
          <w:sz w:val="24"/>
          <w:szCs w:val="24"/>
          <w:highlight w:val="none"/>
        </w:rPr>
        <w:t>根据《环境影响评价技术导则</w:t>
      </w:r>
      <w:r>
        <w:rPr>
          <w:rFonts w:hint="default" w:ascii="Times New Roman" w:hAnsi="Times New Roman" w:cs="Times New Roman"/>
          <w:color w:val="auto"/>
          <w:spacing w:val="24"/>
          <w:sz w:val="24"/>
          <w:szCs w:val="24"/>
          <w:highlight w:val="none"/>
        </w:rPr>
        <w:t xml:space="preserve"> </w:t>
      </w:r>
      <w:r>
        <w:rPr>
          <w:rFonts w:hint="default" w:ascii="Times New Roman" w:hAnsi="Times New Roman" w:cs="Times New Roman"/>
          <w:color w:val="auto"/>
          <w:sz w:val="24"/>
          <w:szCs w:val="24"/>
          <w:highlight w:val="none"/>
        </w:rPr>
        <w:t>生态环境》（</w:t>
      </w:r>
      <w:r>
        <w:rPr>
          <w:rFonts w:hint="default" w:ascii="Times New Roman" w:hAnsi="Times New Roman" w:eastAsia="Times New Roman" w:cs="Times New Roman"/>
          <w:color w:val="auto"/>
          <w:sz w:val="24"/>
          <w:szCs w:val="24"/>
          <w:highlight w:val="none"/>
        </w:rPr>
        <w:t>HJ19-2022</w:t>
      </w:r>
      <w:r>
        <w:rPr>
          <w:rFonts w:hint="default" w:ascii="Times New Roman" w:hAnsi="Times New Roman" w:cs="Times New Roman"/>
          <w:color w:val="auto"/>
          <w:sz w:val="24"/>
          <w:szCs w:val="24"/>
          <w:highlight w:val="none"/>
        </w:rPr>
        <w:t>）</w:t>
      </w:r>
      <w:r>
        <w:rPr>
          <w:rFonts w:hint="default" w:ascii="Times New Roman" w:hAnsi="Times New Roman" w:eastAsia="Times New Roman" w:cs="Times New Roman"/>
          <w:color w:val="auto"/>
          <w:sz w:val="24"/>
          <w:szCs w:val="24"/>
          <w:highlight w:val="none"/>
        </w:rPr>
        <w:t>6.1.5</w:t>
      </w:r>
      <w:r>
        <w:rPr>
          <w:rFonts w:hint="default" w:ascii="Times New Roman" w:hAnsi="Times New Roman" w:cs="Times New Roman"/>
          <w:color w:val="auto"/>
          <w:sz w:val="24"/>
          <w:szCs w:val="24"/>
          <w:highlight w:val="none"/>
        </w:rPr>
        <w:t>，“在矿山开采可</w:t>
      </w:r>
      <w:r>
        <w:rPr>
          <w:rFonts w:hint="default" w:ascii="Times New Roman" w:hAnsi="Times New Roman" w:cs="Times New Roman"/>
          <w:color w:val="auto"/>
          <w:spacing w:val="-2"/>
          <w:sz w:val="24"/>
          <w:szCs w:val="24"/>
          <w:highlight w:val="none"/>
        </w:rPr>
        <w:t>能导致矿区土地利用类型明显改变，或拦河闸坝建设可能明显改变水文情势等情况下，</w:t>
      </w:r>
      <w:r>
        <w:rPr>
          <w:rFonts w:hint="default" w:ascii="Times New Roman" w:hAnsi="Times New Roman" w:cs="Times New Roman"/>
          <w:color w:val="auto"/>
          <w:sz w:val="24"/>
          <w:szCs w:val="24"/>
          <w:highlight w:val="none"/>
        </w:rPr>
        <w:t>评价等级应上调一级，</w:t>
      </w:r>
      <w:r>
        <w:rPr>
          <w:rFonts w:hint="default" w:ascii="Times New Roman" w:hAnsi="Times New Roman" w:cs="Times New Roman"/>
          <w:color w:val="auto"/>
          <w:sz w:val="21"/>
          <w:szCs w:val="24"/>
          <w:highlight w:val="none"/>
        </w:rPr>
        <w:t>”</w:t>
      </w:r>
      <w:r>
        <w:rPr>
          <w:rFonts w:hint="default" w:ascii="Times New Roman" w:hAnsi="Times New Roman" w:cs="Times New Roman"/>
          <w:color w:val="auto"/>
          <w:sz w:val="24"/>
          <w:szCs w:val="24"/>
          <w:highlight w:val="none"/>
        </w:rPr>
        <w:t>故确定本项目生态环境影响评价等级为二级。</w:t>
      </w:r>
    </w:p>
    <w:p w14:paraId="64079F29">
      <w:pPr>
        <w:pStyle w:val="5"/>
        <w:bidi w:val="0"/>
        <w:rPr>
          <w:rFonts w:hint="default"/>
        </w:rPr>
      </w:pPr>
      <w:bookmarkStart w:id="95" w:name="2.5.1.6环境风险评价等级"/>
      <w:bookmarkEnd w:id="95"/>
      <w:r>
        <w:rPr>
          <w:rFonts w:hint="default"/>
        </w:rPr>
        <w:t>环境风险评价等级</w:t>
      </w:r>
    </w:p>
    <w:p w14:paraId="6F3D4C0B">
      <w:pPr>
        <w:spacing w:beforeLines="0" w:afterLines="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rPr>
        <w:t>根据《建设项目环境风险评价技术导则》（HJ169-2018）中评价工作等级的判定依据，环境风险评价工作是依据建设项目涉及的物质及工艺系统危险性和所在地的环境敏感性确定环境风险潜势进行分级，环境影响评价工作等级划分为一级、二级、三级，具体分级判据见</w:t>
      </w:r>
      <w:r>
        <w:rPr>
          <w:rFonts w:hint="default" w:ascii="Times New Roman" w:hAnsi="Times New Roman" w:cs="Times New Roman"/>
          <w:color w:val="auto"/>
          <w:sz w:val="24"/>
          <w:szCs w:val="24"/>
          <w:highlight w:val="none"/>
          <w:lang w:val="en-US" w:eastAsia="zh-CN"/>
        </w:rPr>
        <w:t>下</w:t>
      </w:r>
      <w:r>
        <w:rPr>
          <w:rFonts w:hint="default" w:ascii="Times New Roman" w:hAnsi="Times New Roman" w:cs="Times New Roman"/>
          <w:color w:val="auto"/>
          <w:sz w:val="24"/>
          <w:szCs w:val="24"/>
          <w:highlight w:val="none"/>
        </w:rPr>
        <w:t>表</w:t>
      </w:r>
      <w:r>
        <w:rPr>
          <w:rFonts w:hint="default" w:ascii="Times New Roman" w:hAnsi="Times New Roman" w:cs="Times New Roman"/>
          <w:color w:val="auto"/>
          <w:sz w:val="24"/>
          <w:szCs w:val="24"/>
          <w:highlight w:val="none"/>
          <w:lang w:eastAsia="zh-CN"/>
        </w:rPr>
        <w:t>。</w:t>
      </w:r>
    </w:p>
    <w:p w14:paraId="1F1C149A">
      <w:pPr>
        <w:pStyle w:val="45"/>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表2.5-1</w:t>
      </w:r>
      <w:r>
        <w:rPr>
          <w:rFonts w:hint="default" w:ascii="Times New Roman" w:hAnsi="Times New Roman" w:cs="Times New Roman"/>
          <w:color w:val="auto"/>
          <w:sz w:val="24"/>
          <w:szCs w:val="24"/>
          <w:highlight w:val="none"/>
          <w:lang w:val="en-US" w:eastAsia="zh-CN"/>
        </w:rPr>
        <w:t xml:space="preserve">2   </w:t>
      </w:r>
      <w:r>
        <w:rPr>
          <w:rFonts w:hint="default" w:ascii="Times New Roman" w:hAnsi="Times New Roman" w:cs="Times New Roman"/>
          <w:color w:val="auto"/>
          <w:sz w:val="24"/>
          <w:szCs w:val="24"/>
          <w:highlight w:val="none"/>
        </w:rPr>
        <w:t>项目环境影响评价等级判据一览表</w:t>
      </w:r>
    </w:p>
    <w:tbl>
      <w:tblPr>
        <w:tblStyle w:val="31"/>
        <w:tblW w:w="0" w:type="auto"/>
        <w:tblInd w:w="3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81"/>
        <w:gridCol w:w="1643"/>
        <w:gridCol w:w="1643"/>
        <w:gridCol w:w="1643"/>
        <w:gridCol w:w="1644"/>
      </w:tblGrid>
      <w:tr w14:paraId="08CAC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trPr>
        <w:tc>
          <w:tcPr>
            <w:tcW w:w="2381" w:type="dxa"/>
            <w:tcBorders>
              <w:top w:val="single" w:color="auto" w:sz="4" w:space="0"/>
              <w:left w:val="single" w:color="auto" w:sz="4" w:space="0"/>
              <w:bottom w:val="single" w:color="auto" w:sz="4" w:space="0"/>
              <w:right w:val="single" w:color="auto" w:sz="4" w:space="0"/>
              <w:tl2br w:val="nil"/>
              <w:tr2bl w:val="nil"/>
            </w:tcBorders>
            <w:noWrap w:val="0"/>
            <w:vAlign w:val="top"/>
          </w:tcPr>
          <w:p w14:paraId="7B7C364A">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环境风险潜势</w:t>
            </w:r>
          </w:p>
        </w:tc>
        <w:tc>
          <w:tcPr>
            <w:tcW w:w="1643" w:type="dxa"/>
            <w:tcBorders>
              <w:top w:val="single" w:color="auto" w:sz="4" w:space="0"/>
              <w:left w:val="single" w:color="auto" w:sz="4" w:space="0"/>
              <w:bottom w:val="single" w:color="auto" w:sz="4" w:space="0"/>
              <w:right w:val="single" w:color="auto" w:sz="4" w:space="0"/>
              <w:tl2br w:val="nil"/>
              <w:tr2bl w:val="nil"/>
            </w:tcBorders>
            <w:noWrap w:val="0"/>
            <w:vAlign w:val="top"/>
          </w:tcPr>
          <w:p w14:paraId="55794427">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IV、IV+</w:t>
            </w:r>
          </w:p>
        </w:tc>
        <w:tc>
          <w:tcPr>
            <w:tcW w:w="1643" w:type="dxa"/>
            <w:tcBorders>
              <w:top w:val="single" w:color="auto" w:sz="4" w:space="0"/>
              <w:left w:val="single" w:color="auto" w:sz="4" w:space="0"/>
              <w:bottom w:val="single" w:color="auto" w:sz="4" w:space="0"/>
              <w:right w:val="single" w:color="auto" w:sz="4" w:space="0"/>
              <w:tl2br w:val="nil"/>
              <w:tr2bl w:val="nil"/>
            </w:tcBorders>
            <w:noWrap w:val="0"/>
            <w:vAlign w:val="top"/>
          </w:tcPr>
          <w:p w14:paraId="6E783151">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III</w:t>
            </w:r>
          </w:p>
        </w:tc>
        <w:tc>
          <w:tcPr>
            <w:tcW w:w="1643" w:type="dxa"/>
            <w:tcBorders>
              <w:top w:val="single" w:color="auto" w:sz="4" w:space="0"/>
              <w:left w:val="single" w:color="auto" w:sz="4" w:space="0"/>
              <w:bottom w:val="single" w:color="auto" w:sz="4" w:space="0"/>
              <w:right w:val="single" w:color="auto" w:sz="4" w:space="0"/>
              <w:tl2br w:val="nil"/>
              <w:tr2bl w:val="nil"/>
            </w:tcBorders>
            <w:noWrap w:val="0"/>
            <w:vAlign w:val="top"/>
          </w:tcPr>
          <w:p w14:paraId="27C4DDFC">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II</w:t>
            </w:r>
          </w:p>
        </w:tc>
        <w:tc>
          <w:tcPr>
            <w:tcW w:w="1644" w:type="dxa"/>
            <w:tcBorders>
              <w:top w:val="single" w:color="auto" w:sz="4" w:space="0"/>
              <w:left w:val="single" w:color="auto" w:sz="4" w:space="0"/>
              <w:bottom w:val="single" w:color="auto" w:sz="4" w:space="0"/>
              <w:right w:val="single" w:color="auto" w:sz="4" w:space="0"/>
              <w:tl2br w:val="nil"/>
              <w:tr2bl w:val="nil"/>
            </w:tcBorders>
            <w:noWrap w:val="0"/>
            <w:vAlign w:val="top"/>
          </w:tcPr>
          <w:p w14:paraId="49C8D811">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I</w:t>
            </w:r>
          </w:p>
        </w:tc>
      </w:tr>
      <w:tr w14:paraId="743ED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trPr>
        <w:tc>
          <w:tcPr>
            <w:tcW w:w="2381" w:type="dxa"/>
            <w:tcBorders>
              <w:top w:val="single" w:color="auto" w:sz="4" w:space="0"/>
              <w:left w:val="single" w:color="auto" w:sz="4" w:space="0"/>
              <w:bottom w:val="single" w:color="auto" w:sz="4" w:space="0"/>
              <w:right w:val="single" w:color="auto" w:sz="4" w:space="0"/>
              <w:tl2br w:val="nil"/>
              <w:tr2bl w:val="nil"/>
            </w:tcBorders>
            <w:noWrap w:val="0"/>
            <w:vAlign w:val="top"/>
          </w:tcPr>
          <w:p w14:paraId="607C86AE">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环境风险评价等级</w:t>
            </w:r>
          </w:p>
        </w:tc>
        <w:tc>
          <w:tcPr>
            <w:tcW w:w="1643" w:type="dxa"/>
            <w:tcBorders>
              <w:top w:val="single" w:color="auto" w:sz="4" w:space="0"/>
              <w:left w:val="single" w:color="auto" w:sz="4" w:space="0"/>
              <w:bottom w:val="single" w:color="auto" w:sz="4" w:space="0"/>
              <w:right w:val="single" w:color="auto" w:sz="4" w:space="0"/>
              <w:tl2br w:val="nil"/>
              <w:tr2bl w:val="nil"/>
            </w:tcBorders>
            <w:noWrap w:val="0"/>
            <w:vAlign w:val="top"/>
          </w:tcPr>
          <w:p w14:paraId="3221ECB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一</w:t>
            </w:r>
          </w:p>
        </w:tc>
        <w:tc>
          <w:tcPr>
            <w:tcW w:w="1643" w:type="dxa"/>
            <w:tcBorders>
              <w:top w:val="single" w:color="auto" w:sz="4" w:space="0"/>
              <w:left w:val="single" w:color="auto" w:sz="4" w:space="0"/>
              <w:bottom w:val="single" w:color="auto" w:sz="4" w:space="0"/>
              <w:right w:val="single" w:color="auto" w:sz="4" w:space="0"/>
              <w:tl2br w:val="nil"/>
              <w:tr2bl w:val="nil"/>
            </w:tcBorders>
            <w:noWrap w:val="0"/>
            <w:vAlign w:val="top"/>
          </w:tcPr>
          <w:p w14:paraId="2BB9E7C4">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二</w:t>
            </w:r>
          </w:p>
        </w:tc>
        <w:tc>
          <w:tcPr>
            <w:tcW w:w="1643" w:type="dxa"/>
            <w:tcBorders>
              <w:top w:val="single" w:color="auto" w:sz="4" w:space="0"/>
              <w:left w:val="single" w:color="auto" w:sz="4" w:space="0"/>
              <w:bottom w:val="single" w:color="auto" w:sz="4" w:space="0"/>
              <w:right w:val="single" w:color="auto" w:sz="4" w:space="0"/>
              <w:tl2br w:val="nil"/>
              <w:tr2bl w:val="nil"/>
            </w:tcBorders>
            <w:noWrap w:val="0"/>
            <w:vAlign w:val="top"/>
          </w:tcPr>
          <w:p w14:paraId="7F9533E5">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三</w:t>
            </w:r>
          </w:p>
        </w:tc>
        <w:tc>
          <w:tcPr>
            <w:tcW w:w="1644" w:type="dxa"/>
            <w:tcBorders>
              <w:top w:val="single" w:color="auto" w:sz="4" w:space="0"/>
              <w:left w:val="single" w:color="auto" w:sz="4" w:space="0"/>
              <w:bottom w:val="single" w:color="auto" w:sz="4" w:space="0"/>
              <w:right w:val="single" w:color="auto" w:sz="4" w:space="0"/>
              <w:tl2br w:val="nil"/>
              <w:tr2bl w:val="nil"/>
            </w:tcBorders>
            <w:noWrap w:val="0"/>
            <w:vAlign w:val="top"/>
          </w:tcPr>
          <w:p w14:paraId="56204F0B">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简单分析</w:t>
            </w:r>
          </w:p>
        </w:tc>
      </w:tr>
    </w:tbl>
    <w:p w14:paraId="49BE3A1C">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根据建设项目涉及的物质和工艺系统的危险性及其所在地的环境敏感程度，结合事故情形下环境影响途径，对建设项目潜在环境危害程度进行概化分析，环境风险潜势确定见表2.5-1</w:t>
      </w:r>
      <w:r>
        <w:rPr>
          <w:rFonts w:hint="default"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rPr>
        <w:t>。建设项目环境风险潜势综合等级取各要素等级的相对高值。</w:t>
      </w:r>
    </w:p>
    <w:p w14:paraId="36751D30">
      <w:pPr>
        <w:pStyle w:val="45"/>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表2.5-1</w:t>
      </w:r>
      <w:r>
        <w:rPr>
          <w:rFonts w:hint="default"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rPr>
        <w:tab/>
      </w:r>
      <w:r>
        <w:rPr>
          <w:rFonts w:hint="default" w:ascii="Times New Roman" w:hAnsi="Times New Roman" w:cs="Times New Roman"/>
          <w:color w:val="auto"/>
          <w:sz w:val="24"/>
          <w:szCs w:val="24"/>
          <w:highlight w:val="none"/>
        </w:rPr>
        <w:t>建设项目环境风险潜势划分</w:t>
      </w:r>
    </w:p>
    <w:tbl>
      <w:tblPr>
        <w:tblStyle w:val="31"/>
        <w:tblW w:w="0" w:type="auto"/>
        <w:tblInd w:w="3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9"/>
        <w:gridCol w:w="1544"/>
        <w:gridCol w:w="1668"/>
        <w:gridCol w:w="1703"/>
        <w:gridCol w:w="1712"/>
      </w:tblGrid>
      <w:tr w14:paraId="0710B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trPr>
        <w:tc>
          <w:tcPr>
            <w:tcW w:w="2329"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2773073D">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环境敏感程度(E)</w:t>
            </w:r>
          </w:p>
        </w:tc>
        <w:tc>
          <w:tcPr>
            <w:tcW w:w="6627" w:type="dxa"/>
            <w:gridSpan w:val="4"/>
            <w:tcBorders>
              <w:top w:val="single" w:color="auto" w:sz="4" w:space="0"/>
              <w:left w:val="single" w:color="auto" w:sz="4" w:space="0"/>
              <w:bottom w:val="single" w:color="auto" w:sz="4" w:space="0"/>
              <w:right w:val="single" w:color="auto" w:sz="4" w:space="0"/>
              <w:tl2br w:val="nil"/>
              <w:tr2bl w:val="nil"/>
            </w:tcBorders>
            <w:noWrap w:val="0"/>
            <w:vAlign w:val="center"/>
          </w:tcPr>
          <w:p w14:paraId="052758F5">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危险物质及工艺系统危险性(P)</w:t>
            </w:r>
          </w:p>
        </w:tc>
      </w:tr>
      <w:tr w14:paraId="48731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exact"/>
        </w:trPr>
        <w:tc>
          <w:tcPr>
            <w:tcW w:w="2329"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3224C366">
            <w:pPr>
              <w:pStyle w:val="48"/>
              <w:spacing w:beforeLines="0" w:afterLines="0"/>
              <w:rPr>
                <w:rFonts w:hint="default" w:ascii="Times New Roman" w:hAnsi="Times New Roman" w:cs="Times New Roman"/>
                <w:color w:val="auto"/>
                <w:sz w:val="24"/>
                <w:szCs w:val="24"/>
                <w:highlight w:val="none"/>
              </w:rPr>
            </w:pPr>
          </w:p>
        </w:tc>
        <w:tc>
          <w:tcPr>
            <w:tcW w:w="154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600C1D1">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极高危害(P1)</w:t>
            </w:r>
          </w:p>
        </w:tc>
        <w:tc>
          <w:tcPr>
            <w:tcW w:w="166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FE681C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高度危害(P2)</w:t>
            </w:r>
          </w:p>
        </w:tc>
        <w:tc>
          <w:tcPr>
            <w:tcW w:w="170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68CDEF1">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中度危害(P3)</w:t>
            </w:r>
          </w:p>
        </w:tc>
        <w:tc>
          <w:tcPr>
            <w:tcW w:w="171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1EF3667">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轻度危害(P4)</w:t>
            </w:r>
          </w:p>
        </w:tc>
      </w:tr>
      <w:tr w14:paraId="0A014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exact"/>
        </w:trPr>
        <w:tc>
          <w:tcPr>
            <w:tcW w:w="232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186E4E3">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环境高度敏感区(E1)</w:t>
            </w:r>
          </w:p>
        </w:tc>
        <w:tc>
          <w:tcPr>
            <w:tcW w:w="154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757EC9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Ⅳ+</w:t>
            </w:r>
          </w:p>
        </w:tc>
        <w:tc>
          <w:tcPr>
            <w:tcW w:w="166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C57EE68">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Ⅳ</w:t>
            </w:r>
          </w:p>
        </w:tc>
        <w:tc>
          <w:tcPr>
            <w:tcW w:w="170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CB29FFA">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Ⅲ</w:t>
            </w:r>
          </w:p>
        </w:tc>
        <w:tc>
          <w:tcPr>
            <w:tcW w:w="171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2857DB3">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Ⅲ</w:t>
            </w:r>
          </w:p>
        </w:tc>
      </w:tr>
      <w:tr w14:paraId="0AE34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exact"/>
        </w:trPr>
        <w:tc>
          <w:tcPr>
            <w:tcW w:w="232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8325E66">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环境中度敏感区(E2)</w:t>
            </w:r>
          </w:p>
        </w:tc>
        <w:tc>
          <w:tcPr>
            <w:tcW w:w="154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C0818A6">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Ⅳ</w:t>
            </w:r>
          </w:p>
        </w:tc>
        <w:tc>
          <w:tcPr>
            <w:tcW w:w="166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5A369D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Ⅲ</w:t>
            </w:r>
          </w:p>
        </w:tc>
        <w:tc>
          <w:tcPr>
            <w:tcW w:w="170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DF2C00B">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Ⅲ</w:t>
            </w:r>
          </w:p>
        </w:tc>
        <w:tc>
          <w:tcPr>
            <w:tcW w:w="171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49630F3">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Ⅱ</w:t>
            </w:r>
          </w:p>
        </w:tc>
      </w:tr>
      <w:tr w14:paraId="431D4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exact"/>
        </w:trPr>
        <w:tc>
          <w:tcPr>
            <w:tcW w:w="232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A3600D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环境低度敏感区(E3)</w:t>
            </w:r>
          </w:p>
        </w:tc>
        <w:tc>
          <w:tcPr>
            <w:tcW w:w="154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DB0B63C">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Ⅲ</w:t>
            </w:r>
          </w:p>
        </w:tc>
        <w:tc>
          <w:tcPr>
            <w:tcW w:w="166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F2729F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Ⅲ</w:t>
            </w:r>
          </w:p>
        </w:tc>
        <w:tc>
          <w:tcPr>
            <w:tcW w:w="170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51DC4F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Ⅱ</w:t>
            </w:r>
          </w:p>
        </w:tc>
        <w:tc>
          <w:tcPr>
            <w:tcW w:w="171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7E998B6">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Ⅰ</w:t>
            </w:r>
          </w:p>
        </w:tc>
      </w:tr>
    </w:tbl>
    <w:p w14:paraId="2886BF7E">
      <w:pPr>
        <w:spacing w:beforeLines="0" w:afterLines="0"/>
        <w:rPr>
          <w:rFonts w:hint="default" w:ascii="Times New Roman" w:hAnsi="Times New Roman" w:cs="Times New Roman"/>
          <w:b/>
          <w:color w:val="auto"/>
          <w:sz w:val="18"/>
          <w:szCs w:val="24"/>
          <w:highlight w:val="none"/>
        </w:rPr>
      </w:pPr>
      <w:r>
        <w:rPr>
          <w:rFonts w:hint="default" w:ascii="Times New Roman" w:hAnsi="Times New Roman" w:cs="Times New Roman"/>
          <w:b/>
          <w:color w:val="auto"/>
          <w:sz w:val="18"/>
          <w:szCs w:val="24"/>
          <w:highlight w:val="none"/>
        </w:rPr>
        <w:t>注：Ⅳ+为极高环境风险。</w:t>
      </w:r>
    </w:p>
    <w:p w14:paraId="3166A893">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本项目为非金属矿开采项目，工艺流程不涉及炸药爆破，对照《建设项目环境风险评价技术导则》（HJ169-2018）附录B，</w:t>
      </w:r>
      <w:r>
        <w:rPr>
          <w:rFonts w:hint="default" w:ascii="Times New Roman" w:hAnsi="Times New Roman" w:cs="Times New Roman"/>
          <w:color w:val="00B050"/>
          <w:sz w:val="24"/>
          <w:szCs w:val="24"/>
          <w:highlight w:val="none"/>
        </w:rPr>
        <w:t>本项目不涉及环境风险物质</w:t>
      </w:r>
      <w:r>
        <w:rPr>
          <w:rFonts w:hint="eastAsia" w:cs="Times New Roman"/>
          <w:color w:val="00B050"/>
          <w:sz w:val="24"/>
          <w:szCs w:val="24"/>
          <w:highlight w:val="none"/>
          <w:lang w:eastAsia="zh-CN"/>
        </w:rPr>
        <w:t>，</w:t>
      </w:r>
      <w:r>
        <w:rPr>
          <w:rFonts w:hint="default" w:ascii="Times New Roman" w:hAnsi="Times New Roman" w:cs="Times New Roman"/>
          <w:color w:val="auto"/>
          <w:sz w:val="24"/>
          <w:szCs w:val="24"/>
          <w:highlight w:val="none"/>
        </w:rPr>
        <w:t>环境风险潜势为I，因此确定本项目环境风险评价工作等级为简单分析。</w:t>
      </w:r>
    </w:p>
    <w:p w14:paraId="7843D030">
      <w:pPr>
        <w:pStyle w:val="4"/>
        <w:bidi w:val="0"/>
        <w:rPr>
          <w:rFonts w:hint="default"/>
        </w:rPr>
      </w:pPr>
      <w:bookmarkStart w:id="96" w:name="2.5.2评价范围"/>
      <w:bookmarkEnd w:id="96"/>
      <w:r>
        <w:rPr>
          <w:rFonts w:hint="default"/>
        </w:rPr>
        <w:t>评价范围</w:t>
      </w:r>
    </w:p>
    <w:p w14:paraId="5935E81C">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据2.5.1节评价工作等级判定结果，结合各环境要素导则要求，确定本项目评价范围见下表2.5-1</w:t>
      </w:r>
      <w:r>
        <w:rPr>
          <w:rFonts w:hint="default"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rPr>
        <w:t>，评价范围示意图见图2.5-1。</w:t>
      </w:r>
    </w:p>
    <w:p w14:paraId="220DBAE1">
      <w:pPr>
        <w:pStyle w:val="45"/>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表2.5-1</w:t>
      </w:r>
      <w:r>
        <w:rPr>
          <w:rFonts w:hint="default"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rPr>
        <w:tab/>
      </w:r>
      <w:r>
        <w:rPr>
          <w:rFonts w:hint="default" w:ascii="Times New Roman" w:hAnsi="Times New Roman" w:cs="Times New Roman"/>
          <w:color w:val="auto"/>
          <w:sz w:val="24"/>
          <w:szCs w:val="24"/>
          <w:highlight w:val="none"/>
        </w:rPr>
        <w:t>评价等级及评价范围汇总表</w:t>
      </w:r>
    </w:p>
    <w:tbl>
      <w:tblPr>
        <w:tblStyle w:val="31"/>
        <w:tblW w:w="0" w:type="auto"/>
        <w:tblInd w:w="22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
        <w:gridCol w:w="1582"/>
        <w:gridCol w:w="1224"/>
        <w:gridCol w:w="5499"/>
      </w:tblGrid>
      <w:tr w14:paraId="2E2F2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443"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312232C4">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环境要素</w:t>
            </w:r>
          </w:p>
        </w:tc>
        <w:tc>
          <w:tcPr>
            <w:tcW w:w="122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929EFD5">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评价等级</w:t>
            </w:r>
          </w:p>
        </w:tc>
        <w:tc>
          <w:tcPr>
            <w:tcW w:w="549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42D8EE5">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评价范围</w:t>
            </w:r>
          </w:p>
        </w:tc>
      </w:tr>
      <w:tr w14:paraId="7C3F8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443"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04CF4DA4">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环境空气</w:t>
            </w:r>
          </w:p>
        </w:tc>
        <w:tc>
          <w:tcPr>
            <w:tcW w:w="122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07815FA">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二级</w:t>
            </w:r>
          </w:p>
        </w:tc>
        <w:tc>
          <w:tcPr>
            <w:tcW w:w="549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E4DF40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本项目评价范围确定以项目区为中心，取边长为5km的矩形区域，评价面积为25km</w:t>
            </w:r>
            <w:r>
              <w:rPr>
                <w:rFonts w:hint="default" w:ascii="Times New Roman" w:hAnsi="Times New Roman" w:cs="Times New Roman"/>
                <w:color w:val="auto"/>
                <w:sz w:val="24"/>
                <w:szCs w:val="24"/>
                <w:highlight w:val="none"/>
                <w:vertAlign w:val="superscript"/>
              </w:rPr>
              <w:t>2</w:t>
            </w:r>
          </w:p>
        </w:tc>
      </w:tr>
      <w:tr w14:paraId="77663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443"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00CC7F6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地下水环境</w:t>
            </w:r>
          </w:p>
        </w:tc>
        <w:tc>
          <w:tcPr>
            <w:tcW w:w="122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8BD9206">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p>
        </w:tc>
        <w:tc>
          <w:tcPr>
            <w:tcW w:w="549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FB3DE4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p>
        </w:tc>
      </w:tr>
      <w:tr w14:paraId="3CDC3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443"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3E4691DC">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地表水环境</w:t>
            </w:r>
          </w:p>
        </w:tc>
        <w:tc>
          <w:tcPr>
            <w:tcW w:w="122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F293067">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三级B</w:t>
            </w:r>
          </w:p>
        </w:tc>
        <w:tc>
          <w:tcPr>
            <w:tcW w:w="549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CF52A17">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p>
        </w:tc>
      </w:tr>
      <w:tr w14:paraId="47019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443"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2E2C31EB">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声环境</w:t>
            </w:r>
          </w:p>
        </w:tc>
        <w:tc>
          <w:tcPr>
            <w:tcW w:w="122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1CA6E2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二级</w:t>
            </w:r>
          </w:p>
        </w:tc>
        <w:tc>
          <w:tcPr>
            <w:tcW w:w="549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F0CADD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矿区边界外200m范围</w:t>
            </w:r>
          </w:p>
        </w:tc>
      </w:tr>
      <w:tr w14:paraId="5D387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443"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38429CA6">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生态环境</w:t>
            </w:r>
          </w:p>
        </w:tc>
        <w:tc>
          <w:tcPr>
            <w:tcW w:w="122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7695F65">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二级</w:t>
            </w:r>
          </w:p>
        </w:tc>
        <w:tc>
          <w:tcPr>
            <w:tcW w:w="549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A5CE3C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矿区及矿区边界外1km范围内（涵盖矿区西侧部分封禁保护区范围）</w:t>
            </w:r>
          </w:p>
        </w:tc>
      </w:tr>
      <w:tr w14:paraId="00F6A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61"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75C534A8">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土壤环境</w:t>
            </w:r>
          </w:p>
        </w:tc>
        <w:tc>
          <w:tcPr>
            <w:tcW w:w="158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1971290">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生态影响型</w:t>
            </w:r>
          </w:p>
        </w:tc>
        <w:tc>
          <w:tcPr>
            <w:tcW w:w="122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B4B15B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三级</w:t>
            </w:r>
          </w:p>
        </w:tc>
        <w:tc>
          <w:tcPr>
            <w:tcW w:w="549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CC2C9BC">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矿区及矿区边界外1km范围内</w:t>
            </w:r>
          </w:p>
        </w:tc>
      </w:tr>
      <w:tr w14:paraId="353C9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6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5C5DB701">
            <w:pPr>
              <w:pStyle w:val="48"/>
              <w:spacing w:beforeLines="0" w:afterLines="0"/>
              <w:rPr>
                <w:rFonts w:hint="default" w:ascii="Times New Roman" w:hAnsi="Times New Roman" w:cs="Times New Roman"/>
                <w:color w:val="auto"/>
                <w:sz w:val="24"/>
                <w:szCs w:val="24"/>
                <w:highlight w:val="none"/>
              </w:rPr>
            </w:pPr>
          </w:p>
        </w:tc>
        <w:tc>
          <w:tcPr>
            <w:tcW w:w="158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AAF8B4C">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污染影响型</w:t>
            </w:r>
          </w:p>
        </w:tc>
        <w:tc>
          <w:tcPr>
            <w:tcW w:w="122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B3A276E">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三级</w:t>
            </w:r>
          </w:p>
        </w:tc>
        <w:tc>
          <w:tcPr>
            <w:tcW w:w="549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7F1414E">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矿区及矿区边界外</w:t>
            </w:r>
            <w:r>
              <w:rPr>
                <w:rFonts w:hint="default" w:ascii="Times New Roman" w:hAnsi="Times New Roman" w:cs="Times New Roman"/>
                <w:color w:val="auto"/>
                <w:sz w:val="24"/>
                <w:szCs w:val="24"/>
                <w:highlight w:val="none"/>
                <w:lang w:val="en-US" w:eastAsia="zh-CN"/>
              </w:rPr>
              <w:t>0.05</w:t>
            </w:r>
            <w:r>
              <w:rPr>
                <w:rFonts w:hint="default" w:ascii="Times New Roman" w:hAnsi="Times New Roman" w:cs="Times New Roman"/>
                <w:color w:val="auto"/>
                <w:sz w:val="24"/>
                <w:szCs w:val="24"/>
                <w:highlight w:val="none"/>
              </w:rPr>
              <w:t>km范围内</w:t>
            </w:r>
          </w:p>
        </w:tc>
      </w:tr>
      <w:tr w14:paraId="525B2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443"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7830499D">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环境风险</w:t>
            </w:r>
          </w:p>
        </w:tc>
        <w:tc>
          <w:tcPr>
            <w:tcW w:w="122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B0539B3">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简单分析</w:t>
            </w:r>
          </w:p>
        </w:tc>
        <w:tc>
          <w:tcPr>
            <w:tcW w:w="549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5F7A30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p>
        </w:tc>
      </w:tr>
    </w:tbl>
    <w:p w14:paraId="3DE6B79E">
      <w:pPr>
        <w:pStyle w:val="3"/>
        <w:bidi w:val="0"/>
        <w:rPr>
          <w:rFonts w:hint="default"/>
        </w:rPr>
      </w:pPr>
      <w:bookmarkStart w:id="97" w:name="2.6环境保护目标"/>
      <w:bookmarkEnd w:id="97"/>
      <w:bookmarkStart w:id="98" w:name="bookmark13"/>
      <w:bookmarkEnd w:id="98"/>
      <w:bookmarkStart w:id="99" w:name="_Toc17619"/>
      <w:bookmarkStart w:id="100" w:name="_Toc29597"/>
      <w:r>
        <w:rPr>
          <w:rFonts w:hint="default"/>
        </w:rPr>
        <w:t>环境保护目标</w:t>
      </w:r>
      <w:bookmarkEnd w:id="99"/>
      <w:bookmarkEnd w:id="100"/>
    </w:p>
    <w:p w14:paraId="57416D45">
      <w:pPr>
        <w:spacing w:beforeLines="0" w:afterLines="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rPr>
        <w:t>本项目西侧</w:t>
      </w:r>
      <w:r>
        <w:rPr>
          <w:rFonts w:hint="default" w:ascii="Times New Roman" w:hAnsi="Times New Roman" w:cs="Times New Roman"/>
          <w:color w:val="auto"/>
          <w:sz w:val="24"/>
          <w:szCs w:val="24"/>
          <w:highlight w:val="none"/>
          <w:lang w:val="en-US" w:eastAsia="zh-CN"/>
        </w:rPr>
        <w:t>900m为</w:t>
      </w:r>
      <w:r>
        <w:rPr>
          <w:rFonts w:hint="default" w:ascii="Times New Roman" w:hAnsi="Times New Roman" w:cs="Times New Roman"/>
          <w:color w:val="auto"/>
          <w:sz w:val="24"/>
          <w:szCs w:val="24"/>
          <w:highlight w:val="none"/>
        </w:rPr>
        <w:t>新疆阜康市彩南国家沙化土地封禁保护区，项目环境保护目标与保护级别见表2.6-1。</w:t>
      </w:r>
      <w:r>
        <w:rPr>
          <w:rFonts w:hint="eastAsia" w:cs="Times New Roman"/>
          <w:color w:val="auto"/>
          <w:sz w:val="24"/>
          <w:szCs w:val="24"/>
          <w:highlight w:val="none"/>
          <w:lang w:val="en-US" w:eastAsia="zh-CN"/>
        </w:rPr>
        <w:t>本项目生态保护目标分布图见图2.6-1。</w:t>
      </w:r>
    </w:p>
    <w:p w14:paraId="679539A9">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本项目环境保护目标见表2.6-1。</w:t>
      </w:r>
    </w:p>
    <w:p w14:paraId="2EF8B548">
      <w:pPr>
        <w:pStyle w:val="45"/>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表2.6-1</w:t>
      </w:r>
      <w:r>
        <w:rPr>
          <w:rFonts w:hint="default" w:ascii="Times New Roman" w:hAnsi="Times New Roman" w:cs="Times New Roman"/>
          <w:color w:val="auto"/>
          <w:sz w:val="24"/>
          <w:szCs w:val="24"/>
          <w:highlight w:val="none"/>
        </w:rPr>
        <w:tab/>
      </w:r>
      <w:r>
        <w:rPr>
          <w:rFonts w:hint="default" w:ascii="Times New Roman" w:hAnsi="Times New Roman" w:cs="Times New Roman"/>
          <w:color w:val="auto"/>
          <w:sz w:val="24"/>
          <w:szCs w:val="24"/>
          <w:highlight w:val="none"/>
        </w:rPr>
        <w:t>环境保护目标</w:t>
      </w:r>
    </w:p>
    <w:tbl>
      <w:tblPr>
        <w:tblStyle w:val="31"/>
        <w:tblW w:w="9167" w:type="dxa"/>
        <w:tblInd w:w="22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5"/>
        <w:gridCol w:w="2153"/>
        <w:gridCol w:w="83"/>
        <w:gridCol w:w="1573"/>
        <w:gridCol w:w="4113"/>
      </w:tblGrid>
      <w:tr w14:paraId="12494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74AD966">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保护目标</w:t>
            </w:r>
          </w:p>
        </w:tc>
        <w:tc>
          <w:tcPr>
            <w:tcW w:w="2236"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1438F99A">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环境保护目标</w:t>
            </w:r>
          </w:p>
        </w:tc>
        <w:tc>
          <w:tcPr>
            <w:tcW w:w="157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68EE213">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方位距离</w:t>
            </w:r>
          </w:p>
        </w:tc>
        <w:tc>
          <w:tcPr>
            <w:tcW w:w="411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53DEA25">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功能和保护级别</w:t>
            </w:r>
          </w:p>
        </w:tc>
      </w:tr>
      <w:tr w14:paraId="391B4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FB15CE6">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环境空气</w:t>
            </w:r>
          </w:p>
        </w:tc>
        <w:tc>
          <w:tcPr>
            <w:tcW w:w="3809" w:type="dxa"/>
            <w:gridSpan w:val="3"/>
            <w:tcBorders>
              <w:top w:val="single" w:color="auto" w:sz="4" w:space="0"/>
              <w:left w:val="single" w:color="auto" w:sz="4" w:space="0"/>
              <w:bottom w:val="single" w:color="auto" w:sz="4" w:space="0"/>
              <w:right w:val="single" w:color="auto" w:sz="4" w:space="0"/>
              <w:tl2br w:val="nil"/>
              <w:tr2bl w:val="nil"/>
            </w:tcBorders>
            <w:noWrap w:val="0"/>
            <w:vAlign w:val="center"/>
          </w:tcPr>
          <w:p w14:paraId="318C225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矿区大气环境</w:t>
            </w:r>
          </w:p>
        </w:tc>
        <w:tc>
          <w:tcPr>
            <w:tcW w:w="411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AEB521A">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环境空气质量满足《环境空气质量标准》(GB3095-2012)二级标准。</w:t>
            </w:r>
          </w:p>
        </w:tc>
      </w:tr>
      <w:tr w14:paraId="08B10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E41A647">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声环境</w:t>
            </w:r>
          </w:p>
        </w:tc>
        <w:tc>
          <w:tcPr>
            <w:tcW w:w="3809" w:type="dxa"/>
            <w:gridSpan w:val="3"/>
            <w:tcBorders>
              <w:top w:val="single" w:color="auto" w:sz="4" w:space="0"/>
              <w:left w:val="single" w:color="auto" w:sz="4" w:space="0"/>
              <w:bottom w:val="single" w:color="auto" w:sz="4" w:space="0"/>
              <w:right w:val="single" w:color="auto" w:sz="4" w:space="0"/>
              <w:tl2br w:val="nil"/>
              <w:tr2bl w:val="nil"/>
            </w:tcBorders>
            <w:noWrap w:val="0"/>
            <w:vAlign w:val="center"/>
          </w:tcPr>
          <w:p w14:paraId="39BA8FD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矿区外200m范围</w:t>
            </w:r>
          </w:p>
        </w:tc>
        <w:tc>
          <w:tcPr>
            <w:tcW w:w="411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5584F6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《声环境质量标准》（GB3096-2008）的2类标准</w:t>
            </w:r>
          </w:p>
        </w:tc>
      </w:tr>
      <w:tr w14:paraId="724A4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1B27D4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地下水环境</w:t>
            </w:r>
          </w:p>
        </w:tc>
        <w:tc>
          <w:tcPr>
            <w:tcW w:w="3809" w:type="dxa"/>
            <w:gridSpan w:val="3"/>
            <w:tcBorders>
              <w:top w:val="single" w:color="auto" w:sz="4" w:space="0"/>
              <w:left w:val="single" w:color="auto" w:sz="4" w:space="0"/>
              <w:bottom w:val="single" w:color="auto" w:sz="4" w:space="0"/>
              <w:right w:val="single" w:color="auto" w:sz="4" w:space="0"/>
              <w:tl2br w:val="nil"/>
              <w:tr2bl w:val="nil"/>
            </w:tcBorders>
            <w:noWrap w:val="0"/>
            <w:vAlign w:val="center"/>
          </w:tcPr>
          <w:p w14:paraId="3110B65A">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矿区范围内地下水</w:t>
            </w:r>
          </w:p>
        </w:tc>
        <w:tc>
          <w:tcPr>
            <w:tcW w:w="411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08C7BD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《地下水质量标准》</w:t>
            </w:r>
          </w:p>
          <w:p w14:paraId="396953B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（GB/T14848-2017）的Ⅲ类标准</w:t>
            </w:r>
          </w:p>
        </w:tc>
      </w:tr>
      <w:tr w14:paraId="2CF92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3F184E3">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土壤环境</w:t>
            </w:r>
          </w:p>
        </w:tc>
        <w:tc>
          <w:tcPr>
            <w:tcW w:w="3809" w:type="dxa"/>
            <w:gridSpan w:val="3"/>
            <w:tcBorders>
              <w:top w:val="single" w:color="auto" w:sz="4" w:space="0"/>
              <w:left w:val="single" w:color="auto" w:sz="4" w:space="0"/>
              <w:bottom w:val="single" w:color="auto" w:sz="4" w:space="0"/>
              <w:right w:val="single" w:color="auto" w:sz="4" w:space="0"/>
              <w:tl2br w:val="nil"/>
              <w:tr2bl w:val="nil"/>
            </w:tcBorders>
            <w:noWrap w:val="0"/>
            <w:vAlign w:val="center"/>
          </w:tcPr>
          <w:p w14:paraId="22FA2D28">
            <w:pPr>
              <w:pStyle w:val="48"/>
              <w:spacing w:beforeLines="0" w:afterLines="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FF0000"/>
                <w:sz w:val="24"/>
                <w:szCs w:val="24"/>
                <w:highlight w:val="none"/>
              </w:rPr>
              <w:t>项目评价范围内土壤</w:t>
            </w:r>
            <w:r>
              <w:rPr>
                <w:rFonts w:hint="eastAsia" w:ascii="Times New Roman" w:hAnsi="Times New Roman" w:cs="Times New Roman"/>
                <w:color w:val="FF0000"/>
                <w:sz w:val="24"/>
                <w:szCs w:val="24"/>
                <w:highlight w:val="none"/>
                <w:lang w:val="en-US" w:eastAsia="zh-CN"/>
              </w:rPr>
              <w:t>及周边牧草地</w:t>
            </w:r>
          </w:p>
        </w:tc>
        <w:tc>
          <w:tcPr>
            <w:tcW w:w="411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3E30943">
            <w:pPr>
              <w:pStyle w:val="48"/>
              <w:spacing w:beforeLines="0" w:afterLines="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rPr>
              <w:t>矿区范围内：《土壤环境质量建设用 地土壤污染风险管控标准（试行）》（GB36600-2018）表1二类用地筛选值限值要求</w:t>
            </w:r>
            <w:r>
              <w:rPr>
                <w:rFonts w:hint="default" w:ascii="Times New Roman" w:hAnsi="Times New Roman" w:cs="Times New Roman"/>
                <w:color w:val="auto"/>
                <w:sz w:val="24"/>
                <w:szCs w:val="24"/>
                <w:highlight w:val="none"/>
                <w:lang w:val="en-US" w:eastAsia="zh-CN"/>
              </w:rPr>
              <w:t>.</w:t>
            </w:r>
          </w:p>
          <w:p w14:paraId="2718BDB4">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矿区范围外：《土壤环境质量</w:t>
            </w: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rPr>
              <w:t>农用地土壤污染风险管控标准（试行）》（GB15618-2018）中农用地土壤污染风险筛选值</w:t>
            </w:r>
          </w:p>
        </w:tc>
      </w:tr>
      <w:tr w14:paraId="00DE4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5"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504A44D0">
            <w:pPr>
              <w:pStyle w:val="48"/>
              <w:spacing w:beforeLines="0" w:afterLines="0"/>
              <w:rPr>
                <w:rFonts w:hint="default" w:ascii="Times New Roman" w:hAnsi="Times New Roman" w:cs="Times New Roman"/>
                <w:color w:val="FF0000"/>
                <w:sz w:val="24"/>
                <w:szCs w:val="24"/>
                <w:highlight w:val="none"/>
              </w:rPr>
            </w:pPr>
            <w:r>
              <w:rPr>
                <w:rFonts w:hint="default" w:ascii="Times New Roman" w:hAnsi="Times New Roman" w:cs="Times New Roman"/>
                <w:color w:val="FF0000"/>
                <w:sz w:val="24"/>
                <w:szCs w:val="24"/>
                <w:highlight w:val="none"/>
              </w:rPr>
              <w:t>生态环境</w:t>
            </w:r>
          </w:p>
        </w:tc>
        <w:tc>
          <w:tcPr>
            <w:tcW w:w="215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8A0B99D">
            <w:pPr>
              <w:pStyle w:val="48"/>
              <w:spacing w:beforeLines="0" w:afterLines="0"/>
              <w:rPr>
                <w:rFonts w:hint="default" w:ascii="Times New Roman" w:hAnsi="Times New Roman" w:cs="Times New Roman"/>
                <w:color w:val="FF0000"/>
                <w:sz w:val="24"/>
                <w:szCs w:val="24"/>
                <w:highlight w:val="none"/>
              </w:rPr>
            </w:pPr>
            <w:r>
              <w:rPr>
                <w:rFonts w:hint="default" w:ascii="Times New Roman" w:hAnsi="Times New Roman" w:cs="Times New Roman"/>
                <w:color w:val="FF0000"/>
                <w:sz w:val="24"/>
                <w:szCs w:val="24"/>
                <w:highlight w:val="none"/>
              </w:rPr>
              <w:t>矿区及新疆阜康市彩南国家沙化土地封禁保护区</w:t>
            </w:r>
          </w:p>
        </w:tc>
        <w:tc>
          <w:tcPr>
            <w:tcW w:w="1656"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726004D8">
            <w:pPr>
              <w:pStyle w:val="48"/>
              <w:spacing w:beforeLines="0" w:afterLines="0"/>
              <w:rPr>
                <w:rFonts w:hint="default" w:ascii="Times New Roman" w:hAnsi="Times New Roman" w:cs="Times New Roman"/>
                <w:color w:val="FF0000"/>
                <w:sz w:val="24"/>
                <w:szCs w:val="24"/>
                <w:highlight w:val="none"/>
              </w:rPr>
            </w:pPr>
            <w:r>
              <w:rPr>
                <w:rFonts w:hint="default" w:ascii="Times New Roman" w:hAnsi="Times New Roman" w:cs="Times New Roman"/>
                <w:color w:val="FF0000"/>
                <w:sz w:val="24"/>
                <w:szCs w:val="24"/>
                <w:highlight w:val="none"/>
              </w:rPr>
              <w:t>矿区西侧</w:t>
            </w:r>
            <w:r>
              <w:rPr>
                <w:rFonts w:hint="default" w:ascii="Times New Roman" w:hAnsi="Times New Roman" w:cs="Times New Roman"/>
                <w:color w:val="FF0000"/>
                <w:sz w:val="24"/>
                <w:szCs w:val="24"/>
                <w:highlight w:val="none"/>
                <w:lang w:val="en-US" w:eastAsia="zh-CN"/>
              </w:rPr>
              <w:t>900</w:t>
            </w:r>
            <w:r>
              <w:rPr>
                <w:rFonts w:hint="default" w:ascii="Times New Roman" w:hAnsi="Times New Roman" w:cs="Times New Roman"/>
                <w:color w:val="FF0000"/>
                <w:sz w:val="24"/>
                <w:szCs w:val="24"/>
                <w:highlight w:val="none"/>
              </w:rPr>
              <w:t>m</w:t>
            </w:r>
          </w:p>
        </w:tc>
        <w:tc>
          <w:tcPr>
            <w:tcW w:w="411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4F1AE3B">
            <w:pPr>
              <w:pStyle w:val="48"/>
              <w:spacing w:beforeLines="0" w:afterLines="0"/>
              <w:rPr>
                <w:rFonts w:hint="default" w:ascii="Times New Roman" w:hAnsi="Times New Roman" w:cs="Times New Roman"/>
                <w:color w:val="FF0000"/>
                <w:sz w:val="24"/>
                <w:szCs w:val="24"/>
                <w:highlight w:val="none"/>
              </w:rPr>
            </w:pPr>
            <w:r>
              <w:rPr>
                <w:rFonts w:hint="default" w:ascii="Times New Roman" w:hAnsi="Times New Roman" w:cs="Times New Roman"/>
                <w:color w:val="FF0000"/>
                <w:sz w:val="24"/>
                <w:szCs w:val="24"/>
                <w:highlight w:val="none"/>
              </w:rPr>
              <w:t>采取有效措施保护矿区及西侧新疆阜康市彩南国家沙化土地封禁保护区地表生态环境，减少水土流失，恢复破坏的植被，完善景观建设。</w:t>
            </w:r>
          </w:p>
        </w:tc>
      </w:tr>
      <w:tr w14:paraId="7384A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5"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5F47C3E8">
            <w:pPr>
              <w:pStyle w:val="48"/>
              <w:spacing w:beforeLines="0" w:afterLines="0"/>
              <w:rPr>
                <w:rFonts w:hint="default" w:ascii="Times New Roman" w:hAnsi="Times New Roman" w:cs="Times New Roman"/>
                <w:color w:val="FF0000"/>
                <w:sz w:val="24"/>
                <w:szCs w:val="24"/>
                <w:highlight w:val="none"/>
              </w:rPr>
            </w:pPr>
          </w:p>
        </w:tc>
        <w:tc>
          <w:tcPr>
            <w:tcW w:w="3809" w:type="dxa"/>
            <w:gridSpan w:val="3"/>
            <w:tcBorders>
              <w:top w:val="single" w:color="auto" w:sz="4" w:space="0"/>
              <w:left w:val="single" w:color="auto" w:sz="4" w:space="0"/>
              <w:bottom w:val="single" w:color="auto" w:sz="4" w:space="0"/>
              <w:right w:val="single" w:color="auto" w:sz="4" w:space="0"/>
              <w:tl2br w:val="nil"/>
              <w:tr2bl w:val="nil"/>
            </w:tcBorders>
            <w:noWrap w:val="0"/>
            <w:vAlign w:val="center"/>
          </w:tcPr>
          <w:p w14:paraId="2387DF79">
            <w:pPr>
              <w:pStyle w:val="48"/>
              <w:spacing w:beforeLines="0" w:afterLines="0"/>
              <w:rPr>
                <w:rFonts w:hint="default" w:ascii="Times New Roman" w:hAnsi="Times New Roman" w:cs="Times New Roman"/>
                <w:color w:val="FF0000"/>
                <w:sz w:val="24"/>
                <w:szCs w:val="24"/>
                <w:highlight w:val="none"/>
              </w:rPr>
            </w:pPr>
            <w:r>
              <w:rPr>
                <w:rFonts w:hint="default" w:ascii="Times New Roman" w:hAnsi="Times New Roman" w:cs="Times New Roman"/>
                <w:color w:val="FF0000"/>
                <w:sz w:val="24"/>
                <w:szCs w:val="24"/>
                <w:highlight w:val="none"/>
              </w:rPr>
              <w:t>植被、动物</w:t>
            </w:r>
            <w:r>
              <w:rPr>
                <w:rFonts w:hint="eastAsia" w:ascii="Times New Roman" w:hAnsi="Times New Roman" w:cs="Times New Roman"/>
                <w:color w:val="FF0000"/>
                <w:sz w:val="24"/>
                <w:szCs w:val="24"/>
                <w:highlight w:val="none"/>
                <w:lang w:eastAsia="zh-CN"/>
              </w:rPr>
              <w:t>（</w:t>
            </w:r>
            <w:r>
              <w:rPr>
                <w:rFonts w:hint="eastAsia" w:ascii="Times New Roman" w:hAnsi="Times New Roman" w:cs="Times New Roman"/>
                <w:color w:val="FF0000"/>
                <w:sz w:val="24"/>
                <w:szCs w:val="24"/>
                <w:highlight w:val="none"/>
                <w:lang w:val="en-US" w:eastAsia="zh-CN"/>
              </w:rPr>
              <w:t>苍鹰</w:t>
            </w:r>
            <w:r>
              <w:rPr>
                <w:rFonts w:hint="eastAsia" w:ascii="Times New Roman" w:hAnsi="Times New Roman" w:cs="Times New Roman"/>
                <w:color w:val="FF0000"/>
                <w:sz w:val="24"/>
                <w:szCs w:val="24"/>
                <w:highlight w:val="none"/>
                <w:lang w:eastAsia="zh-CN"/>
              </w:rPr>
              <w:t>）</w:t>
            </w:r>
            <w:r>
              <w:rPr>
                <w:rFonts w:hint="default" w:ascii="Times New Roman" w:hAnsi="Times New Roman" w:cs="Times New Roman"/>
                <w:color w:val="FF0000"/>
                <w:sz w:val="24"/>
                <w:szCs w:val="24"/>
                <w:highlight w:val="none"/>
              </w:rPr>
              <w:t>、水土保持等</w:t>
            </w:r>
          </w:p>
        </w:tc>
        <w:tc>
          <w:tcPr>
            <w:tcW w:w="411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45A2B6C">
            <w:pPr>
              <w:pStyle w:val="48"/>
              <w:spacing w:beforeLines="0" w:afterLines="0"/>
              <w:rPr>
                <w:rFonts w:hint="default" w:ascii="Times New Roman" w:hAnsi="Times New Roman" w:cs="Times New Roman"/>
                <w:color w:val="FF0000"/>
                <w:sz w:val="24"/>
                <w:szCs w:val="24"/>
                <w:highlight w:val="none"/>
              </w:rPr>
            </w:pPr>
            <w:r>
              <w:rPr>
                <w:rFonts w:hint="eastAsia" w:ascii="Times New Roman" w:hAnsi="Times New Roman" w:cs="Times New Roman"/>
                <w:color w:val="FF0000"/>
                <w:sz w:val="24"/>
                <w:szCs w:val="24"/>
                <w:highlight w:val="none"/>
                <w:lang w:val="en-US" w:eastAsia="zh-CN"/>
              </w:rPr>
              <w:t>保护野生动植物，尤其是保护鸟类苍鹰，</w:t>
            </w:r>
            <w:r>
              <w:rPr>
                <w:rFonts w:hint="default" w:ascii="Times New Roman" w:hAnsi="Times New Roman" w:cs="Times New Roman"/>
                <w:color w:val="FF0000"/>
                <w:sz w:val="24"/>
                <w:szCs w:val="24"/>
                <w:highlight w:val="none"/>
              </w:rPr>
              <w:t>保护生态系统结构和功能的完整性、稳定性；闭矿后及时恢复区域生态，防止水土流失。</w:t>
            </w:r>
          </w:p>
        </w:tc>
      </w:tr>
    </w:tbl>
    <w:p w14:paraId="17CF500C">
      <w:pPr>
        <w:pStyle w:val="2"/>
        <w:bidi w:val="0"/>
        <w:rPr>
          <w:rFonts w:hint="default"/>
        </w:rPr>
      </w:pPr>
      <w:bookmarkStart w:id="101" w:name="bookmark14"/>
      <w:bookmarkEnd w:id="101"/>
      <w:r>
        <w:rPr>
          <w:rFonts w:hint="default"/>
        </w:rPr>
        <w:br w:type="page"/>
      </w:r>
      <w:bookmarkStart w:id="102" w:name="_Toc4984"/>
      <w:bookmarkStart w:id="103" w:name="_Toc29568"/>
      <w:r>
        <w:rPr>
          <w:rFonts w:hint="default"/>
        </w:rPr>
        <w:t>项目概况及工程分析</w:t>
      </w:r>
      <w:bookmarkEnd w:id="102"/>
      <w:bookmarkEnd w:id="103"/>
    </w:p>
    <w:p w14:paraId="39980079">
      <w:pPr>
        <w:pStyle w:val="3"/>
        <w:bidi w:val="0"/>
        <w:rPr>
          <w:rFonts w:hint="default"/>
        </w:rPr>
      </w:pPr>
      <w:bookmarkStart w:id="104" w:name="3.1项目基本概况"/>
      <w:bookmarkEnd w:id="104"/>
      <w:bookmarkStart w:id="105" w:name="bookmark15"/>
      <w:bookmarkEnd w:id="105"/>
      <w:bookmarkStart w:id="106" w:name="_Toc9461"/>
      <w:bookmarkStart w:id="107" w:name="_Toc11424"/>
      <w:r>
        <w:rPr>
          <w:rFonts w:hint="default"/>
        </w:rPr>
        <w:t>项目基本概况</w:t>
      </w:r>
      <w:bookmarkEnd w:id="106"/>
      <w:bookmarkEnd w:id="107"/>
    </w:p>
    <w:p w14:paraId="311ED696">
      <w:pPr>
        <w:spacing w:beforeLines="0" w:afterLines="0"/>
        <w:rPr>
          <w:rFonts w:hint="default" w:ascii="Times New Roman" w:hAnsi="Times New Roman" w:cs="Times New Roman"/>
          <w:color w:val="auto"/>
          <w:sz w:val="24"/>
          <w:szCs w:val="24"/>
          <w:highlight w:val="none"/>
          <w:lang w:val="en-US"/>
        </w:rPr>
      </w:pPr>
      <w:r>
        <w:rPr>
          <w:rFonts w:hint="default" w:ascii="Times New Roman" w:hAnsi="Times New Roman" w:cs="Times New Roman"/>
          <w:color w:val="auto"/>
          <w:sz w:val="24"/>
          <w:szCs w:val="24"/>
          <w:highlight w:val="none"/>
        </w:rPr>
        <w:t>（1）项目名称：</w:t>
      </w:r>
      <w:r>
        <w:rPr>
          <w:rFonts w:hint="eastAsia" w:cs="Times New Roman"/>
          <w:color w:val="auto"/>
          <w:sz w:val="24"/>
          <w:szCs w:val="24"/>
          <w:highlight w:val="none"/>
          <w:lang w:eastAsia="zh-CN"/>
        </w:rPr>
        <w:t>新疆采虹矿业投资有限公司新疆阜康市北部沙漠天然石英砂矿（压裂用）项目</w:t>
      </w:r>
      <w:r>
        <w:rPr>
          <w:rFonts w:hint="default" w:ascii="Times New Roman" w:hAnsi="Times New Roman" w:cs="Times New Roman"/>
          <w:color w:val="auto"/>
          <w:sz w:val="24"/>
          <w:szCs w:val="24"/>
          <w:highlight w:val="none"/>
          <w:lang w:val="en-US" w:eastAsia="zh-CN"/>
        </w:rPr>
        <w:t>。</w:t>
      </w:r>
    </w:p>
    <w:p w14:paraId="08801B58">
      <w:pPr>
        <w:spacing w:beforeLines="0" w:afterLines="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rPr>
        <w:t>（2）建设单位：</w:t>
      </w:r>
      <w:r>
        <w:rPr>
          <w:rFonts w:hint="default" w:ascii="Times New Roman" w:hAnsi="Times New Roman" w:cs="Times New Roman"/>
          <w:color w:val="auto"/>
          <w:sz w:val="24"/>
          <w:szCs w:val="24"/>
          <w:highlight w:val="none"/>
          <w:lang w:eastAsia="zh-CN"/>
        </w:rPr>
        <w:t>新疆采虹矿业投资有限公司。</w:t>
      </w:r>
    </w:p>
    <w:p w14:paraId="0999C578">
      <w:pPr>
        <w:spacing w:beforeLines="0" w:afterLines="0"/>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rPr>
        <w:t>（3）建设性质：新建</w:t>
      </w:r>
      <w:r>
        <w:rPr>
          <w:rFonts w:hint="default" w:ascii="Times New Roman" w:hAnsi="Times New Roman" w:cs="Times New Roman"/>
          <w:color w:val="auto"/>
          <w:sz w:val="24"/>
          <w:szCs w:val="24"/>
          <w:highlight w:val="none"/>
          <w:lang w:eastAsia="zh-CN"/>
        </w:rPr>
        <w:t>。</w:t>
      </w:r>
    </w:p>
    <w:p w14:paraId="2BB7ED14">
      <w:pPr>
        <w:spacing w:beforeLines="0" w:afterLines="0"/>
        <w:rPr>
          <w:rFonts w:hint="default" w:ascii="Times New Roman" w:hAnsi="Times New Roman" w:cs="Times New Roman"/>
          <w:color w:val="auto"/>
          <w:kern w:val="2"/>
          <w:sz w:val="24"/>
          <w:szCs w:val="22"/>
          <w:highlight w:val="none"/>
          <w:lang w:val="en-US" w:eastAsia="zh-CN" w:bidi="ar-SA"/>
        </w:rPr>
      </w:pPr>
      <w:r>
        <w:rPr>
          <w:rFonts w:hint="default" w:ascii="Times New Roman" w:hAnsi="Times New Roman" w:cs="Times New Roman"/>
          <w:color w:val="auto"/>
          <w:sz w:val="24"/>
          <w:szCs w:val="24"/>
          <w:highlight w:val="none"/>
        </w:rPr>
        <w:t>（4）建设地点：</w:t>
      </w:r>
      <w:r>
        <w:rPr>
          <w:rFonts w:hint="eastAsia" w:cs="Times New Roman"/>
          <w:color w:val="auto"/>
          <w:sz w:val="24"/>
          <w:szCs w:val="24"/>
          <w:highlight w:val="none"/>
          <w:lang w:eastAsia="zh-CN"/>
        </w:rPr>
        <w:t>新疆阜康市北部沙漠天然石英砂矿（压裂用）项目</w:t>
      </w:r>
      <w:r>
        <w:rPr>
          <w:rFonts w:hint="eastAsia" w:cs="Times New Roman"/>
          <w:color w:val="auto"/>
          <w:sz w:val="24"/>
          <w:szCs w:val="24"/>
          <w:highlight w:val="none"/>
          <w:lang w:val="en-US" w:eastAsia="zh-CN"/>
        </w:rPr>
        <w:t>位于</w:t>
      </w:r>
      <w:r>
        <w:rPr>
          <w:rFonts w:hint="default" w:ascii="Times New Roman" w:hAnsi="Times New Roman" w:cs="Times New Roman"/>
          <w:color w:val="auto"/>
          <w:kern w:val="2"/>
          <w:sz w:val="24"/>
          <w:szCs w:val="22"/>
          <w:highlight w:val="none"/>
          <w:lang w:val="en-US" w:eastAsia="zh-CN" w:bidi="ar-SA"/>
        </w:rPr>
        <w:t>阜康市20°方位60</w:t>
      </w:r>
      <w:r>
        <w:rPr>
          <w:rFonts w:hint="eastAsia" w:cs="Times New Roman"/>
          <w:color w:val="auto"/>
          <w:kern w:val="2"/>
          <w:sz w:val="24"/>
          <w:szCs w:val="22"/>
          <w:highlight w:val="none"/>
          <w:lang w:val="en-US" w:eastAsia="zh-CN" w:bidi="ar-SA"/>
        </w:rPr>
        <w:t>km</w:t>
      </w:r>
      <w:r>
        <w:rPr>
          <w:rFonts w:hint="default" w:ascii="Times New Roman" w:hAnsi="Times New Roman" w:cs="Times New Roman"/>
          <w:color w:val="auto"/>
          <w:kern w:val="2"/>
          <w:sz w:val="24"/>
          <w:szCs w:val="22"/>
          <w:highlight w:val="none"/>
          <w:lang w:val="en-US" w:eastAsia="zh-CN" w:bidi="ar-SA"/>
        </w:rPr>
        <w:t>处，</w:t>
      </w:r>
      <w:r>
        <w:rPr>
          <w:rFonts w:hint="default" w:ascii="Times New Roman" w:hAnsi="Times New Roman" w:cs="Times New Roman"/>
          <w:color w:val="auto"/>
          <w:sz w:val="24"/>
          <w:szCs w:val="24"/>
          <w:highlight w:val="none"/>
        </w:rPr>
        <w:t>行政区划隶属于昌吉州阜康市管辖</w:t>
      </w:r>
      <w:r>
        <w:rPr>
          <w:rFonts w:hint="default" w:ascii="Times New Roman" w:hAnsi="Times New Roman" w:cs="Times New Roman"/>
          <w:color w:val="auto"/>
          <w:sz w:val="24"/>
          <w:szCs w:val="24"/>
          <w:highlight w:val="none"/>
          <w:lang w:eastAsia="zh-CN"/>
        </w:rPr>
        <w:t>。</w:t>
      </w:r>
      <w:r>
        <w:rPr>
          <w:rFonts w:hint="eastAsia" w:cs="Times New Roman"/>
          <w:color w:val="auto"/>
          <w:sz w:val="24"/>
          <w:szCs w:val="24"/>
          <w:highlight w:val="none"/>
          <w:lang w:val="en-US" w:eastAsia="zh-CN"/>
        </w:rPr>
        <w:t>项目区东南西北侧均为天然牧草地，矿区有自然形成的简易便道穿过，</w:t>
      </w:r>
      <w:r>
        <w:rPr>
          <w:rFonts w:hint="default" w:ascii="Times New Roman" w:hAnsi="Times New Roman" w:cs="Times New Roman"/>
          <w:color w:val="auto"/>
          <w:kern w:val="2"/>
          <w:sz w:val="24"/>
          <w:szCs w:val="22"/>
          <w:highlight w:val="none"/>
          <w:lang w:val="en-US" w:eastAsia="zh-CN" w:bidi="ar-SA"/>
        </w:rPr>
        <w:t>中心地理坐标为:东经88°17′45″，北纬44°42′00″。</w:t>
      </w:r>
    </w:p>
    <w:p w14:paraId="7470BB0A">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（5）矿区面积：划定矿区范围面积矿区面积</w:t>
      </w:r>
      <w:r>
        <w:rPr>
          <w:rFonts w:hint="default" w:ascii="Times New Roman" w:hAnsi="Times New Roman" w:cs="Times New Roman"/>
          <w:color w:val="auto"/>
          <w:sz w:val="24"/>
          <w:szCs w:val="24"/>
          <w:highlight w:val="none"/>
          <w:lang w:eastAsia="zh-CN"/>
        </w:rPr>
        <w:t>1.0366</w:t>
      </w:r>
      <w:r>
        <w:rPr>
          <w:rFonts w:hint="default" w:ascii="Times New Roman" w:hAnsi="Times New Roman" w:cs="Times New Roman"/>
          <w:color w:val="auto"/>
          <w:sz w:val="24"/>
          <w:szCs w:val="24"/>
          <w:highlight w:val="none"/>
        </w:rPr>
        <w:t>km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w:t>
      </w:r>
    </w:p>
    <w:p w14:paraId="19FE11A3">
      <w:pPr>
        <w:spacing w:beforeLines="0" w:afterLines="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rPr>
        <w:t>（6）项目规模：开采规模为</w:t>
      </w:r>
      <w:r>
        <w:rPr>
          <w:rFonts w:hint="default" w:ascii="Times New Roman" w:hAnsi="Times New Roman" w:cs="Times New Roman"/>
          <w:color w:val="auto"/>
          <w:sz w:val="24"/>
          <w:szCs w:val="24"/>
          <w:highlight w:val="none"/>
          <w:lang w:val="en-US" w:eastAsia="zh-CN"/>
        </w:rPr>
        <w:t>80</w:t>
      </w:r>
      <w:r>
        <w:rPr>
          <w:rFonts w:hint="default" w:ascii="Times New Roman" w:hAnsi="Times New Roman" w:cs="Times New Roman"/>
          <w:color w:val="auto"/>
          <w:sz w:val="24"/>
          <w:szCs w:val="24"/>
          <w:highlight w:val="none"/>
        </w:rPr>
        <w:t>万t/a天然石英砂</w:t>
      </w:r>
      <w:r>
        <w:rPr>
          <w:rFonts w:hint="default" w:ascii="Times New Roman" w:hAnsi="Times New Roman" w:cs="Times New Roman"/>
          <w:color w:val="auto"/>
          <w:sz w:val="24"/>
          <w:szCs w:val="24"/>
          <w:highlight w:val="none"/>
          <w:lang w:eastAsia="zh-CN"/>
        </w:rPr>
        <w:t>；建设</w:t>
      </w:r>
      <w:r>
        <w:rPr>
          <w:rFonts w:hint="default" w:ascii="Times New Roman" w:hAnsi="Times New Roman" w:cs="Times New Roman"/>
          <w:color w:val="auto"/>
          <w:sz w:val="24"/>
          <w:szCs w:val="24"/>
          <w:highlight w:val="none"/>
          <w:lang w:val="en-US" w:eastAsia="zh-CN"/>
        </w:rPr>
        <w:t>80</w:t>
      </w:r>
      <w:r>
        <w:rPr>
          <w:rFonts w:hint="default" w:ascii="Times New Roman" w:hAnsi="Times New Roman" w:cs="Times New Roman"/>
          <w:color w:val="auto"/>
          <w:sz w:val="24"/>
          <w:szCs w:val="24"/>
          <w:highlight w:val="none"/>
          <w:lang w:eastAsia="zh-CN"/>
        </w:rPr>
        <w:t>万吨</w:t>
      </w:r>
      <w:r>
        <w:rPr>
          <w:rFonts w:hint="default" w:ascii="Times New Roman" w:hAnsi="Times New Roman" w:cs="Times New Roman"/>
          <w:color w:val="auto"/>
          <w:sz w:val="24"/>
          <w:szCs w:val="24"/>
          <w:highlight w:val="none"/>
          <w:lang w:val="en-US" w:eastAsia="zh-CN"/>
        </w:rPr>
        <w:t>石英砂</w:t>
      </w:r>
      <w:r>
        <w:rPr>
          <w:rFonts w:hint="default" w:ascii="Times New Roman" w:hAnsi="Times New Roman" w:cs="Times New Roman"/>
          <w:color w:val="auto"/>
          <w:sz w:val="24"/>
          <w:szCs w:val="24"/>
          <w:highlight w:val="none"/>
          <w:lang w:eastAsia="zh-CN"/>
        </w:rPr>
        <w:t>生产流水线一条(</w:t>
      </w:r>
      <w:r>
        <w:rPr>
          <w:rFonts w:hint="default" w:ascii="Times New Roman" w:hAnsi="Times New Roman" w:cs="Times New Roman"/>
          <w:color w:val="auto"/>
          <w:sz w:val="24"/>
          <w:szCs w:val="24"/>
          <w:highlight w:val="none"/>
          <w:lang w:val="en-US" w:eastAsia="zh-CN"/>
        </w:rPr>
        <w:t>初筛</w:t>
      </w:r>
      <w:r>
        <w:rPr>
          <w:rFonts w:hint="default" w:ascii="Times New Roman" w:hAnsi="Times New Roman" w:cs="Times New Roman"/>
          <w:color w:val="auto"/>
          <w:sz w:val="24"/>
          <w:szCs w:val="24"/>
          <w:highlight w:val="none"/>
          <w:lang w:eastAsia="zh-CN"/>
        </w:rPr>
        <w:t>、水洗、烘</w:t>
      </w:r>
      <w:r>
        <w:rPr>
          <w:rFonts w:hint="default" w:ascii="Times New Roman" w:hAnsi="Times New Roman" w:cs="Times New Roman"/>
          <w:color w:val="auto"/>
          <w:sz w:val="24"/>
          <w:szCs w:val="24"/>
          <w:highlight w:val="none"/>
          <w:lang w:val="en-US" w:eastAsia="zh-CN"/>
        </w:rPr>
        <w:t>干</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分级</w:t>
      </w:r>
      <w:r>
        <w:rPr>
          <w:rFonts w:hint="default" w:ascii="Times New Roman" w:hAnsi="Times New Roman" w:cs="Times New Roman"/>
          <w:color w:val="auto"/>
          <w:sz w:val="24"/>
          <w:szCs w:val="24"/>
          <w:highlight w:val="none"/>
          <w:lang w:eastAsia="zh-CN"/>
        </w:rPr>
        <w:t>)。</w:t>
      </w:r>
    </w:p>
    <w:p w14:paraId="440FB5E0">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（7）服务年限：矿山服务年限为</w:t>
      </w:r>
      <w:r>
        <w:rPr>
          <w:rFonts w:hint="default" w:ascii="Times New Roman" w:hAnsi="Times New Roman" w:cs="Times New Roman"/>
          <w:color w:val="auto"/>
          <w:sz w:val="24"/>
          <w:szCs w:val="24"/>
          <w:highlight w:val="none"/>
          <w:lang w:eastAsia="zh-CN"/>
        </w:rPr>
        <w:t>18.69</w:t>
      </w:r>
      <w:r>
        <w:rPr>
          <w:rFonts w:hint="default" w:ascii="Times New Roman" w:hAnsi="Times New Roman" w:cs="Times New Roman"/>
          <w:color w:val="auto"/>
          <w:sz w:val="24"/>
          <w:szCs w:val="24"/>
          <w:highlight w:val="none"/>
        </w:rPr>
        <w:t>年（</w:t>
      </w:r>
      <w:r>
        <w:rPr>
          <w:rFonts w:hint="default" w:ascii="Times New Roman" w:hAnsi="Times New Roman" w:cs="Times New Roman"/>
          <w:color w:val="auto"/>
          <w:sz w:val="24"/>
          <w:szCs w:val="24"/>
          <w:highlight w:val="none"/>
          <w:lang w:eastAsia="zh-CN"/>
        </w:rPr>
        <w:t>18年8个月</w:t>
      </w:r>
      <w:r>
        <w:rPr>
          <w:rFonts w:hint="default" w:ascii="Times New Roman" w:hAnsi="Times New Roman" w:cs="Times New Roman"/>
          <w:color w:val="auto"/>
          <w:sz w:val="24"/>
          <w:szCs w:val="24"/>
          <w:highlight w:val="none"/>
        </w:rPr>
        <w:t>）。</w:t>
      </w:r>
    </w:p>
    <w:p w14:paraId="3FE1356E">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（8）开采方式及开拓方案：矿山设计采用</w:t>
      </w:r>
      <w:r>
        <w:rPr>
          <w:rFonts w:hint="default" w:ascii="Times New Roman" w:hAnsi="Times New Roman" w:cs="Times New Roman"/>
          <w:color w:val="auto"/>
          <w:sz w:val="24"/>
          <w:szCs w:val="24"/>
          <w:highlight w:val="none"/>
          <w:lang w:eastAsia="zh-CN"/>
        </w:rPr>
        <w:t>山坡式露天开采</w:t>
      </w:r>
      <w:r>
        <w:rPr>
          <w:rFonts w:hint="default" w:ascii="Times New Roman" w:hAnsi="Times New Roman" w:cs="Times New Roman"/>
          <w:color w:val="auto"/>
          <w:sz w:val="24"/>
          <w:szCs w:val="24"/>
          <w:highlight w:val="none"/>
        </w:rPr>
        <w:t>，开拓方案为公路开拓汽车运输。</w:t>
      </w:r>
    </w:p>
    <w:p w14:paraId="72B2455E">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（9）采矿方法：自上而下水平分层、台阶式采矿方法。</w:t>
      </w:r>
    </w:p>
    <w:p w14:paraId="2EEB0359">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（10）项目投资：</w:t>
      </w:r>
      <w:r>
        <w:rPr>
          <w:rFonts w:hint="default" w:ascii="Times New Roman" w:hAnsi="Times New Roman" w:cs="Times New Roman"/>
          <w:color w:val="auto"/>
          <w:sz w:val="24"/>
          <w:szCs w:val="24"/>
          <w:highlight w:val="none"/>
          <w:lang w:val="en-US" w:eastAsia="zh-CN"/>
        </w:rPr>
        <w:t>本项目</w:t>
      </w:r>
      <w:r>
        <w:rPr>
          <w:rFonts w:hint="default" w:ascii="Times New Roman" w:hAnsi="Times New Roman" w:cs="Times New Roman"/>
          <w:color w:val="auto"/>
          <w:sz w:val="24"/>
          <w:szCs w:val="24"/>
          <w:highlight w:val="none"/>
        </w:rPr>
        <w:t>总投资</w:t>
      </w:r>
      <w:r>
        <w:rPr>
          <w:rFonts w:hint="default" w:ascii="Times New Roman" w:hAnsi="Times New Roman" w:cs="Times New Roman"/>
          <w:color w:val="auto"/>
          <w:sz w:val="24"/>
          <w:szCs w:val="24"/>
          <w:highlight w:val="none"/>
          <w:lang w:eastAsia="zh-CN"/>
        </w:rPr>
        <w:t>6681.82</w:t>
      </w:r>
      <w:r>
        <w:rPr>
          <w:rFonts w:hint="default" w:ascii="Times New Roman" w:hAnsi="Times New Roman" w:cs="Times New Roman"/>
          <w:color w:val="auto"/>
          <w:sz w:val="24"/>
          <w:szCs w:val="24"/>
          <w:highlight w:val="none"/>
        </w:rPr>
        <w:t>万元，全部由企业自筹解决。</w:t>
      </w:r>
    </w:p>
    <w:p w14:paraId="4B5B257D">
      <w:pPr>
        <w:spacing w:beforeLines="0" w:afterLines="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rPr>
        <w:t>（11）项目劳动定员及工作制度：</w:t>
      </w:r>
      <w:r>
        <w:rPr>
          <w:rFonts w:hint="default" w:ascii="Times New Roman" w:hAnsi="Times New Roman" w:cs="Times New Roman"/>
          <w:color w:val="FF0000"/>
          <w:sz w:val="24"/>
          <w:szCs w:val="24"/>
          <w:highlight w:val="none"/>
        </w:rPr>
        <w:t>项目劳动定员为</w:t>
      </w:r>
      <w:r>
        <w:rPr>
          <w:rFonts w:hint="default" w:ascii="Times New Roman" w:hAnsi="Times New Roman" w:cs="Times New Roman"/>
          <w:color w:val="FF0000"/>
          <w:sz w:val="24"/>
          <w:szCs w:val="24"/>
          <w:highlight w:val="none"/>
          <w:lang w:val="en-US" w:eastAsia="zh-CN"/>
        </w:rPr>
        <w:t>32</w:t>
      </w:r>
      <w:r>
        <w:rPr>
          <w:rFonts w:hint="default" w:ascii="Times New Roman" w:hAnsi="Times New Roman" w:cs="Times New Roman"/>
          <w:color w:val="FF0000"/>
          <w:sz w:val="24"/>
          <w:szCs w:val="24"/>
          <w:highlight w:val="none"/>
        </w:rPr>
        <w:t>人，年工作</w:t>
      </w:r>
      <w:r>
        <w:rPr>
          <w:rFonts w:hint="default" w:ascii="Times New Roman" w:hAnsi="Times New Roman" w:cs="Times New Roman"/>
          <w:color w:val="FF0000"/>
          <w:sz w:val="24"/>
          <w:szCs w:val="24"/>
          <w:highlight w:val="none"/>
          <w:lang w:val="en-US" w:eastAsia="zh-CN"/>
        </w:rPr>
        <w:t>300</w:t>
      </w:r>
      <w:r>
        <w:rPr>
          <w:rFonts w:hint="default" w:ascii="Times New Roman" w:hAnsi="Times New Roman" w:cs="Times New Roman"/>
          <w:color w:val="FF0000"/>
          <w:sz w:val="24"/>
          <w:szCs w:val="24"/>
          <w:highlight w:val="none"/>
        </w:rPr>
        <w:t>天，每天</w:t>
      </w:r>
      <w:r>
        <w:rPr>
          <w:rFonts w:hint="default" w:ascii="Times New Roman" w:hAnsi="Times New Roman" w:cs="Times New Roman"/>
          <w:color w:val="FF0000"/>
          <w:sz w:val="24"/>
          <w:szCs w:val="24"/>
          <w:highlight w:val="none"/>
          <w:lang w:val="en-US" w:eastAsia="zh-CN"/>
        </w:rPr>
        <w:t>2</w:t>
      </w:r>
      <w:r>
        <w:rPr>
          <w:rFonts w:hint="default" w:ascii="Times New Roman" w:hAnsi="Times New Roman" w:cs="Times New Roman"/>
          <w:color w:val="FF0000"/>
          <w:sz w:val="24"/>
          <w:szCs w:val="24"/>
          <w:highlight w:val="none"/>
        </w:rPr>
        <w:t>班，每班8小时</w:t>
      </w:r>
      <w:r>
        <w:rPr>
          <w:rFonts w:hint="default" w:ascii="Times New Roman" w:hAnsi="Times New Roman" w:cs="Times New Roman"/>
          <w:color w:val="FF0000"/>
          <w:sz w:val="24"/>
          <w:szCs w:val="24"/>
          <w:highlight w:val="none"/>
          <w:lang w:eastAsia="zh-CN"/>
        </w:rPr>
        <w:t>。</w:t>
      </w:r>
    </w:p>
    <w:p w14:paraId="38027067">
      <w:pPr>
        <w:pStyle w:val="3"/>
        <w:bidi w:val="0"/>
        <w:rPr>
          <w:rFonts w:hint="default"/>
        </w:rPr>
      </w:pPr>
      <w:bookmarkStart w:id="108" w:name="bookmark16"/>
      <w:bookmarkEnd w:id="108"/>
      <w:bookmarkStart w:id="109" w:name="3.2工程组成"/>
      <w:bookmarkEnd w:id="109"/>
      <w:bookmarkStart w:id="110" w:name="_Toc23174"/>
      <w:bookmarkStart w:id="111" w:name="_Toc25593"/>
      <w:r>
        <w:rPr>
          <w:rFonts w:hint="default"/>
        </w:rPr>
        <w:t>工程组成</w:t>
      </w:r>
      <w:bookmarkEnd w:id="110"/>
      <w:bookmarkEnd w:id="111"/>
    </w:p>
    <w:p w14:paraId="3B91C9AB">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本项目矿区面积</w:t>
      </w:r>
      <w:r>
        <w:rPr>
          <w:rFonts w:hint="default" w:ascii="Times New Roman" w:hAnsi="Times New Roman" w:cs="Times New Roman"/>
          <w:color w:val="auto"/>
          <w:sz w:val="24"/>
          <w:szCs w:val="24"/>
          <w:highlight w:val="none"/>
          <w:lang w:eastAsia="zh-CN"/>
        </w:rPr>
        <w:t>1.0366km</w:t>
      </w:r>
      <w:r>
        <w:rPr>
          <w:rFonts w:hint="default" w:ascii="Times New Roman" w:hAnsi="Times New Roman" w:cs="Times New Roman"/>
          <w:color w:val="auto"/>
          <w:sz w:val="24"/>
          <w:szCs w:val="24"/>
          <w:highlight w:val="none"/>
          <w:vertAlign w:val="superscript"/>
          <w:lang w:eastAsia="zh-CN"/>
        </w:rPr>
        <w:t>2</w:t>
      </w:r>
      <w:r>
        <w:rPr>
          <w:rFonts w:hint="default" w:ascii="Times New Roman" w:hAnsi="Times New Roman" w:cs="Times New Roman"/>
          <w:color w:val="auto"/>
          <w:sz w:val="24"/>
          <w:szCs w:val="24"/>
          <w:highlight w:val="none"/>
        </w:rPr>
        <w:t>，设1座露天采矿场，主要进行天然石英砂矿开采，年产天然石英砂</w:t>
      </w:r>
      <w:r>
        <w:rPr>
          <w:rFonts w:hint="default" w:ascii="Times New Roman" w:hAnsi="Times New Roman" w:cs="Times New Roman"/>
          <w:color w:val="auto"/>
          <w:sz w:val="24"/>
          <w:szCs w:val="24"/>
          <w:highlight w:val="none"/>
          <w:lang w:val="en-US" w:eastAsia="zh-CN"/>
        </w:rPr>
        <w:t>80</w:t>
      </w:r>
      <w:r>
        <w:rPr>
          <w:rFonts w:hint="default" w:ascii="Times New Roman" w:hAnsi="Times New Roman" w:cs="Times New Roman"/>
          <w:color w:val="auto"/>
          <w:sz w:val="24"/>
          <w:szCs w:val="24"/>
          <w:highlight w:val="none"/>
        </w:rPr>
        <w:t>万t。项目配套设置一条</w:t>
      </w:r>
      <w:r>
        <w:rPr>
          <w:rFonts w:hint="default" w:ascii="Times New Roman" w:hAnsi="Times New Roman" w:cs="Times New Roman"/>
          <w:color w:val="auto"/>
          <w:sz w:val="24"/>
          <w:szCs w:val="24"/>
          <w:highlight w:val="none"/>
          <w:lang w:val="en-US" w:eastAsia="zh-CN"/>
        </w:rPr>
        <w:t>石英砂</w:t>
      </w:r>
      <w:r>
        <w:rPr>
          <w:rFonts w:hint="default" w:ascii="Times New Roman" w:hAnsi="Times New Roman" w:cs="Times New Roman"/>
          <w:color w:val="auto"/>
          <w:sz w:val="24"/>
          <w:szCs w:val="24"/>
          <w:highlight w:val="none"/>
          <w:lang w:eastAsia="zh-CN"/>
        </w:rPr>
        <w:t>生产流水线一条</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初筛</w:t>
      </w:r>
      <w:r>
        <w:rPr>
          <w:rFonts w:hint="default" w:ascii="Times New Roman" w:hAnsi="Times New Roman" w:cs="Times New Roman"/>
          <w:color w:val="auto"/>
          <w:sz w:val="24"/>
          <w:szCs w:val="24"/>
          <w:highlight w:val="none"/>
          <w:lang w:eastAsia="zh-CN"/>
        </w:rPr>
        <w:t>、水洗、烘</w:t>
      </w:r>
      <w:r>
        <w:rPr>
          <w:rFonts w:hint="default" w:ascii="Times New Roman" w:hAnsi="Times New Roman" w:cs="Times New Roman"/>
          <w:color w:val="auto"/>
          <w:sz w:val="24"/>
          <w:szCs w:val="24"/>
          <w:highlight w:val="none"/>
          <w:lang w:val="en-US" w:eastAsia="zh-CN"/>
        </w:rPr>
        <w:t>干</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分级</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，并设有矿区配套辅助工程</w:t>
      </w:r>
      <w:r>
        <w:rPr>
          <w:rFonts w:hint="eastAsia" w:cs="Times New Roman"/>
          <w:color w:val="auto"/>
          <w:sz w:val="24"/>
          <w:szCs w:val="24"/>
          <w:highlight w:val="none"/>
          <w:lang w:eastAsia="zh-CN"/>
        </w:rPr>
        <w:t>，</w:t>
      </w:r>
      <w:r>
        <w:rPr>
          <w:rFonts w:hint="eastAsia" w:ascii="Times New Roman" w:hAnsi="Times New Roman" w:eastAsia="宋体" w:cs="Times New Roman"/>
          <w:color w:val="0000FF"/>
          <w:highlight w:val="none"/>
          <w:lang w:val="en-US" w:eastAsia="zh-CN"/>
        </w:rPr>
        <w:t>烘干采用热源为电的气力烘干机。</w:t>
      </w:r>
      <w:r>
        <w:rPr>
          <w:rFonts w:hint="default" w:ascii="Times New Roman" w:hAnsi="Times New Roman" w:cs="Times New Roman"/>
          <w:color w:val="auto"/>
          <w:sz w:val="24"/>
          <w:szCs w:val="24"/>
          <w:highlight w:val="none"/>
        </w:rPr>
        <w:t>项目主要工程内容见表3.2-1，经济技术指标见表3.2-2。</w:t>
      </w:r>
    </w:p>
    <w:p w14:paraId="25A252BE">
      <w:pPr>
        <w:pStyle w:val="45"/>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表3.2-1</w:t>
      </w:r>
      <w:r>
        <w:rPr>
          <w:rFonts w:hint="default" w:ascii="Times New Roman" w:hAnsi="Times New Roman" w:cs="Times New Roman"/>
          <w:color w:val="auto"/>
          <w:sz w:val="24"/>
          <w:szCs w:val="24"/>
          <w:highlight w:val="none"/>
        </w:rPr>
        <w:tab/>
      </w:r>
      <w:r>
        <w:rPr>
          <w:rFonts w:hint="default" w:ascii="Times New Roman" w:hAnsi="Times New Roman" w:cs="Times New Roman"/>
          <w:color w:val="auto"/>
          <w:sz w:val="24"/>
          <w:szCs w:val="24"/>
          <w:highlight w:val="none"/>
        </w:rPr>
        <w:t>项目组成一览表</w:t>
      </w:r>
    </w:p>
    <w:tbl>
      <w:tblPr>
        <w:tblStyle w:val="31"/>
        <w:tblW w:w="9167" w:type="dxa"/>
        <w:tblInd w:w="2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5"/>
        <w:gridCol w:w="1722"/>
        <w:gridCol w:w="5319"/>
        <w:gridCol w:w="1171"/>
      </w:tblGrid>
      <w:tr w14:paraId="14C5E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55" w:type="dxa"/>
            <w:tcBorders>
              <w:top w:val="single" w:color="auto" w:sz="4" w:space="0"/>
              <w:left w:val="single" w:color="auto" w:sz="4" w:space="0"/>
              <w:bottom w:val="single" w:color="auto" w:sz="4" w:space="0"/>
              <w:right w:val="single" w:color="auto" w:sz="4" w:space="0"/>
              <w:tl2br w:val="nil"/>
              <w:tr2bl w:val="nil"/>
            </w:tcBorders>
            <w:noWrap w:val="0"/>
            <w:vAlign w:val="top"/>
          </w:tcPr>
          <w:p w14:paraId="5E29A884">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分类</w:t>
            </w:r>
          </w:p>
        </w:tc>
        <w:tc>
          <w:tcPr>
            <w:tcW w:w="1722" w:type="dxa"/>
            <w:tcBorders>
              <w:top w:val="single" w:color="auto" w:sz="4" w:space="0"/>
              <w:left w:val="single" w:color="auto" w:sz="4" w:space="0"/>
              <w:bottom w:val="single" w:color="auto" w:sz="4" w:space="0"/>
              <w:right w:val="single" w:color="auto" w:sz="4" w:space="0"/>
              <w:tl2br w:val="nil"/>
              <w:tr2bl w:val="nil"/>
            </w:tcBorders>
            <w:noWrap w:val="0"/>
            <w:vAlign w:val="top"/>
          </w:tcPr>
          <w:p w14:paraId="51CA852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工程名称</w:t>
            </w:r>
          </w:p>
        </w:tc>
        <w:tc>
          <w:tcPr>
            <w:tcW w:w="5319" w:type="dxa"/>
            <w:tcBorders>
              <w:top w:val="single" w:color="auto" w:sz="4" w:space="0"/>
              <w:left w:val="single" w:color="auto" w:sz="4" w:space="0"/>
              <w:bottom w:val="single" w:color="auto" w:sz="4" w:space="0"/>
              <w:right w:val="single" w:color="auto" w:sz="4" w:space="0"/>
              <w:tl2br w:val="nil"/>
              <w:tr2bl w:val="nil"/>
            </w:tcBorders>
            <w:noWrap w:val="0"/>
            <w:vAlign w:val="top"/>
          </w:tcPr>
          <w:p w14:paraId="5E36D6DC">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本项目工程内容</w:t>
            </w:r>
          </w:p>
        </w:tc>
        <w:tc>
          <w:tcPr>
            <w:tcW w:w="117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9EA678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备注</w:t>
            </w:r>
          </w:p>
        </w:tc>
      </w:tr>
      <w:tr w14:paraId="227F6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55" w:type="dxa"/>
            <w:vMerge w:val="restart"/>
            <w:tcBorders>
              <w:top w:val="single" w:color="auto" w:sz="4" w:space="0"/>
              <w:left w:val="single" w:color="auto" w:sz="4" w:space="0"/>
              <w:bottom w:val="single" w:color="auto" w:sz="4" w:space="0"/>
              <w:right w:val="single" w:color="auto" w:sz="4" w:space="0"/>
              <w:tl2br w:val="nil"/>
              <w:tr2bl w:val="nil"/>
            </w:tcBorders>
            <w:noWrap w:val="0"/>
            <w:vAlign w:val="top"/>
          </w:tcPr>
          <w:p w14:paraId="3F7BEAF3">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主体工程</w:t>
            </w:r>
          </w:p>
        </w:tc>
        <w:tc>
          <w:tcPr>
            <w:tcW w:w="1722" w:type="dxa"/>
            <w:tcBorders>
              <w:top w:val="single" w:color="auto" w:sz="4" w:space="0"/>
              <w:left w:val="single" w:color="auto" w:sz="4" w:space="0"/>
              <w:bottom w:val="single" w:color="auto" w:sz="4" w:space="0"/>
              <w:right w:val="single" w:color="auto" w:sz="4" w:space="0"/>
              <w:tl2br w:val="nil"/>
              <w:tr2bl w:val="nil"/>
            </w:tcBorders>
            <w:noWrap w:val="0"/>
            <w:vAlign w:val="top"/>
          </w:tcPr>
          <w:p w14:paraId="178224CD">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露天采场</w:t>
            </w:r>
          </w:p>
        </w:tc>
        <w:tc>
          <w:tcPr>
            <w:tcW w:w="5319" w:type="dxa"/>
            <w:tcBorders>
              <w:top w:val="single" w:color="auto" w:sz="4" w:space="0"/>
              <w:left w:val="single" w:color="auto" w:sz="4" w:space="0"/>
              <w:bottom w:val="single" w:color="auto" w:sz="4" w:space="0"/>
              <w:right w:val="single" w:color="auto" w:sz="4" w:space="0"/>
              <w:tl2br w:val="nil"/>
              <w:tr2bl w:val="nil"/>
            </w:tcBorders>
            <w:noWrap w:val="0"/>
            <w:vAlign w:val="top"/>
          </w:tcPr>
          <w:p w14:paraId="7B67C9B1">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矿区范围为</w:t>
            </w:r>
            <w:r>
              <w:rPr>
                <w:rFonts w:hint="default" w:ascii="Times New Roman" w:hAnsi="Times New Roman" w:cs="Times New Roman"/>
                <w:color w:val="auto"/>
                <w:sz w:val="24"/>
                <w:szCs w:val="24"/>
                <w:highlight w:val="none"/>
                <w:lang w:eastAsia="zh-CN"/>
              </w:rPr>
              <w:t>1.0366km</w:t>
            </w:r>
            <w:r>
              <w:rPr>
                <w:rFonts w:hint="default" w:ascii="Times New Roman" w:hAnsi="Times New Roman" w:cs="Times New Roman"/>
                <w:color w:val="auto"/>
                <w:sz w:val="24"/>
                <w:szCs w:val="24"/>
                <w:highlight w:val="none"/>
                <w:vertAlign w:val="superscript"/>
                <w:lang w:eastAsia="zh-CN"/>
              </w:rPr>
              <w:t>2</w:t>
            </w:r>
            <w:r>
              <w:rPr>
                <w:rFonts w:hint="default" w:ascii="Times New Roman" w:hAnsi="Times New Roman" w:cs="Times New Roman"/>
                <w:color w:val="auto"/>
                <w:sz w:val="24"/>
                <w:szCs w:val="24"/>
                <w:highlight w:val="none"/>
              </w:rPr>
              <w:t>。全矿设1个露天采矿场</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山坡</w:t>
            </w:r>
            <w:r>
              <w:rPr>
                <w:rFonts w:hint="default" w:ascii="Times New Roman" w:hAnsi="Times New Roman" w:cs="Times New Roman"/>
                <w:color w:val="auto"/>
                <w:sz w:val="24"/>
                <w:szCs w:val="24"/>
                <w:highlight w:val="none"/>
                <w:lang w:val="en-US" w:eastAsia="zh-CN"/>
              </w:rPr>
              <w:t>式</w:t>
            </w:r>
            <w:r>
              <w:rPr>
                <w:rFonts w:hint="default" w:ascii="Times New Roman" w:hAnsi="Times New Roman" w:cs="Times New Roman"/>
                <w:color w:val="auto"/>
                <w:sz w:val="24"/>
                <w:szCs w:val="24"/>
                <w:highlight w:val="none"/>
              </w:rPr>
              <w:t>露天开采方式，自上而下水平分层、台阶式采矿方法，开采标高为</w:t>
            </w:r>
            <w:r>
              <w:rPr>
                <w:rFonts w:hint="default" w:ascii="Times New Roman" w:hAnsi="Times New Roman" w:cs="Times New Roman"/>
                <w:color w:val="auto"/>
                <w:sz w:val="24"/>
                <w:szCs w:val="24"/>
                <w:highlight w:val="none"/>
                <w:lang w:eastAsia="zh-CN"/>
              </w:rPr>
              <w:t>623～585</w:t>
            </w:r>
            <w:r>
              <w:rPr>
                <w:rFonts w:hint="default" w:ascii="Times New Roman" w:hAnsi="Times New Roman" w:cs="Times New Roman"/>
                <w:color w:val="auto"/>
                <w:sz w:val="24"/>
                <w:szCs w:val="24"/>
                <w:highlight w:val="none"/>
              </w:rPr>
              <w:t>米，共设4个最终台阶，共设</w:t>
            </w:r>
            <w:r>
              <w:rPr>
                <w:rFonts w:hint="default" w:ascii="Times New Roman" w:hAnsi="Times New Roman" w:cs="Times New Roman"/>
                <w:color w:val="auto"/>
                <w:sz w:val="24"/>
                <w:szCs w:val="24"/>
                <w:highlight w:val="none"/>
                <w:lang w:eastAsia="zh-CN"/>
              </w:rPr>
              <w:t>615m，605m，595m，585m</w:t>
            </w:r>
            <w:r>
              <w:rPr>
                <w:rFonts w:hint="default" w:ascii="Times New Roman" w:hAnsi="Times New Roman" w:cs="Times New Roman"/>
                <w:color w:val="auto"/>
                <w:sz w:val="24"/>
                <w:szCs w:val="24"/>
                <w:highlight w:val="none"/>
                <w:lang w:val="en-US" w:eastAsia="zh-CN"/>
              </w:rPr>
              <w:t>四</w:t>
            </w:r>
            <w:r>
              <w:rPr>
                <w:rFonts w:hint="default" w:ascii="Times New Roman" w:hAnsi="Times New Roman" w:cs="Times New Roman"/>
                <w:color w:val="auto"/>
                <w:sz w:val="24"/>
                <w:szCs w:val="24"/>
                <w:highlight w:val="none"/>
                <w:lang w:eastAsia="zh-CN"/>
              </w:rPr>
              <w:t>个台阶</w:t>
            </w:r>
            <w:r>
              <w:rPr>
                <w:rFonts w:hint="default" w:ascii="Times New Roman" w:hAnsi="Times New Roman" w:cs="Times New Roman"/>
                <w:color w:val="auto"/>
                <w:sz w:val="24"/>
                <w:szCs w:val="24"/>
                <w:highlight w:val="none"/>
              </w:rPr>
              <w:t>，最高开采水平</w:t>
            </w:r>
            <w:r>
              <w:rPr>
                <w:rFonts w:hint="default" w:ascii="Times New Roman" w:hAnsi="Times New Roman" w:cs="Times New Roman"/>
                <w:color w:val="auto"/>
                <w:sz w:val="24"/>
                <w:szCs w:val="24"/>
                <w:highlight w:val="none"/>
                <w:lang w:eastAsia="zh-CN"/>
              </w:rPr>
              <w:t>623</w:t>
            </w:r>
            <w:r>
              <w:rPr>
                <w:rFonts w:hint="default" w:ascii="Times New Roman" w:hAnsi="Times New Roman" w:cs="Times New Roman"/>
                <w:color w:val="auto"/>
                <w:sz w:val="24"/>
                <w:szCs w:val="24"/>
                <w:highlight w:val="none"/>
              </w:rPr>
              <w:t>米，最低开采水平</w:t>
            </w:r>
            <w:r>
              <w:rPr>
                <w:rFonts w:hint="default" w:ascii="Times New Roman" w:hAnsi="Times New Roman" w:cs="Times New Roman"/>
                <w:color w:val="auto"/>
                <w:sz w:val="24"/>
                <w:szCs w:val="24"/>
                <w:highlight w:val="none"/>
                <w:lang w:eastAsia="zh-CN"/>
              </w:rPr>
              <w:t>585</w:t>
            </w:r>
            <w:r>
              <w:rPr>
                <w:rFonts w:hint="default" w:ascii="Times New Roman" w:hAnsi="Times New Roman" w:cs="Times New Roman"/>
                <w:color w:val="auto"/>
                <w:sz w:val="24"/>
                <w:szCs w:val="24"/>
                <w:highlight w:val="none"/>
              </w:rPr>
              <w:t>米。</w:t>
            </w:r>
          </w:p>
        </w:tc>
        <w:tc>
          <w:tcPr>
            <w:tcW w:w="117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6B44DD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新建</w:t>
            </w:r>
          </w:p>
        </w:tc>
      </w:tr>
      <w:tr w14:paraId="34DC8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55" w:type="dxa"/>
            <w:vMerge w:val="continue"/>
            <w:tcBorders>
              <w:top w:val="single" w:color="auto" w:sz="4" w:space="0"/>
              <w:left w:val="single" w:color="auto" w:sz="4" w:space="0"/>
              <w:bottom w:val="single" w:color="auto" w:sz="4" w:space="0"/>
              <w:right w:val="single" w:color="auto" w:sz="4" w:space="0"/>
              <w:tl2br w:val="nil"/>
              <w:tr2bl w:val="nil"/>
            </w:tcBorders>
            <w:noWrap w:val="0"/>
            <w:vAlign w:val="top"/>
          </w:tcPr>
          <w:p w14:paraId="7391E250">
            <w:pPr>
              <w:pStyle w:val="48"/>
              <w:spacing w:beforeLines="0" w:afterLines="0"/>
              <w:rPr>
                <w:rFonts w:hint="default" w:ascii="Times New Roman" w:hAnsi="Times New Roman" w:cs="Times New Roman"/>
                <w:color w:val="auto"/>
                <w:sz w:val="24"/>
                <w:szCs w:val="24"/>
                <w:highlight w:val="none"/>
              </w:rPr>
            </w:pPr>
          </w:p>
        </w:tc>
        <w:tc>
          <w:tcPr>
            <w:tcW w:w="1722" w:type="dxa"/>
            <w:tcBorders>
              <w:top w:val="single" w:color="auto" w:sz="4" w:space="0"/>
              <w:left w:val="single" w:color="auto" w:sz="4" w:space="0"/>
              <w:bottom w:val="single" w:color="auto" w:sz="4" w:space="0"/>
              <w:right w:val="single" w:color="auto" w:sz="4" w:space="0"/>
              <w:tl2br w:val="nil"/>
              <w:tr2bl w:val="nil"/>
            </w:tcBorders>
            <w:noWrap w:val="0"/>
            <w:vAlign w:val="top"/>
          </w:tcPr>
          <w:p w14:paraId="7C994EDB">
            <w:pPr>
              <w:pStyle w:val="48"/>
              <w:spacing w:beforeLines="0" w:afterLines="0"/>
              <w:rPr>
                <w:rFonts w:hint="default" w:ascii="Times New Roman" w:hAnsi="Times New Roman" w:cs="Times New Roman"/>
                <w:color w:val="FF0000"/>
                <w:sz w:val="24"/>
                <w:szCs w:val="24"/>
                <w:highlight w:val="none"/>
                <w:lang w:eastAsia="zh-CN"/>
              </w:rPr>
            </w:pPr>
            <w:r>
              <w:rPr>
                <w:rFonts w:hint="default" w:ascii="Times New Roman" w:hAnsi="Times New Roman" w:cs="Times New Roman"/>
                <w:color w:val="FF0000"/>
                <w:sz w:val="24"/>
                <w:szCs w:val="24"/>
                <w:highlight w:val="none"/>
                <w:lang w:val="en-US" w:eastAsia="zh-CN"/>
              </w:rPr>
              <w:t>工业广场</w:t>
            </w:r>
          </w:p>
        </w:tc>
        <w:tc>
          <w:tcPr>
            <w:tcW w:w="5319" w:type="dxa"/>
            <w:tcBorders>
              <w:top w:val="single" w:color="auto" w:sz="4" w:space="0"/>
              <w:left w:val="single" w:color="auto" w:sz="4" w:space="0"/>
              <w:bottom w:val="single" w:color="auto" w:sz="4" w:space="0"/>
              <w:right w:val="single" w:color="auto" w:sz="4" w:space="0"/>
              <w:tl2br w:val="nil"/>
              <w:tr2bl w:val="nil"/>
            </w:tcBorders>
            <w:noWrap w:val="0"/>
            <w:vAlign w:val="top"/>
          </w:tcPr>
          <w:p w14:paraId="7B8C2317">
            <w:pPr>
              <w:pStyle w:val="48"/>
              <w:spacing w:beforeLines="0" w:afterLines="0"/>
              <w:rPr>
                <w:rFonts w:hint="default" w:ascii="Times New Roman" w:hAnsi="Times New Roman" w:cs="Times New Roman"/>
                <w:color w:val="FF0000"/>
                <w:sz w:val="24"/>
                <w:szCs w:val="24"/>
                <w:highlight w:val="none"/>
                <w:lang w:val="en-US" w:eastAsia="zh-CN"/>
              </w:rPr>
            </w:pPr>
            <w:r>
              <w:rPr>
                <w:rFonts w:hint="default" w:ascii="Times New Roman" w:hAnsi="Times New Roman" w:cs="Times New Roman"/>
                <w:color w:val="FF0000"/>
                <w:sz w:val="24"/>
                <w:szCs w:val="24"/>
                <w:highlight w:val="none"/>
              </w:rPr>
              <w:t>全矿区设置</w:t>
            </w:r>
            <w:r>
              <w:rPr>
                <w:rFonts w:hint="default" w:ascii="Times New Roman" w:hAnsi="Times New Roman" w:cs="Times New Roman"/>
                <w:color w:val="FF0000"/>
                <w:sz w:val="24"/>
                <w:szCs w:val="24"/>
                <w:highlight w:val="none"/>
                <w:lang w:val="en-US" w:eastAsia="zh-CN"/>
              </w:rPr>
              <w:t>1</w:t>
            </w:r>
            <w:r>
              <w:rPr>
                <w:rFonts w:hint="default" w:ascii="Times New Roman" w:hAnsi="Times New Roman" w:cs="Times New Roman"/>
                <w:color w:val="FF0000"/>
                <w:sz w:val="24"/>
                <w:szCs w:val="24"/>
                <w:highlight w:val="none"/>
              </w:rPr>
              <w:t>个</w:t>
            </w:r>
            <w:r>
              <w:rPr>
                <w:rFonts w:hint="default" w:ascii="Times New Roman" w:hAnsi="Times New Roman" w:cs="Times New Roman"/>
                <w:color w:val="FF0000"/>
                <w:sz w:val="24"/>
                <w:szCs w:val="24"/>
                <w:highlight w:val="none"/>
                <w:lang w:val="en-US" w:eastAsia="zh-CN"/>
              </w:rPr>
              <w:t>工业广场，</w:t>
            </w:r>
            <w:r>
              <w:rPr>
                <w:rFonts w:hint="default" w:ascii="Times New Roman" w:hAnsi="Times New Roman" w:cs="Times New Roman"/>
                <w:color w:val="FF0000"/>
                <w:sz w:val="24"/>
                <w:szCs w:val="24"/>
                <w:highlight w:val="none"/>
              </w:rPr>
              <w:t>占地面积为</w:t>
            </w:r>
            <w:r>
              <w:rPr>
                <w:rFonts w:hint="default" w:ascii="Times New Roman" w:hAnsi="Times New Roman" w:cs="Times New Roman"/>
                <w:color w:val="FF0000"/>
                <w:sz w:val="24"/>
                <w:szCs w:val="24"/>
                <w:highlight w:val="none"/>
                <w:lang w:val="en-US" w:eastAsia="zh-CN"/>
              </w:rPr>
              <w:t>20000</w:t>
            </w:r>
            <w:r>
              <w:rPr>
                <w:rFonts w:hint="default" w:ascii="Times New Roman" w:hAnsi="Times New Roman" w:cs="Times New Roman"/>
                <w:color w:val="FF0000"/>
                <w:sz w:val="24"/>
                <w:szCs w:val="24"/>
                <w:highlight w:val="none"/>
              </w:rPr>
              <w:t>m</w:t>
            </w:r>
            <w:r>
              <w:rPr>
                <w:rFonts w:hint="default" w:ascii="Times New Roman" w:hAnsi="Times New Roman" w:cs="Times New Roman"/>
                <w:color w:val="FF0000"/>
                <w:sz w:val="24"/>
                <w:szCs w:val="24"/>
                <w:highlight w:val="none"/>
                <w:vertAlign w:val="superscript"/>
              </w:rPr>
              <w:t>2</w:t>
            </w:r>
            <w:r>
              <w:rPr>
                <w:rFonts w:hint="default" w:ascii="Times New Roman" w:hAnsi="Times New Roman" w:cs="Times New Roman"/>
                <w:color w:val="FF0000"/>
                <w:sz w:val="24"/>
                <w:szCs w:val="24"/>
                <w:highlight w:val="none"/>
                <w:lang w:eastAsia="zh-CN"/>
              </w:rPr>
              <w:t>，</w:t>
            </w:r>
            <w:r>
              <w:rPr>
                <w:rFonts w:hint="default" w:ascii="Times New Roman" w:hAnsi="Times New Roman" w:cs="Times New Roman"/>
                <w:color w:val="FF0000"/>
                <w:sz w:val="24"/>
                <w:szCs w:val="24"/>
                <w:highlight w:val="none"/>
                <w:lang w:val="en-US" w:eastAsia="zh-CN"/>
              </w:rPr>
              <w:t>厂房建筑面积1500m</w:t>
            </w:r>
            <w:r>
              <w:rPr>
                <w:rFonts w:hint="default" w:ascii="Times New Roman" w:hAnsi="Times New Roman" w:cs="Times New Roman"/>
                <w:color w:val="FF0000"/>
                <w:sz w:val="24"/>
                <w:szCs w:val="24"/>
                <w:highlight w:val="none"/>
                <w:vertAlign w:val="superscript"/>
                <w:lang w:val="en-US" w:eastAsia="zh-CN"/>
              </w:rPr>
              <w:t>2</w:t>
            </w:r>
            <w:r>
              <w:rPr>
                <w:rFonts w:hint="default" w:ascii="Times New Roman" w:hAnsi="Times New Roman" w:cs="Times New Roman"/>
                <w:color w:val="FF0000"/>
                <w:sz w:val="24"/>
                <w:szCs w:val="24"/>
                <w:highlight w:val="none"/>
                <w:lang w:val="en-US" w:eastAsia="zh-CN"/>
              </w:rPr>
              <w:t>，生活用房建筑面积3000m</w:t>
            </w:r>
            <w:r>
              <w:rPr>
                <w:rFonts w:hint="default" w:ascii="Times New Roman" w:hAnsi="Times New Roman" w:cs="Times New Roman"/>
                <w:color w:val="FF0000"/>
                <w:sz w:val="24"/>
                <w:szCs w:val="24"/>
                <w:highlight w:val="none"/>
                <w:vertAlign w:val="superscript"/>
                <w:lang w:val="en-US" w:eastAsia="zh-CN"/>
              </w:rPr>
              <w:t>2</w:t>
            </w:r>
            <w:r>
              <w:rPr>
                <w:rFonts w:hint="default" w:ascii="Times New Roman" w:hAnsi="Times New Roman" w:cs="Times New Roman"/>
                <w:color w:val="FF0000"/>
                <w:sz w:val="24"/>
                <w:szCs w:val="24"/>
                <w:highlight w:val="none"/>
                <w:vertAlign w:val="baseline"/>
                <w:lang w:val="en-US" w:eastAsia="zh-CN"/>
              </w:rPr>
              <w:t>，地磅房100m</w:t>
            </w:r>
            <w:r>
              <w:rPr>
                <w:rFonts w:hint="default" w:ascii="Times New Roman" w:hAnsi="Times New Roman" w:cs="Times New Roman"/>
                <w:color w:val="FF0000"/>
                <w:sz w:val="24"/>
                <w:szCs w:val="24"/>
                <w:highlight w:val="none"/>
                <w:vertAlign w:val="superscript"/>
                <w:lang w:val="en-US" w:eastAsia="zh-CN"/>
              </w:rPr>
              <w:t>2</w:t>
            </w:r>
            <w:r>
              <w:rPr>
                <w:rFonts w:hint="default" w:ascii="Times New Roman" w:hAnsi="Times New Roman" w:cs="Times New Roman"/>
                <w:color w:val="FF0000"/>
                <w:sz w:val="24"/>
                <w:szCs w:val="24"/>
                <w:highlight w:val="none"/>
                <w:lang w:val="en-US" w:eastAsia="zh-CN"/>
              </w:rPr>
              <w:t>。</w:t>
            </w:r>
            <w:r>
              <w:rPr>
                <w:rFonts w:hint="eastAsia" w:ascii="Times New Roman" w:hAnsi="Times New Roman" w:cs="Times New Roman"/>
                <w:color w:val="FF0000"/>
                <w:sz w:val="24"/>
                <w:szCs w:val="24"/>
                <w:highlight w:val="none"/>
                <w:lang w:val="en-US" w:eastAsia="zh-CN"/>
              </w:rPr>
              <w:t>水洗环节露天设置，</w:t>
            </w:r>
            <w:r>
              <w:rPr>
                <w:rFonts w:hint="default" w:ascii="Times New Roman" w:hAnsi="Times New Roman" w:cs="Times New Roman"/>
                <w:color w:val="FF0000"/>
                <w:sz w:val="24"/>
                <w:szCs w:val="24"/>
                <w:highlight w:val="none"/>
                <w:lang w:val="en-US" w:eastAsia="zh-CN"/>
              </w:rPr>
              <w:t>厂房用作原矿的筛分、烘干、分级。</w:t>
            </w:r>
          </w:p>
        </w:tc>
        <w:tc>
          <w:tcPr>
            <w:tcW w:w="117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1862CF6">
            <w:pPr>
              <w:pStyle w:val="48"/>
              <w:spacing w:beforeLines="0" w:afterLines="0"/>
              <w:rPr>
                <w:rFonts w:hint="default" w:ascii="Times New Roman" w:hAnsi="Times New Roman" w:cs="Times New Roman"/>
                <w:color w:val="FF0000"/>
                <w:sz w:val="24"/>
                <w:szCs w:val="24"/>
                <w:highlight w:val="none"/>
              </w:rPr>
            </w:pPr>
            <w:r>
              <w:rPr>
                <w:rFonts w:hint="default" w:ascii="Times New Roman" w:hAnsi="Times New Roman" w:cs="Times New Roman"/>
                <w:color w:val="FF0000"/>
                <w:sz w:val="24"/>
                <w:szCs w:val="24"/>
                <w:highlight w:val="none"/>
              </w:rPr>
              <w:t>新建</w:t>
            </w:r>
          </w:p>
        </w:tc>
      </w:tr>
      <w:tr w14:paraId="7FEC0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55"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6D0A1DA1">
            <w:pPr>
              <w:pStyle w:val="48"/>
              <w:spacing w:beforeLines="0" w:afterLine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辅助工程</w:t>
            </w:r>
          </w:p>
        </w:tc>
        <w:tc>
          <w:tcPr>
            <w:tcW w:w="1722" w:type="dxa"/>
            <w:tcBorders>
              <w:top w:val="single" w:color="auto" w:sz="4" w:space="0"/>
              <w:left w:val="single" w:color="auto" w:sz="4" w:space="0"/>
              <w:bottom w:val="single" w:color="auto" w:sz="4" w:space="0"/>
              <w:right w:val="single" w:color="auto" w:sz="4" w:space="0"/>
              <w:tl2br w:val="nil"/>
              <w:tr2bl w:val="nil"/>
            </w:tcBorders>
            <w:noWrap w:val="0"/>
            <w:vAlign w:val="top"/>
          </w:tcPr>
          <w:p w14:paraId="7AD780BC">
            <w:pPr>
              <w:pStyle w:val="48"/>
              <w:spacing w:beforeLines="0" w:afterLines="0"/>
              <w:rPr>
                <w:rFonts w:hint="default" w:ascii="Times New Roman" w:hAnsi="Times New Roman" w:cs="Times New Roman"/>
                <w:color w:val="FF0000"/>
                <w:sz w:val="24"/>
                <w:szCs w:val="24"/>
                <w:highlight w:val="none"/>
              </w:rPr>
            </w:pPr>
            <w:r>
              <w:rPr>
                <w:rFonts w:hint="default" w:ascii="Times New Roman" w:hAnsi="Times New Roman" w:cs="Times New Roman"/>
                <w:color w:val="FF0000"/>
                <w:sz w:val="24"/>
                <w:szCs w:val="24"/>
                <w:highlight w:val="none"/>
              </w:rPr>
              <w:t>办公生活区</w:t>
            </w:r>
          </w:p>
        </w:tc>
        <w:tc>
          <w:tcPr>
            <w:tcW w:w="5319" w:type="dxa"/>
            <w:tcBorders>
              <w:top w:val="single" w:color="auto" w:sz="4" w:space="0"/>
              <w:left w:val="single" w:color="auto" w:sz="4" w:space="0"/>
              <w:bottom w:val="single" w:color="auto" w:sz="4" w:space="0"/>
              <w:right w:val="single" w:color="auto" w:sz="4" w:space="0"/>
              <w:tl2br w:val="nil"/>
              <w:tr2bl w:val="nil"/>
            </w:tcBorders>
            <w:noWrap w:val="0"/>
            <w:vAlign w:val="top"/>
          </w:tcPr>
          <w:p w14:paraId="5C5F31AA">
            <w:pPr>
              <w:pStyle w:val="48"/>
              <w:spacing w:beforeLines="0" w:afterLines="0"/>
              <w:rPr>
                <w:rFonts w:hint="default" w:ascii="Times New Roman" w:hAnsi="Times New Roman" w:cs="Times New Roman"/>
                <w:color w:val="FF0000"/>
                <w:sz w:val="24"/>
                <w:szCs w:val="24"/>
                <w:highlight w:val="none"/>
              </w:rPr>
            </w:pPr>
            <w:r>
              <w:rPr>
                <w:rFonts w:hint="default" w:ascii="Times New Roman" w:hAnsi="Times New Roman" w:cs="Times New Roman"/>
                <w:color w:val="FF0000"/>
                <w:sz w:val="24"/>
                <w:szCs w:val="24"/>
                <w:highlight w:val="none"/>
                <w:lang w:val="en-US" w:eastAsia="zh-CN"/>
              </w:rPr>
              <w:t>位于</w:t>
            </w:r>
            <w:r>
              <w:rPr>
                <w:rFonts w:hint="eastAsia" w:ascii="Times New Roman" w:hAnsi="Times New Roman" w:cs="Times New Roman"/>
                <w:color w:val="FF0000"/>
                <w:sz w:val="24"/>
                <w:szCs w:val="24"/>
                <w:highlight w:val="none"/>
                <w:lang w:val="en-US" w:eastAsia="zh-CN"/>
              </w:rPr>
              <w:t>工业广场西南角</w:t>
            </w:r>
            <w:r>
              <w:rPr>
                <w:rFonts w:hint="default" w:ascii="Times New Roman" w:hAnsi="Times New Roman" w:cs="Times New Roman"/>
                <w:color w:val="FF0000"/>
                <w:sz w:val="24"/>
                <w:szCs w:val="24"/>
                <w:highlight w:val="none"/>
                <w:lang w:val="en-US" w:eastAsia="zh-CN"/>
              </w:rPr>
              <w:t>，建筑面积3000</w:t>
            </w:r>
            <w:r>
              <w:rPr>
                <w:rFonts w:hint="default" w:ascii="Times New Roman" w:hAnsi="Times New Roman" w:cs="Times New Roman"/>
                <w:color w:val="FF0000"/>
                <w:sz w:val="24"/>
                <w:szCs w:val="24"/>
                <w:highlight w:val="none"/>
              </w:rPr>
              <w:t>m</w:t>
            </w:r>
            <w:r>
              <w:rPr>
                <w:rFonts w:hint="default" w:ascii="Times New Roman" w:hAnsi="Times New Roman" w:cs="Times New Roman"/>
                <w:color w:val="FF0000"/>
                <w:sz w:val="24"/>
                <w:szCs w:val="24"/>
                <w:highlight w:val="none"/>
                <w:vertAlign w:val="superscript"/>
              </w:rPr>
              <w:t>2</w:t>
            </w:r>
          </w:p>
        </w:tc>
        <w:tc>
          <w:tcPr>
            <w:tcW w:w="117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7366E58">
            <w:pPr>
              <w:pStyle w:val="48"/>
              <w:spacing w:beforeLines="0" w:afterLines="0"/>
              <w:rPr>
                <w:rFonts w:hint="default" w:ascii="Times New Roman" w:hAnsi="Times New Roman" w:cs="Times New Roman"/>
                <w:color w:val="FF0000"/>
                <w:sz w:val="24"/>
                <w:szCs w:val="24"/>
                <w:highlight w:val="none"/>
              </w:rPr>
            </w:pPr>
            <w:r>
              <w:rPr>
                <w:rFonts w:hint="default" w:ascii="Times New Roman" w:hAnsi="Times New Roman" w:cs="Times New Roman"/>
                <w:color w:val="FF0000"/>
                <w:sz w:val="24"/>
                <w:szCs w:val="24"/>
                <w:highlight w:val="none"/>
              </w:rPr>
              <w:t>新建</w:t>
            </w:r>
          </w:p>
        </w:tc>
      </w:tr>
      <w:tr w14:paraId="4058C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55"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382AF2F8">
            <w:pPr>
              <w:pStyle w:val="48"/>
              <w:spacing w:beforeLines="0" w:afterLines="0"/>
              <w:jc w:val="center"/>
              <w:rPr>
                <w:rFonts w:hint="default" w:ascii="Times New Roman" w:hAnsi="Times New Roman" w:cs="Times New Roman"/>
                <w:color w:val="auto"/>
                <w:sz w:val="24"/>
                <w:szCs w:val="24"/>
                <w:highlight w:val="none"/>
              </w:rPr>
            </w:pPr>
          </w:p>
        </w:tc>
        <w:tc>
          <w:tcPr>
            <w:tcW w:w="172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C7BBA09">
            <w:pPr>
              <w:pStyle w:val="48"/>
              <w:spacing w:beforeLines="0" w:afterLines="0"/>
              <w:jc w:val="center"/>
              <w:rPr>
                <w:rFonts w:hint="default" w:ascii="Times New Roman" w:hAnsi="Times New Roman" w:cs="Times New Roman"/>
                <w:color w:val="FF0000"/>
                <w:sz w:val="24"/>
                <w:szCs w:val="24"/>
                <w:highlight w:val="none"/>
              </w:rPr>
            </w:pPr>
            <w:r>
              <w:rPr>
                <w:rFonts w:hint="default" w:ascii="Times New Roman" w:hAnsi="Times New Roman" w:cs="Times New Roman"/>
                <w:color w:val="FF0000"/>
                <w:sz w:val="24"/>
                <w:szCs w:val="24"/>
                <w:highlight w:val="none"/>
              </w:rPr>
              <w:t>道路</w:t>
            </w:r>
          </w:p>
        </w:tc>
        <w:tc>
          <w:tcPr>
            <w:tcW w:w="5319" w:type="dxa"/>
            <w:tcBorders>
              <w:top w:val="single" w:color="auto" w:sz="4" w:space="0"/>
              <w:left w:val="single" w:color="auto" w:sz="4" w:space="0"/>
              <w:bottom w:val="single" w:color="auto" w:sz="4" w:space="0"/>
              <w:right w:val="single" w:color="auto" w:sz="4" w:space="0"/>
              <w:tl2br w:val="nil"/>
              <w:tr2bl w:val="nil"/>
            </w:tcBorders>
            <w:noWrap w:val="0"/>
            <w:vAlign w:val="top"/>
          </w:tcPr>
          <w:p w14:paraId="08235301">
            <w:pPr>
              <w:pStyle w:val="48"/>
              <w:spacing w:beforeLines="0" w:afterLines="0"/>
              <w:rPr>
                <w:rFonts w:hint="default" w:ascii="Times New Roman" w:hAnsi="Times New Roman" w:cs="Times New Roman"/>
                <w:color w:val="FF0000"/>
                <w:sz w:val="24"/>
                <w:szCs w:val="24"/>
                <w:highlight w:val="none"/>
              </w:rPr>
            </w:pPr>
            <w:r>
              <w:rPr>
                <w:rFonts w:hint="default" w:ascii="Times New Roman" w:hAnsi="Times New Roman" w:cs="Times New Roman"/>
                <w:color w:val="FF0000"/>
                <w:sz w:val="24"/>
                <w:szCs w:val="24"/>
                <w:highlight w:val="none"/>
                <w:lang w:val="en-US" w:eastAsia="zh-CN"/>
              </w:rPr>
              <w:t>采矿场</w:t>
            </w:r>
            <w:r>
              <w:rPr>
                <w:rFonts w:hint="default" w:ascii="Times New Roman" w:hAnsi="Times New Roman" w:cs="Times New Roman"/>
                <w:color w:val="FF0000"/>
                <w:sz w:val="24"/>
                <w:szCs w:val="24"/>
                <w:highlight w:val="none"/>
              </w:rPr>
              <w:t>连接堆场</w:t>
            </w:r>
            <w:r>
              <w:rPr>
                <w:rFonts w:hint="default" w:ascii="Times New Roman" w:hAnsi="Times New Roman" w:cs="Times New Roman"/>
                <w:color w:val="FF0000"/>
                <w:sz w:val="24"/>
                <w:szCs w:val="24"/>
                <w:highlight w:val="none"/>
                <w:lang w:val="en-US" w:eastAsia="zh-CN"/>
              </w:rPr>
              <w:t>及筛分厂房等</w:t>
            </w:r>
            <w:r>
              <w:rPr>
                <w:rFonts w:hint="default" w:ascii="Times New Roman" w:hAnsi="Times New Roman" w:cs="Times New Roman"/>
                <w:color w:val="FF0000"/>
                <w:sz w:val="24"/>
                <w:szCs w:val="24"/>
                <w:highlight w:val="none"/>
                <w:lang w:val="en-US" w:eastAsia="zh-CN" w:bidi="ar-SA"/>
              </w:rPr>
              <w:t>全长3km。采用矿山三级公路，泥结碎石路面，双车道，路基宽7.0m，路面宽5.0m，最小转弯半径15m。总占地面积为1.5hm</w:t>
            </w:r>
            <w:r>
              <w:rPr>
                <w:rFonts w:hint="default" w:ascii="Times New Roman" w:hAnsi="Times New Roman" w:cs="Times New Roman"/>
                <w:color w:val="FF0000"/>
                <w:sz w:val="24"/>
                <w:szCs w:val="24"/>
                <w:highlight w:val="none"/>
                <w:vertAlign w:val="superscript"/>
                <w:lang w:val="en-US" w:eastAsia="zh-CN" w:bidi="ar-SA"/>
              </w:rPr>
              <w:t>2</w:t>
            </w:r>
            <w:r>
              <w:rPr>
                <w:rFonts w:hint="default" w:ascii="Times New Roman" w:hAnsi="Times New Roman" w:cs="Times New Roman"/>
                <w:color w:val="FF0000"/>
                <w:sz w:val="24"/>
                <w:szCs w:val="24"/>
                <w:highlight w:val="none"/>
                <w:lang w:val="en-US" w:eastAsia="zh-CN" w:bidi="ar-SA"/>
              </w:rPr>
              <w:t>。</w:t>
            </w:r>
          </w:p>
        </w:tc>
        <w:tc>
          <w:tcPr>
            <w:tcW w:w="117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BEAD9C5">
            <w:pPr>
              <w:pStyle w:val="48"/>
              <w:spacing w:beforeLines="0" w:afterLines="0"/>
              <w:rPr>
                <w:rFonts w:hint="default" w:ascii="Times New Roman" w:hAnsi="Times New Roman" w:cs="Times New Roman"/>
                <w:color w:val="FF0000"/>
                <w:sz w:val="24"/>
                <w:szCs w:val="24"/>
                <w:highlight w:val="none"/>
              </w:rPr>
            </w:pPr>
            <w:r>
              <w:rPr>
                <w:rFonts w:hint="default" w:ascii="Times New Roman" w:hAnsi="Times New Roman" w:cs="Times New Roman"/>
                <w:color w:val="FF0000"/>
                <w:sz w:val="24"/>
                <w:szCs w:val="24"/>
                <w:highlight w:val="none"/>
              </w:rPr>
              <w:t>新建</w:t>
            </w:r>
          </w:p>
        </w:tc>
      </w:tr>
      <w:tr w14:paraId="4CDBE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5"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30312347">
            <w:pPr>
              <w:pStyle w:val="48"/>
              <w:spacing w:beforeLines="0" w:afterLines="0"/>
              <w:jc w:val="center"/>
              <w:rPr>
                <w:rFonts w:hint="default" w:ascii="Times New Roman" w:hAnsi="Times New Roman" w:cs="Times New Roman"/>
                <w:color w:val="auto"/>
                <w:sz w:val="24"/>
                <w:szCs w:val="24"/>
                <w:highlight w:val="none"/>
              </w:rPr>
            </w:pPr>
          </w:p>
        </w:tc>
        <w:tc>
          <w:tcPr>
            <w:tcW w:w="172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C25944B">
            <w:pPr>
              <w:pStyle w:val="48"/>
              <w:spacing w:beforeLines="0" w:afterLines="0"/>
              <w:jc w:val="center"/>
              <w:rPr>
                <w:rFonts w:hint="default" w:ascii="Times New Roman" w:hAnsi="Times New Roman" w:eastAsia="宋体" w:cs="Times New Roman"/>
                <w:color w:val="FF0000"/>
                <w:sz w:val="24"/>
                <w:szCs w:val="24"/>
                <w:highlight w:val="none"/>
                <w:lang w:val="en-US" w:eastAsia="zh-CN"/>
              </w:rPr>
            </w:pPr>
            <w:r>
              <w:rPr>
                <w:rFonts w:hint="default" w:ascii="Times New Roman" w:hAnsi="Times New Roman" w:cs="Times New Roman"/>
                <w:color w:val="FF0000"/>
                <w:sz w:val="24"/>
                <w:szCs w:val="24"/>
                <w:highlight w:val="none"/>
              </w:rPr>
              <w:t>沉淀</w:t>
            </w:r>
            <w:r>
              <w:rPr>
                <w:rFonts w:hint="default" w:ascii="Times New Roman" w:hAnsi="Times New Roman" w:cs="Times New Roman"/>
                <w:color w:val="FF0000"/>
                <w:sz w:val="24"/>
                <w:szCs w:val="24"/>
                <w:highlight w:val="none"/>
                <w:lang w:val="en-US" w:eastAsia="zh-CN"/>
              </w:rPr>
              <w:t>池</w:t>
            </w:r>
          </w:p>
        </w:tc>
        <w:tc>
          <w:tcPr>
            <w:tcW w:w="5319" w:type="dxa"/>
            <w:tcBorders>
              <w:top w:val="single" w:color="auto" w:sz="4" w:space="0"/>
              <w:left w:val="single" w:color="auto" w:sz="4" w:space="0"/>
              <w:bottom w:val="single" w:color="auto" w:sz="4" w:space="0"/>
              <w:right w:val="single" w:color="auto" w:sz="4" w:space="0"/>
              <w:tl2br w:val="nil"/>
              <w:tr2bl w:val="nil"/>
            </w:tcBorders>
            <w:noWrap w:val="0"/>
            <w:vAlign w:val="top"/>
          </w:tcPr>
          <w:p w14:paraId="73C0D9C2">
            <w:pPr>
              <w:pStyle w:val="48"/>
              <w:spacing w:beforeLines="0" w:afterLines="0"/>
              <w:rPr>
                <w:rFonts w:hint="default" w:ascii="Times New Roman" w:hAnsi="Times New Roman" w:cs="Times New Roman"/>
                <w:color w:val="FF0000"/>
                <w:sz w:val="24"/>
                <w:szCs w:val="24"/>
                <w:highlight w:val="none"/>
              </w:rPr>
            </w:pPr>
            <w:r>
              <w:rPr>
                <w:rFonts w:hint="default" w:ascii="Times New Roman" w:hAnsi="Times New Roman" w:cs="Times New Roman"/>
                <w:color w:val="FF0000"/>
                <w:sz w:val="24"/>
                <w:szCs w:val="24"/>
                <w:highlight w:val="none"/>
              </w:rPr>
              <w:t>设置</w:t>
            </w:r>
            <w:r>
              <w:rPr>
                <w:rFonts w:hint="eastAsia" w:ascii="Times New Roman" w:hAnsi="Times New Roman" w:cs="Times New Roman"/>
                <w:color w:val="FF0000"/>
                <w:sz w:val="24"/>
                <w:szCs w:val="24"/>
                <w:highlight w:val="none"/>
                <w:lang w:val="en-US" w:eastAsia="zh-CN"/>
              </w:rPr>
              <w:t>三格沉淀池，每格尺寸为9</w:t>
            </w:r>
            <w:r>
              <w:rPr>
                <w:rFonts w:hint="default" w:ascii="Times New Roman" w:hAnsi="Times New Roman" w:cs="Times New Roman"/>
                <w:color w:val="FF0000"/>
                <w:sz w:val="24"/>
                <w:szCs w:val="24"/>
                <w:highlight w:val="none"/>
                <w:lang w:val="en-US" w:eastAsia="zh-CN"/>
              </w:rPr>
              <w:t>×</w:t>
            </w:r>
            <w:r>
              <w:rPr>
                <w:rFonts w:hint="eastAsia" w:ascii="Times New Roman" w:hAnsi="Times New Roman" w:cs="Times New Roman"/>
                <w:color w:val="FF0000"/>
                <w:sz w:val="24"/>
                <w:szCs w:val="24"/>
                <w:highlight w:val="none"/>
                <w:lang w:val="en-US" w:eastAsia="zh-CN"/>
              </w:rPr>
              <w:t>7</w:t>
            </w:r>
            <w:r>
              <w:rPr>
                <w:rFonts w:hint="default" w:ascii="Times New Roman" w:hAnsi="Times New Roman" w:cs="Times New Roman"/>
                <w:color w:val="FF0000"/>
                <w:sz w:val="24"/>
                <w:szCs w:val="24"/>
                <w:highlight w:val="none"/>
                <w:lang w:val="en-US" w:eastAsia="zh-CN"/>
              </w:rPr>
              <w:t>×</w:t>
            </w:r>
            <w:r>
              <w:rPr>
                <w:rFonts w:hint="eastAsia" w:ascii="Times New Roman" w:hAnsi="Times New Roman" w:cs="Times New Roman"/>
                <w:color w:val="FF0000"/>
                <w:sz w:val="24"/>
                <w:szCs w:val="24"/>
                <w:highlight w:val="none"/>
                <w:lang w:val="en-US" w:eastAsia="zh-CN"/>
              </w:rPr>
              <w:t>3</w:t>
            </w:r>
            <w:r>
              <w:rPr>
                <w:rFonts w:hint="default" w:ascii="Times New Roman" w:hAnsi="Times New Roman" w:cs="Times New Roman"/>
                <w:color w:val="FF0000"/>
                <w:sz w:val="24"/>
                <w:szCs w:val="24"/>
                <w:highlight w:val="none"/>
                <w:lang w:val="en-US" w:eastAsia="zh-CN"/>
              </w:rPr>
              <w:t>m</w:t>
            </w:r>
            <w:r>
              <w:rPr>
                <w:rFonts w:hint="default" w:ascii="Times New Roman" w:hAnsi="Times New Roman" w:cs="Times New Roman"/>
                <w:color w:val="FF0000"/>
                <w:sz w:val="24"/>
                <w:szCs w:val="24"/>
                <w:highlight w:val="none"/>
              </w:rPr>
              <w:t>，</w:t>
            </w:r>
            <w:r>
              <w:rPr>
                <w:rFonts w:hint="eastAsia" w:ascii="Times New Roman" w:hAnsi="Times New Roman" w:cs="Times New Roman"/>
                <w:color w:val="FF0000"/>
                <w:sz w:val="24"/>
                <w:szCs w:val="24"/>
                <w:highlight w:val="none"/>
                <w:lang w:val="en-US" w:eastAsia="zh-CN"/>
              </w:rPr>
              <w:t>总</w:t>
            </w:r>
            <w:r>
              <w:rPr>
                <w:rFonts w:hint="default" w:ascii="Times New Roman" w:hAnsi="Times New Roman" w:cs="Times New Roman"/>
                <w:color w:val="FF0000"/>
                <w:sz w:val="24"/>
                <w:szCs w:val="24"/>
                <w:highlight w:val="none"/>
              </w:rPr>
              <w:t>容积为</w:t>
            </w:r>
            <w:r>
              <w:rPr>
                <w:rFonts w:hint="eastAsia" w:ascii="Times New Roman" w:hAnsi="Times New Roman" w:cs="Times New Roman"/>
                <w:color w:val="FF0000"/>
                <w:sz w:val="24"/>
                <w:szCs w:val="24"/>
                <w:highlight w:val="none"/>
                <w:lang w:val="en-US" w:eastAsia="zh-CN"/>
              </w:rPr>
              <w:t>567</w:t>
            </w:r>
            <w:r>
              <w:rPr>
                <w:rFonts w:hint="default" w:ascii="Times New Roman" w:hAnsi="Times New Roman" w:cs="Times New Roman"/>
                <w:color w:val="FF0000"/>
                <w:sz w:val="24"/>
                <w:szCs w:val="24"/>
                <w:highlight w:val="none"/>
                <w:lang w:val="en-US" w:eastAsia="zh-CN"/>
              </w:rPr>
              <w:t>m</w:t>
            </w:r>
            <w:r>
              <w:rPr>
                <w:rFonts w:hint="default" w:ascii="Times New Roman" w:hAnsi="Times New Roman" w:cs="Times New Roman"/>
                <w:color w:val="FF0000"/>
                <w:sz w:val="24"/>
                <w:szCs w:val="24"/>
                <w:highlight w:val="none"/>
                <w:vertAlign w:val="superscript"/>
                <w:lang w:val="en-US" w:eastAsia="zh-CN"/>
              </w:rPr>
              <w:t>3</w:t>
            </w:r>
          </w:p>
        </w:tc>
        <w:tc>
          <w:tcPr>
            <w:tcW w:w="117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47588D5">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新建</w:t>
            </w:r>
          </w:p>
        </w:tc>
      </w:tr>
      <w:tr w14:paraId="7CD18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55" w:type="dxa"/>
            <w:vMerge w:val="restart"/>
            <w:tcBorders>
              <w:top w:val="single" w:color="auto" w:sz="4" w:space="0"/>
              <w:left w:val="single" w:color="auto" w:sz="4" w:space="0"/>
              <w:right w:val="single" w:color="auto" w:sz="4" w:space="0"/>
              <w:tl2br w:val="nil"/>
              <w:tr2bl w:val="nil"/>
            </w:tcBorders>
            <w:noWrap w:val="0"/>
            <w:vAlign w:val="center"/>
          </w:tcPr>
          <w:p w14:paraId="3724612B">
            <w:pPr>
              <w:pStyle w:val="48"/>
              <w:spacing w:beforeLines="0" w:afterLines="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储运工程</w:t>
            </w:r>
          </w:p>
        </w:tc>
        <w:tc>
          <w:tcPr>
            <w:tcW w:w="172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5C9BEA6">
            <w:pPr>
              <w:pStyle w:val="48"/>
              <w:spacing w:beforeLines="0" w:afterLines="0"/>
              <w:ind w:left="0" w:leftChars="0"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排土场</w:t>
            </w:r>
          </w:p>
        </w:tc>
        <w:tc>
          <w:tcPr>
            <w:tcW w:w="5319" w:type="dxa"/>
            <w:tcBorders>
              <w:top w:val="single" w:color="auto" w:sz="4" w:space="0"/>
              <w:left w:val="single" w:color="auto" w:sz="4" w:space="0"/>
              <w:bottom w:val="single" w:color="auto" w:sz="4" w:space="0"/>
              <w:right w:val="single" w:color="auto" w:sz="4" w:space="0"/>
              <w:tl2br w:val="nil"/>
              <w:tr2bl w:val="nil"/>
            </w:tcBorders>
            <w:noWrap w:val="0"/>
            <w:vAlign w:val="top"/>
          </w:tcPr>
          <w:p w14:paraId="7C2B87F2">
            <w:pPr>
              <w:pStyle w:val="48"/>
              <w:spacing w:beforeLines="0" w:afterLines="0"/>
              <w:ind w:left="0" w:leftChars="0" w:firstLine="0" w:firstLineChar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设置排土场一处，位于矿区的东南侧，</w:t>
            </w:r>
            <w:r>
              <w:rPr>
                <w:rFonts w:hint="default" w:ascii="Times New Roman" w:hAnsi="Times New Roman" w:cs="Times New Roman"/>
                <w:color w:val="auto"/>
                <w:sz w:val="24"/>
                <w:szCs w:val="24"/>
                <w:highlight w:val="none"/>
              </w:rPr>
              <w:t>用于堆存生产废料</w:t>
            </w:r>
            <w:r>
              <w:rPr>
                <w:rFonts w:hint="default" w:ascii="Times New Roman" w:hAnsi="Times New Roman" w:cs="Times New Roman"/>
                <w:color w:val="auto"/>
                <w:sz w:val="24"/>
                <w:szCs w:val="24"/>
                <w:highlight w:val="none"/>
                <w:lang w:val="en-US" w:eastAsia="zh-CN"/>
              </w:rPr>
              <w:t>和废土</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占地面积为45800m</w:t>
            </w:r>
            <w:r>
              <w:rPr>
                <w:rFonts w:hint="default" w:ascii="Times New Roman" w:hAnsi="Times New Roman" w:cs="Times New Roman"/>
                <w:color w:val="auto"/>
                <w:sz w:val="24"/>
                <w:szCs w:val="24"/>
                <w:highlight w:val="none"/>
                <w:vertAlign w:val="superscript"/>
                <w:lang w:val="en-US" w:eastAsia="zh-CN"/>
              </w:rPr>
              <w:t>2</w:t>
            </w:r>
            <w:r>
              <w:rPr>
                <w:rFonts w:hint="default" w:ascii="Times New Roman" w:hAnsi="Times New Roman" w:cs="Times New Roman"/>
                <w:color w:val="auto"/>
                <w:sz w:val="24"/>
                <w:szCs w:val="24"/>
                <w:highlight w:val="none"/>
                <w:lang w:val="en-US" w:eastAsia="zh-CN"/>
              </w:rPr>
              <w:t>，最大堆高10m，</w:t>
            </w:r>
            <w:r>
              <w:rPr>
                <w:rFonts w:hint="default" w:ascii="Times New Roman" w:hAnsi="Times New Roman" w:cs="Times New Roman"/>
                <w:color w:val="auto"/>
                <w:sz w:val="24"/>
                <w:szCs w:val="24"/>
                <w:highlight w:val="none"/>
              </w:rPr>
              <w:t>容积约为</w:t>
            </w:r>
            <w:r>
              <w:rPr>
                <w:rFonts w:hint="default" w:ascii="Times New Roman" w:hAnsi="Times New Roman" w:cs="Times New Roman"/>
                <w:color w:val="auto"/>
                <w:sz w:val="24"/>
                <w:szCs w:val="24"/>
                <w:highlight w:val="none"/>
                <w:lang w:val="en-US" w:eastAsia="zh-CN"/>
              </w:rPr>
              <w:t>40.63</w:t>
            </w:r>
            <w:r>
              <w:rPr>
                <w:rFonts w:hint="default" w:ascii="Times New Roman" w:hAnsi="Times New Roman" w:cs="Times New Roman"/>
                <w:color w:val="auto"/>
                <w:sz w:val="24"/>
                <w:szCs w:val="24"/>
                <w:highlight w:val="none"/>
              </w:rPr>
              <w:t>万m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w:t>
            </w:r>
          </w:p>
        </w:tc>
        <w:tc>
          <w:tcPr>
            <w:tcW w:w="117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2F54EFF">
            <w:pPr>
              <w:pStyle w:val="48"/>
              <w:spacing w:beforeLines="0" w:afterLines="0"/>
              <w:ind w:left="0" w:leftChars="0" w:firstLine="0" w:firstLineChar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新建</w:t>
            </w:r>
          </w:p>
        </w:tc>
      </w:tr>
      <w:tr w14:paraId="6F720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55" w:type="dxa"/>
            <w:vMerge w:val="continue"/>
            <w:tcBorders>
              <w:left w:val="single" w:color="auto" w:sz="4" w:space="0"/>
              <w:right w:val="single" w:color="auto" w:sz="4" w:space="0"/>
              <w:tl2br w:val="nil"/>
              <w:tr2bl w:val="nil"/>
            </w:tcBorders>
            <w:noWrap w:val="0"/>
            <w:vAlign w:val="top"/>
          </w:tcPr>
          <w:p w14:paraId="64AEA26B">
            <w:pPr>
              <w:pStyle w:val="48"/>
              <w:spacing w:beforeLines="0" w:afterLines="0"/>
              <w:rPr>
                <w:rFonts w:hint="default" w:ascii="Times New Roman" w:hAnsi="Times New Roman" w:cs="Times New Roman"/>
                <w:color w:val="auto"/>
                <w:sz w:val="24"/>
                <w:szCs w:val="24"/>
                <w:highlight w:val="none"/>
              </w:rPr>
            </w:pPr>
          </w:p>
        </w:tc>
        <w:tc>
          <w:tcPr>
            <w:tcW w:w="172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EAD6D29">
            <w:pPr>
              <w:pStyle w:val="48"/>
              <w:spacing w:beforeLines="0" w:afterLines="0"/>
              <w:ind w:left="0" w:leftChars="0"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表土堆场</w:t>
            </w:r>
          </w:p>
        </w:tc>
        <w:tc>
          <w:tcPr>
            <w:tcW w:w="5319" w:type="dxa"/>
            <w:tcBorders>
              <w:top w:val="single" w:color="auto" w:sz="4" w:space="0"/>
              <w:left w:val="single" w:color="auto" w:sz="4" w:space="0"/>
              <w:bottom w:val="single" w:color="auto" w:sz="4" w:space="0"/>
              <w:right w:val="single" w:color="auto" w:sz="4" w:space="0"/>
              <w:tl2br w:val="nil"/>
              <w:tr2bl w:val="nil"/>
            </w:tcBorders>
            <w:noWrap w:val="0"/>
            <w:vAlign w:val="top"/>
          </w:tcPr>
          <w:p w14:paraId="4EB2FE66">
            <w:pPr>
              <w:pStyle w:val="48"/>
              <w:spacing w:beforeLines="0" w:afterLines="0"/>
              <w:ind w:left="0" w:leftChars="0" w:firstLine="0" w:firstLineChar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设置表土堆场1处，</w:t>
            </w:r>
            <w:r>
              <w:rPr>
                <w:rFonts w:hint="default" w:ascii="Times New Roman" w:hAnsi="Times New Roman" w:cs="Times New Roman"/>
                <w:color w:val="auto"/>
                <w:sz w:val="24"/>
                <w:szCs w:val="24"/>
                <w:highlight w:val="none"/>
                <w:lang w:val="en-US" w:eastAsia="zh-CN"/>
              </w:rPr>
              <w:t>位于矿区的东北侧，</w:t>
            </w:r>
            <w:r>
              <w:rPr>
                <w:rFonts w:hint="default" w:ascii="Times New Roman" w:hAnsi="Times New Roman" w:cs="Times New Roman"/>
                <w:color w:val="auto"/>
                <w:sz w:val="24"/>
                <w:szCs w:val="24"/>
                <w:highlight w:val="none"/>
              </w:rPr>
              <w:t>集中堆放剥离表土</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占地面积20000m</w:t>
            </w:r>
            <w:r>
              <w:rPr>
                <w:rFonts w:hint="default" w:ascii="Times New Roman" w:hAnsi="Times New Roman" w:cs="Times New Roman"/>
                <w:color w:val="auto"/>
                <w:sz w:val="24"/>
                <w:szCs w:val="24"/>
                <w:highlight w:val="none"/>
                <w:vertAlign w:val="superscript"/>
                <w:lang w:val="en-US" w:eastAsia="zh-CN"/>
              </w:rPr>
              <w:t>2</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最大</w:t>
            </w:r>
            <w:r>
              <w:rPr>
                <w:rFonts w:hint="default" w:ascii="Times New Roman" w:hAnsi="Times New Roman" w:cs="Times New Roman"/>
                <w:color w:val="auto"/>
                <w:sz w:val="24"/>
                <w:szCs w:val="24"/>
                <w:highlight w:val="none"/>
                <w:lang w:eastAsia="zh-CN"/>
              </w:rPr>
              <w:t>堆高</w:t>
            </w:r>
            <w:r>
              <w:rPr>
                <w:rFonts w:hint="default" w:ascii="Times New Roman" w:hAnsi="Times New Roman" w:cs="Times New Roman"/>
                <w:color w:val="auto"/>
                <w:sz w:val="24"/>
                <w:szCs w:val="24"/>
                <w:highlight w:val="none"/>
                <w:lang w:val="en-US" w:eastAsia="zh-CN"/>
              </w:rPr>
              <w:t>7</w:t>
            </w:r>
            <w:r>
              <w:rPr>
                <w:rFonts w:hint="default" w:ascii="Times New Roman" w:hAnsi="Times New Roman" w:cs="Times New Roman"/>
                <w:color w:val="auto"/>
                <w:sz w:val="24"/>
                <w:szCs w:val="24"/>
                <w:highlight w:val="none"/>
                <w:lang w:eastAsia="zh-CN"/>
              </w:rPr>
              <w:t>米</w:t>
            </w:r>
            <w:r>
              <w:rPr>
                <w:rFonts w:hint="default" w:ascii="Times New Roman" w:hAnsi="Times New Roman" w:cs="Times New Roman"/>
                <w:color w:val="auto"/>
                <w:sz w:val="24"/>
                <w:szCs w:val="24"/>
                <w:highlight w:val="none"/>
              </w:rPr>
              <w:t>，单层堆放，边坡小于30°</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容积约1</w:t>
            </w:r>
            <w:r>
              <w:rPr>
                <w:rFonts w:hint="default"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9356</w:t>
            </w:r>
            <w:r>
              <w:rPr>
                <w:rFonts w:hint="default" w:ascii="Times New Roman" w:hAnsi="Times New Roman" w:cs="Times New Roman"/>
                <w:color w:val="auto"/>
                <w:sz w:val="24"/>
                <w:szCs w:val="24"/>
                <w:highlight w:val="none"/>
                <w:lang w:val="en-US" w:eastAsia="zh-CN"/>
              </w:rPr>
              <w:t>万</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vertAlign w:val="superscript"/>
                <w:lang w:val="en-US" w:eastAsia="zh-CN"/>
              </w:rPr>
              <w:t>,</w:t>
            </w:r>
            <w:r>
              <w:rPr>
                <w:rFonts w:hint="default" w:ascii="Times New Roman" w:hAnsi="Times New Roman" w:cs="Times New Roman"/>
                <w:color w:val="auto"/>
                <w:sz w:val="24"/>
                <w:szCs w:val="24"/>
                <w:highlight w:val="none"/>
              </w:rPr>
              <w:t>。</w:t>
            </w:r>
          </w:p>
        </w:tc>
        <w:tc>
          <w:tcPr>
            <w:tcW w:w="117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7A7D519">
            <w:pPr>
              <w:pStyle w:val="48"/>
              <w:spacing w:beforeLines="0" w:afterLines="0"/>
              <w:ind w:left="0" w:leftChars="0" w:firstLine="0" w:firstLineChar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新建</w:t>
            </w:r>
          </w:p>
        </w:tc>
      </w:tr>
      <w:tr w14:paraId="4E958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55" w:type="dxa"/>
            <w:vMerge w:val="continue"/>
            <w:tcBorders>
              <w:left w:val="single" w:color="auto" w:sz="4" w:space="0"/>
              <w:right w:val="single" w:color="auto" w:sz="4" w:space="0"/>
              <w:tl2br w:val="nil"/>
              <w:tr2bl w:val="nil"/>
            </w:tcBorders>
            <w:noWrap w:val="0"/>
            <w:vAlign w:val="top"/>
          </w:tcPr>
          <w:p w14:paraId="742F5AB2">
            <w:pPr>
              <w:pStyle w:val="48"/>
              <w:spacing w:beforeLines="0" w:afterLines="0"/>
              <w:rPr>
                <w:rFonts w:hint="default" w:ascii="Times New Roman" w:hAnsi="Times New Roman" w:cs="Times New Roman"/>
                <w:color w:val="auto"/>
                <w:sz w:val="24"/>
                <w:szCs w:val="24"/>
                <w:highlight w:val="none"/>
              </w:rPr>
            </w:pPr>
          </w:p>
        </w:tc>
        <w:tc>
          <w:tcPr>
            <w:tcW w:w="172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C808AA8">
            <w:pPr>
              <w:pStyle w:val="48"/>
              <w:spacing w:beforeLines="0" w:afterLines="0"/>
              <w:ind w:left="0" w:leftChars="0" w:firstLine="0" w:firstLineChars="0"/>
              <w:jc w:val="center"/>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val="en-US" w:eastAsia="zh-CN"/>
              </w:rPr>
              <w:t>原料堆场</w:t>
            </w:r>
          </w:p>
        </w:tc>
        <w:tc>
          <w:tcPr>
            <w:tcW w:w="5319" w:type="dxa"/>
            <w:tcBorders>
              <w:top w:val="single" w:color="auto" w:sz="4" w:space="0"/>
              <w:left w:val="single" w:color="auto" w:sz="4" w:space="0"/>
              <w:bottom w:val="single" w:color="auto" w:sz="4" w:space="0"/>
              <w:right w:val="single" w:color="auto" w:sz="4" w:space="0"/>
              <w:tl2br w:val="nil"/>
              <w:tr2bl w:val="nil"/>
            </w:tcBorders>
            <w:noWrap w:val="0"/>
            <w:vAlign w:val="top"/>
          </w:tcPr>
          <w:p w14:paraId="7CCAF7FF">
            <w:pPr>
              <w:pStyle w:val="48"/>
              <w:spacing w:beforeLines="0" w:afterLines="0"/>
              <w:ind w:left="0" w:leftChars="0" w:firstLine="0" w:firstLineChars="0"/>
              <w:rPr>
                <w:rFonts w:hint="default" w:ascii="Times New Roman" w:hAnsi="Times New Roman" w:cs="Times New Roman"/>
                <w:color w:val="auto"/>
                <w:sz w:val="24"/>
                <w:szCs w:val="24"/>
                <w:highlight w:val="none"/>
              </w:rPr>
            </w:pPr>
            <w:r>
              <w:rPr>
                <w:rFonts w:hint="eastAsia" w:ascii="Times New Roman" w:hAnsi="Times New Roman" w:cs="Times New Roman"/>
                <w:color w:val="FF0000"/>
                <w:sz w:val="24"/>
                <w:szCs w:val="24"/>
                <w:highlight w:val="none"/>
                <w:lang w:val="en-US" w:eastAsia="zh-CN"/>
              </w:rPr>
              <w:t>设置在工业广场东北角，采取全封闭设置，占地面积600m</w:t>
            </w:r>
            <w:r>
              <w:rPr>
                <w:rFonts w:hint="eastAsia" w:ascii="Times New Roman" w:hAnsi="Times New Roman" w:cs="Times New Roman"/>
                <w:color w:val="FF0000"/>
                <w:sz w:val="24"/>
                <w:szCs w:val="24"/>
                <w:highlight w:val="none"/>
                <w:vertAlign w:val="superscript"/>
                <w:lang w:val="en-US" w:eastAsia="zh-CN"/>
              </w:rPr>
              <w:t>2</w:t>
            </w:r>
            <w:r>
              <w:rPr>
                <w:rFonts w:hint="eastAsia" w:ascii="Times New Roman" w:hAnsi="Times New Roman" w:cs="Times New Roman"/>
                <w:color w:val="FF0000"/>
                <w:sz w:val="24"/>
                <w:szCs w:val="24"/>
                <w:highlight w:val="none"/>
                <w:vertAlign w:val="baseline"/>
                <w:lang w:val="en-US" w:eastAsia="zh-CN"/>
              </w:rPr>
              <w:t>。</w:t>
            </w:r>
          </w:p>
        </w:tc>
        <w:tc>
          <w:tcPr>
            <w:tcW w:w="117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55E887B">
            <w:pPr>
              <w:pStyle w:val="48"/>
              <w:spacing w:beforeLines="0" w:afterLines="0"/>
              <w:ind w:left="0" w:leftChars="0" w:firstLine="0" w:firstLineChars="0"/>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val="en-US" w:eastAsia="zh-CN"/>
              </w:rPr>
              <w:t>新建</w:t>
            </w:r>
          </w:p>
        </w:tc>
      </w:tr>
      <w:tr w14:paraId="4CBBB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55" w:type="dxa"/>
            <w:vMerge w:val="continue"/>
            <w:tcBorders>
              <w:left w:val="single" w:color="auto" w:sz="4" w:space="0"/>
              <w:right w:val="single" w:color="auto" w:sz="4" w:space="0"/>
              <w:tl2br w:val="nil"/>
              <w:tr2bl w:val="nil"/>
            </w:tcBorders>
            <w:noWrap w:val="0"/>
            <w:vAlign w:val="top"/>
          </w:tcPr>
          <w:p w14:paraId="16FC1816">
            <w:pPr>
              <w:pStyle w:val="48"/>
              <w:spacing w:beforeLines="0" w:afterLines="0"/>
              <w:rPr>
                <w:rFonts w:hint="default" w:ascii="Times New Roman" w:hAnsi="Times New Roman" w:cs="Times New Roman"/>
                <w:color w:val="auto"/>
                <w:sz w:val="24"/>
                <w:szCs w:val="24"/>
                <w:highlight w:val="none"/>
              </w:rPr>
            </w:pPr>
          </w:p>
        </w:tc>
        <w:tc>
          <w:tcPr>
            <w:tcW w:w="172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52FD1F4">
            <w:pPr>
              <w:pStyle w:val="48"/>
              <w:spacing w:beforeLines="0" w:afterLines="0"/>
              <w:ind w:left="0" w:leftChars="0"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水洗砂堆场</w:t>
            </w:r>
          </w:p>
        </w:tc>
        <w:tc>
          <w:tcPr>
            <w:tcW w:w="5319" w:type="dxa"/>
            <w:tcBorders>
              <w:top w:val="single" w:color="auto" w:sz="4" w:space="0"/>
              <w:left w:val="single" w:color="auto" w:sz="4" w:space="0"/>
              <w:bottom w:val="single" w:color="auto" w:sz="4" w:space="0"/>
              <w:right w:val="single" w:color="auto" w:sz="4" w:space="0"/>
              <w:tl2br w:val="nil"/>
              <w:tr2bl w:val="nil"/>
            </w:tcBorders>
            <w:noWrap w:val="0"/>
            <w:vAlign w:val="top"/>
          </w:tcPr>
          <w:p w14:paraId="2C44B73A">
            <w:pPr>
              <w:pStyle w:val="48"/>
              <w:spacing w:beforeLines="0" w:afterLines="0"/>
              <w:ind w:left="0" w:leftChars="0" w:firstLine="0" w:firstLineChar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设置在工业广场西北角，占地面积3600m</w:t>
            </w:r>
            <w:r>
              <w:rPr>
                <w:rFonts w:hint="default" w:ascii="Times New Roman" w:hAnsi="Times New Roman" w:cs="Times New Roman"/>
                <w:color w:val="auto"/>
                <w:sz w:val="24"/>
                <w:szCs w:val="24"/>
                <w:highlight w:val="none"/>
                <w:vertAlign w:val="superscript"/>
                <w:lang w:val="en-US" w:eastAsia="zh-CN"/>
              </w:rPr>
              <w:t>2</w:t>
            </w:r>
            <w:r>
              <w:rPr>
                <w:rFonts w:hint="default" w:ascii="Times New Roman" w:hAnsi="Times New Roman" w:cs="Times New Roman"/>
                <w:color w:val="auto"/>
                <w:sz w:val="24"/>
                <w:szCs w:val="24"/>
                <w:highlight w:val="none"/>
                <w:lang w:val="en-US" w:eastAsia="zh-CN"/>
              </w:rPr>
              <w:t>。</w:t>
            </w:r>
          </w:p>
        </w:tc>
        <w:tc>
          <w:tcPr>
            <w:tcW w:w="117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A09F5DD">
            <w:pPr>
              <w:pStyle w:val="48"/>
              <w:spacing w:beforeLines="0" w:afterLines="0"/>
              <w:ind w:left="0" w:leftChars="0" w:firstLine="0" w:firstLineChar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新建</w:t>
            </w:r>
          </w:p>
        </w:tc>
      </w:tr>
      <w:tr w14:paraId="307F1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55" w:type="dxa"/>
            <w:vMerge w:val="continue"/>
            <w:tcBorders>
              <w:left w:val="single" w:color="auto" w:sz="4" w:space="0"/>
              <w:right w:val="single" w:color="auto" w:sz="4" w:space="0"/>
              <w:tl2br w:val="nil"/>
              <w:tr2bl w:val="nil"/>
            </w:tcBorders>
            <w:noWrap w:val="0"/>
            <w:vAlign w:val="top"/>
          </w:tcPr>
          <w:p w14:paraId="02D1298D">
            <w:pPr>
              <w:pStyle w:val="48"/>
              <w:spacing w:beforeLines="0" w:afterLines="0"/>
              <w:rPr>
                <w:rFonts w:hint="default" w:ascii="Times New Roman" w:hAnsi="Times New Roman" w:cs="Times New Roman"/>
                <w:color w:val="auto"/>
                <w:sz w:val="24"/>
                <w:szCs w:val="24"/>
                <w:highlight w:val="none"/>
              </w:rPr>
            </w:pPr>
          </w:p>
        </w:tc>
        <w:tc>
          <w:tcPr>
            <w:tcW w:w="172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79A9413">
            <w:pPr>
              <w:pStyle w:val="48"/>
              <w:spacing w:beforeLines="0" w:afterLines="0"/>
              <w:ind w:left="0" w:leftChars="0" w:firstLine="0" w:firstLineChars="0"/>
              <w:jc w:val="center"/>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rPr>
              <w:t>清水罐</w:t>
            </w:r>
          </w:p>
        </w:tc>
        <w:tc>
          <w:tcPr>
            <w:tcW w:w="5319" w:type="dxa"/>
            <w:tcBorders>
              <w:top w:val="single" w:color="auto" w:sz="4" w:space="0"/>
              <w:left w:val="single" w:color="auto" w:sz="4" w:space="0"/>
              <w:bottom w:val="single" w:color="auto" w:sz="4" w:space="0"/>
              <w:right w:val="single" w:color="auto" w:sz="4" w:space="0"/>
              <w:tl2br w:val="nil"/>
              <w:tr2bl w:val="nil"/>
            </w:tcBorders>
            <w:noWrap w:val="0"/>
            <w:vAlign w:val="top"/>
          </w:tcPr>
          <w:p w14:paraId="5A499472">
            <w:pPr>
              <w:pStyle w:val="48"/>
              <w:spacing w:beforeLines="0" w:afterLines="0"/>
              <w:ind w:left="0" w:leftChars="0" w:firstLine="0" w:firstLineChar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生活区设置清水储罐一个，</w:t>
            </w:r>
            <w:r>
              <w:rPr>
                <w:rFonts w:hint="default" w:ascii="Times New Roman" w:hAnsi="Times New Roman" w:cs="Times New Roman"/>
                <w:color w:val="auto"/>
                <w:sz w:val="24"/>
                <w:szCs w:val="24"/>
                <w:highlight w:val="none"/>
              </w:rPr>
              <w:t>容积为</w:t>
            </w:r>
            <w:r>
              <w:rPr>
                <w:rFonts w:hint="default"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0m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w:t>
            </w:r>
          </w:p>
        </w:tc>
        <w:tc>
          <w:tcPr>
            <w:tcW w:w="117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9480634">
            <w:pPr>
              <w:pStyle w:val="48"/>
              <w:spacing w:beforeLines="0" w:afterLines="0"/>
              <w:ind w:left="0" w:leftChars="0" w:firstLine="0" w:firstLineChar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新建</w:t>
            </w:r>
          </w:p>
        </w:tc>
      </w:tr>
      <w:tr w14:paraId="29974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55" w:type="dxa"/>
            <w:vMerge w:val="continue"/>
            <w:tcBorders>
              <w:left w:val="single" w:color="auto" w:sz="4" w:space="0"/>
              <w:right w:val="single" w:color="auto" w:sz="4" w:space="0"/>
              <w:tl2br w:val="nil"/>
              <w:tr2bl w:val="nil"/>
            </w:tcBorders>
            <w:noWrap w:val="0"/>
            <w:vAlign w:val="top"/>
          </w:tcPr>
          <w:p w14:paraId="2C6B7596">
            <w:pPr>
              <w:pStyle w:val="48"/>
              <w:spacing w:beforeLines="0" w:afterLines="0"/>
              <w:rPr>
                <w:rFonts w:hint="default" w:ascii="Times New Roman" w:hAnsi="Times New Roman" w:cs="Times New Roman"/>
                <w:color w:val="auto"/>
                <w:sz w:val="24"/>
                <w:szCs w:val="24"/>
                <w:highlight w:val="none"/>
              </w:rPr>
            </w:pPr>
          </w:p>
        </w:tc>
        <w:tc>
          <w:tcPr>
            <w:tcW w:w="172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A3B92BA">
            <w:pPr>
              <w:pStyle w:val="48"/>
              <w:spacing w:beforeLines="0" w:afterLines="0"/>
              <w:ind w:left="0" w:leftChars="0" w:firstLine="0" w:firstLineChars="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石英砂成品罐</w:t>
            </w:r>
          </w:p>
        </w:tc>
        <w:tc>
          <w:tcPr>
            <w:tcW w:w="5319" w:type="dxa"/>
            <w:tcBorders>
              <w:top w:val="single" w:color="auto" w:sz="4" w:space="0"/>
              <w:left w:val="single" w:color="auto" w:sz="4" w:space="0"/>
              <w:bottom w:val="single" w:color="auto" w:sz="4" w:space="0"/>
              <w:right w:val="single" w:color="auto" w:sz="4" w:space="0"/>
              <w:tl2br w:val="nil"/>
              <w:tr2bl w:val="nil"/>
            </w:tcBorders>
            <w:noWrap w:val="0"/>
            <w:vAlign w:val="top"/>
          </w:tcPr>
          <w:p w14:paraId="533843BF">
            <w:pPr>
              <w:pStyle w:val="48"/>
              <w:spacing w:beforeLines="0" w:afterLines="0"/>
              <w:ind w:left="0" w:leftChars="0" w:firstLine="0" w:firstLineChars="0"/>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4个2000t</w:t>
            </w:r>
          </w:p>
        </w:tc>
        <w:tc>
          <w:tcPr>
            <w:tcW w:w="117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F286F01">
            <w:pPr>
              <w:pStyle w:val="48"/>
              <w:spacing w:beforeLines="0" w:afterLines="0"/>
              <w:ind w:left="0" w:leftChars="0" w:firstLine="0" w:firstLineChars="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新建</w:t>
            </w:r>
          </w:p>
        </w:tc>
      </w:tr>
      <w:tr w14:paraId="43E25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55"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00F1DDE4">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公辅工程</w:t>
            </w:r>
          </w:p>
        </w:tc>
        <w:tc>
          <w:tcPr>
            <w:tcW w:w="172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2850EEF">
            <w:pPr>
              <w:pStyle w:val="48"/>
              <w:spacing w:beforeLines="0" w:afterLine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供电</w:t>
            </w:r>
          </w:p>
        </w:tc>
        <w:tc>
          <w:tcPr>
            <w:tcW w:w="5319" w:type="dxa"/>
            <w:tcBorders>
              <w:top w:val="single" w:color="auto" w:sz="4" w:space="0"/>
              <w:left w:val="single" w:color="auto" w:sz="4" w:space="0"/>
              <w:bottom w:val="single" w:color="auto" w:sz="4" w:space="0"/>
              <w:right w:val="single" w:color="auto" w:sz="4" w:space="0"/>
              <w:tl2br w:val="nil"/>
              <w:tr2bl w:val="nil"/>
            </w:tcBorders>
            <w:noWrap w:val="0"/>
            <w:vAlign w:val="top"/>
          </w:tcPr>
          <w:p w14:paraId="0D35FA7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本矿区附近已有高压输电线路，距矿区</w:t>
            </w:r>
            <w:r>
              <w:rPr>
                <w:rFonts w:hint="default" w:ascii="Times New Roman" w:hAnsi="Times New Roman" w:cs="Times New Roman"/>
                <w:color w:val="auto"/>
                <w:sz w:val="24"/>
                <w:szCs w:val="24"/>
                <w:highlight w:val="none"/>
                <w:lang w:eastAsia="zh-CN"/>
              </w:rPr>
              <w:t>18km</w:t>
            </w:r>
            <w:r>
              <w:rPr>
                <w:rFonts w:hint="default" w:ascii="Times New Roman" w:hAnsi="Times New Roman" w:cs="Times New Roman"/>
                <w:color w:val="auto"/>
                <w:sz w:val="24"/>
                <w:szCs w:val="24"/>
                <w:highlight w:val="none"/>
              </w:rPr>
              <w:t>，电压等级10kV，可作为矿山供电电源。</w:t>
            </w:r>
          </w:p>
        </w:tc>
        <w:tc>
          <w:tcPr>
            <w:tcW w:w="117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5A0C4A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依托</w:t>
            </w:r>
          </w:p>
        </w:tc>
      </w:tr>
      <w:tr w14:paraId="4AD7C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55"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6EC161B0">
            <w:pPr>
              <w:pStyle w:val="48"/>
              <w:spacing w:beforeLines="0" w:afterLines="0"/>
              <w:rPr>
                <w:rFonts w:hint="default" w:ascii="Times New Roman" w:hAnsi="Times New Roman" w:cs="Times New Roman"/>
                <w:color w:val="auto"/>
                <w:sz w:val="24"/>
                <w:szCs w:val="24"/>
                <w:highlight w:val="none"/>
              </w:rPr>
            </w:pPr>
          </w:p>
        </w:tc>
        <w:tc>
          <w:tcPr>
            <w:tcW w:w="172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FB5B8AE">
            <w:pPr>
              <w:pStyle w:val="48"/>
              <w:spacing w:beforeLines="0" w:afterLine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给水</w:t>
            </w:r>
          </w:p>
        </w:tc>
        <w:tc>
          <w:tcPr>
            <w:tcW w:w="5319" w:type="dxa"/>
            <w:tcBorders>
              <w:top w:val="single" w:color="auto" w:sz="4" w:space="0"/>
              <w:left w:val="single" w:color="auto" w:sz="4" w:space="0"/>
              <w:bottom w:val="single" w:color="auto" w:sz="4" w:space="0"/>
              <w:right w:val="single" w:color="auto" w:sz="4" w:space="0"/>
              <w:tl2br w:val="nil"/>
              <w:tr2bl w:val="nil"/>
            </w:tcBorders>
            <w:noWrap w:val="0"/>
            <w:vAlign w:val="top"/>
          </w:tcPr>
          <w:p w14:paraId="6930151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w:t>
            </w:r>
            <w:r>
              <w:rPr>
                <w:rFonts w:hint="default" w:ascii="Times New Roman" w:hAnsi="Times New Roman" w:cs="Times New Roman"/>
                <w:color w:val="auto"/>
                <w:sz w:val="24"/>
                <w:szCs w:val="24"/>
                <w:highlight w:val="none"/>
                <w:lang w:val="en-US" w:eastAsia="zh-CN"/>
              </w:rPr>
              <w:t>的生产用水和生活用水均</w:t>
            </w:r>
            <w:r>
              <w:rPr>
                <w:rFonts w:hint="default" w:ascii="Times New Roman" w:hAnsi="Times New Roman" w:cs="Times New Roman"/>
                <w:color w:val="auto"/>
                <w:sz w:val="24"/>
                <w:szCs w:val="24"/>
                <w:highlight w:val="none"/>
              </w:rPr>
              <w:t>从项目区</w:t>
            </w:r>
            <w:r>
              <w:rPr>
                <w:rFonts w:hint="default" w:ascii="Times New Roman" w:hAnsi="Times New Roman" w:cs="Times New Roman"/>
                <w:color w:val="auto"/>
                <w:sz w:val="24"/>
                <w:szCs w:val="24"/>
                <w:highlight w:val="none"/>
                <w:lang w:val="en-US" w:eastAsia="zh-CN"/>
              </w:rPr>
              <w:t>南侧60km的六运湖镇</w:t>
            </w:r>
            <w:r>
              <w:rPr>
                <w:rFonts w:hint="default" w:ascii="Times New Roman" w:hAnsi="Times New Roman" w:cs="Times New Roman"/>
                <w:color w:val="auto"/>
                <w:sz w:val="24"/>
                <w:szCs w:val="24"/>
                <w:highlight w:val="none"/>
              </w:rPr>
              <w:t>拉运。</w:t>
            </w:r>
          </w:p>
        </w:tc>
        <w:tc>
          <w:tcPr>
            <w:tcW w:w="117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B6F824B">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p>
        </w:tc>
      </w:tr>
      <w:tr w14:paraId="08FF3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55"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54764FC8">
            <w:pPr>
              <w:pStyle w:val="48"/>
              <w:spacing w:beforeLines="0" w:afterLines="0"/>
              <w:rPr>
                <w:rFonts w:hint="default" w:ascii="Times New Roman" w:hAnsi="Times New Roman" w:cs="Times New Roman"/>
                <w:color w:val="auto"/>
                <w:sz w:val="24"/>
                <w:szCs w:val="24"/>
                <w:highlight w:val="none"/>
              </w:rPr>
            </w:pPr>
          </w:p>
        </w:tc>
        <w:tc>
          <w:tcPr>
            <w:tcW w:w="172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B5A20E0">
            <w:pPr>
              <w:pStyle w:val="48"/>
              <w:spacing w:beforeLines="0" w:afterLine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排水</w:t>
            </w:r>
          </w:p>
        </w:tc>
        <w:tc>
          <w:tcPr>
            <w:tcW w:w="5319" w:type="dxa"/>
            <w:tcBorders>
              <w:top w:val="single" w:color="auto" w:sz="4" w:space="0"/>
              <w:left w:val="single" w:color="auto" w:sz="4" w:space="0"/>
              <w:bottom w:val="single" w:color="auto" w:sz="4" w:space="0"/>
              <w:right w:val="single" w:color="auto" w:sz="4" w:space="0"/>
              <w:tl2br w:val="nil"/>
              <w:tr2bl w:val="nil"/>
            </w:tcBorders>
            <w:noWrap w:val="0"/>
            <w:vAlign w:val="top"/>
          </w:tcPr>
          <w:p w14:paraId="5514152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本项目生产废水经沉淀</w:t>
            </w:r>
            <w:r>
              <w:rPr>
                <w:rFonts w:hint="default" w:ascii="Times New Roman" w:hAnsi="Times New Roman" w:cs="Times New Roman"/>
                <w:color w:val="auto"/>
                <w:sz w:val="24"/>
                <w:szCs w:val="24"/>
                <w:highlight w:val="none"/>
                <w:lang w:val="en-US" w:eastAsia="zh-CN"/>
              </w:rPr>
              <w:t>池沉淀</w:t>
            </w:r>
            <w:r>
              <w:rPr>
                <w:rFonts w:hint="default" w:ascii="Times New Roman" w:hAnsi="Times New Roman" w:cs="Times New Roman"/>
                <w:color w:val="auto"/>
                <w:sz w:val="24"/>
                <w:szCs w:val="24"/>
                <w:highlight w:val="none"/>
              </w:rPr>
              <w:t>后循环利用；生活污水经一体化污水处理设施处理后用于区域洒水降尘。</w:t>
            </w:r>
          </w:p>
        </w:tc>
        <w:tc>
          <w:tcPr>
            <w:tcW w:w="117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6AB3D77">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新建</w:t>
            </w:r>
          </w:p>
        </w:tc>
      </w:tr>
      <w:tr w14:paraId="17D0C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5"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87F4AA1">
            <w:pPr>
              <w:pStyle w:val="48"/>
              <w:spacing w:beforeLines="0" w:afterLines="0"/>
              <w:rPr>
                <w:rFonts w:hint="default" w:ascii="Times New Roman" w:hAnsi="Times New Roman" w:cs="Times New Roman"/>
                <w:color w:val="auto"/>
                <w:sz w:val="24"/>
                <w:szCs w:val="24"/>
                <w:highlight w:val="none"/>
              </w:rPr>
            </w:pPr>
          </w:p>
        </w:tc>
        <w:tc>
          <w:tcPr>
            <w:tcW w:w="172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4594DC7">
            <w:pPr>
              <w:pStyle w:val="48"/>
              <w:spacing w:beforeLines="0" w:afterLine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采暖</w:t>
            </w:r>
          </w:p>
        </w:tc>
        <w:tc>
          <w:tcPr>
            <w:tcW w:w="5319" w:type="dxa"/>
            <w:tcBorders>
              <w:top w:val="single" w:color="auto" w:sz="4" w:space="0"/>
              <w:left w:val="single" w:color="auto" w:sz="4" w:space="0"/>
              <w:bottom w:val="single" w:color="auto" w:sz="4" w:space="0"/>
              <w:right w:val="single" w:color="auto" w:sz="4" w:space="0"/>
              <w:tl2br w:val="nil"/>
              <w:tr2bl w:val="nil"/>
            </w:tcBorders>
            <w:noWrap w:val="0"/>
            <w:vAlign w:val="top"/>
          </w:tcPr>
          <w:p w14:paraId="23AF9A81">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冬季</w:t>
            </w:r>
            <w:r>
              <w:rPr>
                <w:rFonts w:hint="default" w:ascii="Times New Roman" w:hAnsi="Times New Roman" w:cs="Times New Roman"/>
                <w:color w:val="auto"/>
                <w:sz w:val="24"/>
                <w:szCs w:val="24"/>
                <w:highlight w:val="none"/>
                <w:lang w:val="en-US" w:eastAsia="zh-CN"/>
              </w:rPr>
              <w:t>供热、日常热水供应均采用电锅炉</w:t>
            </w:r>
            <w:r>
              <w:rPr>
                <w:rFonts w:hint="default" w:ascii="Times New Roman" w:hAnsi="Times New Roman" w:cs="Times New Roman"/>
                <w:color w:val="auto"/>
                <w:sz w:val="24"/>
                <w:szCs w:val="24"/>
                <w:highlight w:val="none"/>
              </w:rPr>
              <w:t>。</w:t>
            </w:r>
          </w:p>
        </w:tc>
        <w:tc>
          <w:tcPr>
            <w:tcW w:w="117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D094EDC">
            <w:pPr>
              <w:pStyle w:val="48"/>
              <w:spacing w:beforeLines="0" w:afterLines="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新建</w:t>
            </w:r>
          </w:p>
        </w:tc>
      </w:tr>
      <w:tr w14:paraId="5EE54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55" w:type="dxa"/>
            <w:vMerge w:val="restart"/>
            <w:tcBorders>
              <w:top w:val="single" w:color="auto" w:sz="4" w:space="0"/>
              <w:left w:val="single" w:color="auto" w:sz="4" w:space="0"/>
              <w:right w:val="single" w:color="auto" w:sz="4" w:space="0"/>
              <w:tl2br w:val="nil"/>
              <w:tr2bl w:val="nil"/>
            </w:tcBorders>
            <w:noWrap w:val="0"/>
            <w:vAlign w:val="center"/>
          </w:tcPr>
          <w:p w14:paraId="4F7C44E4">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环保工程</w:t>
            </w:r>
          </w:p>
        </w:tc>
        <w:tc>
          <w:tcPr>
            <w:tcW w:w="172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5C4FE56">
            <w:pPr>
              <w:pStyle w:val="48"/>
              <w:spacing w:beforeLines="0" w:afterLine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废气</w:t>
            </w:r>
          </w:p>
        </w:tc>
        <w:tc>
          <w:tcPr>
            <w:tcW w:w="5319" w:type="dxa"/>
            <w:tcBorders>
              <w:top w:val="single" w:color="auto" w:sz="4" w:space="0"/>
              <w:left w:val="single" w:color="auto" w:sz="4" w:space="0"/>
              <w:bottom w:val="single" w:color="auto" w:sz="4" w:space="0"/>
              <w:right w:val="single" w:color="auto" w:sz="4" w:space="0"/>
              <w:tl2br w:val="nil"/>
              <w:tr2bl w:val="nil"/>
            </w:tcBorders>
            <w:noWrap w:val="0"/>
            <w:vAlign w:val="top"/>
          </w:tcPr>
          <w:p w14:paraId="106B98C3">
            <w:pPr>
              <w:pStyle w:val="48"/>
              <w:spacing w:beforeLines="0" w:afterLines="0"/>
              <w:jc w:val="left"/>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1、无组织废气排放污染控制措施：</w:t>
            </w:r>
          </w:p>
          <w:p w14:paraId="4CE343A0">
            <w:pPr>
              <w:pStyle w:val="48"/>
              <w:spacing w:beforeLines="0" w:afterLines="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 1 \* GB3 \* MERGEFORMAT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①</w:t>
            </w:r>
            <w:r>
              <w:rPr>
                <w:rFonts w:hint="default" w:ascii="Times New Roman" w:hAnsi="Times New Roman" w:cs="Times New Roman"/>
                <w:color w:val="auto"/>
                <w:sz w:val="24"/>
                <w:szCs w:val="24"/>
                <w:highlight w:val="none"/>
              </w:rPr>
              <w:fldChar w:fldCharType="end"/>
            </w:r>
            <w:r>
              <w:rPr>
                <w:rFonts w:hint="default" w:ascii="Times New Roman" w:hAnsi="Times New Roman" w:cs="Times New Roman"/>
                <w:color w:val="auto"/>
                <w:sz w:val="24"/>
                <w:szCs w:val="24"/>
                <w:highlight w:val="none"/>
              </w:rPr>
              <w:t>露天开采扬尘配套采用移动式雾炮机降尘、分区分片开采等措施处理；</w:t>
            </w:r>
          </w:p>
          <w:p w14:paraId="40BAFCE3">
            <w:pPr>
              <w:pStyle w:val="48"/>
              <w:spacing w:beforeLines="0" w:afterLines="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②运输扬尘采取苫布遮盖密闭运输；</w:t>
            </w:r>
          </w:p>
          <w:p w14:paraId="2058992D">
            <w:pPr>
              <w:pStyle w:val="48"/>
              <w:spacing w:beforeLines="0" w:afterLines="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控制运输车辆行驶速度及装载量，减少物料转运环节，缩短物料运输距离，严禁在大风及暴雨天气进行物料采装、运输等措施；</w:t>
            </w:r>
          </w:p>
          <w:p w14:paraId="2E10C9A6">
            <w:pPr>
              <w:pStyle w:val="48"/>
              <w:spacing w:beforeLines="0" w:afterLines="0"/>
              <w:jc w:val="left"/>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szCs w:val="24"/>
                <w:highlight w:val="none"/>
              </w:rPr>
              <w:t>③</w:t>
            </w:r>
            <w:r>
              <w:rPr>
                <w:rFonts w:hint="default" w:ascii="Times New Roman" w:hAnsi="Times New Roman" w:cs="Times New Roman"/>
                <w:color w:val="auto"/>
                <w:sz w:val="24"/>
                <w:szCs w:val="24"/>
                <w:highlight w:val="none"/>
                <w:lang w:val="en-US" w:eastAsia="zh-CN"/>
              </w:rPr>
              <w:t>排土场、表土</w:t>
            </w:r>
            <w:r>
              <w:rPr>
                <w:rFonts w:hint="default" w:ascii="Times New Roman" w:hAnsi="Times New Roman" w:cs="Times New Roman"/>
                <w:color w:val="auto"/>
                <w:sz w:val="24"/>
                <w:szCs w:val="24"/>
                <w:highlight w:val="none"/>
              </w:rPr>
              <w:t>堆场扬尘采取定期洒水，采用</w:t>
            </w:r>
            <w:r>
              <w:rPr>
                <w:rFonts w:hint="default" w:ascii="Times New Roman" w:hAnsi="Times New Roman" w:cs="Times New Roman"/>
                <w:color w:val="auto"/>
                <w:sz w:val="24"/>
                <w:szCs w:val="24"/>
                <w:highlight w:val="none"/>
                <w:lang w:eastAsia="zh-CN"/>
              </w:rPr>
              <w:t>篷布</w:t>
            </w:r>
            <w:r>
              <w:rPr>
                <w:rFonts w:hint="default" w:ascii="Times New Roman" w:hAnsi="Times New Roman" w:cs="Times New Roman"/>
                <w:color w:val="auto"/>
                <w:sz w:val="24"/>
                <w:szCs w:val="24"/>
                <w:highlight w:val="none"/>
              </w:rPr>
              <w:t>遮</w:t>
            </w:r>
            <w:r>
              <w:rPr>
                <w:rFonts w:hint="default" w:ascii="Times New Roman" w:hAnsi="Times New Roman" w:eastAsia="宋体" w:cs="Times New Roman"/>
                <w:color w:val="auto"/>
                <w:sz w:val="24"/>
                <w:szCs w:val="24"/>
                <w:highlight w:val="none"/>
              </w:rPr>
              <w:t>盖等。</w:t>
            </w:r>
          </w:p>
          <w:p w14:paraId="430C8B5B">
            <w:pPr>
              <w:pStyle w:val="48"/>
              <w:spacing w:beforeLines="0" w:afterLines="0"/>
              <w:jc w:val="left"/>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④物料转运连廊采取全封闭。</w:t>
            </w:r>
          </w:p>
          <w:p w14:paraId="16F17C12">
            <w:pPr>
              <w:pStyle w:val="48"/>
              <w:spacing w:beforeLines="0" w:afterLines="0"/>
              <w:jc w:val="left"/>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⑤原料堆场采取全封闭设置。</w:t>
            </w:r>
          </w:p>
          <w:p w14:paraId="2A3B168B">
            <w:pPr>
              <w:pStyle w:val="48"/>
              <w:spacing w:beforeLines="0" w:afterLines="0"/>
              <w:jc w:val="left"/>
              <w:rPr>
                <w:rFonts w:hint="default" w:ascii="Times New Roman" w:hAnsi="Times New Roman" w:cs="Times New Roman"/>
                <w:color w:val="00B050"/>
                <w:sz w:val="24"/>
                <w:szCs w:val="24"/>
                <w:highlight w:val="none"/>
                <w:lang w:val="en-US" w:eastAsia="zh-CN"/>
              </w:rPr>
            </w:pPr>
            <w:r>
              <w:rPr>
                <w:rFonts w:hint="eastAsia" w:ascii="Times New Roman" w:hAnsi="Times New Roman" w:cs="Times New Roman"/>
                <w:color w:val="00B050"/>
                <w:sz w:val="24"/>
                <w:szCs w:val="24"/>
                <w:highlight w:val="none"/>
                <w:lang w:val="en-US" w:eastAsia="zh-CN"/>
              </w:rPr>
              <w:fldChar w:fldCharType="begin"/>
            </w:r>
            <w:r>
              <w:rPr>
                <w:rFonts w:hint="eastAsia" w:ascii="Times New Roman" w:hAnsi="Times New Roman" w:cs="Times New Roman"/>
                <w:color w:val="00B050"/>
                <w:sz w:val="24"/>
                <w:szCs w:val="24"/>
                <w:highlight w:val="none"/>
                <w:lang w:val="en-US" w:eastAsia="zh-CN"/>
              </w:rPr>
              <w:instrText xml:space="preserve"> = 6 \* GB3 \* MERGEFORMAT </w:instrText>
            </w:r>
            <w:r>
              <w:rPr>
                <w:rFonts w:hint="eastAsia" w:ascii="Times New Roman" w:hAnsi="Times New Roman" w:cs="Times New Roman"/>
                <w:color w:val="00B050"/>
                <w:sz w:val="24"/>
                <w:szCs w:val="24"/>
                <w:highlight w:val="none"/>
                <w:lang w:val="en-US" w:eastAsia="zh-CN"/>
              </w:rPr>
              <w:fldChar w:fldCharType="separate"/>
            </w:r>
            <w:r>
              <w:rPr>
                <w:rFonts w:hint="default" w:ascii="Times New Roman" w:hAnsi="Times New Roman" w:cs="Times New Roman"/>
                <w:color w:val="00B050"/>
                <w:sz w:val="24"/>
                <w:szCs w:val="24"/>
                <w:highlight w:val="none"/>
                <w:lang w:val="en-US" w:eastAsia="zh-CN"/>
              </w:rPr>
              <w:t>⑥</w:t>
            </w:r>
            <w:r>
              <w:rPr>
                <w:rFonts w:hint="eastAsia" w:ascii="Times New Roman" w:hAnsi="Times New Roman" w:cs="Times New Roman"/>
                <w:color w:val="00B050"/>
                <w:sz w:val="24"/>
                <w:szCs w:val="24"/>
                <w:highlight w:val="none"/>
                <w:lang w:val="en-US" w:eastAsia="zh-CN"/>
              </w:rPr>
              <w:fldChar w:fldCharType="end"/>
            </w:r>
            <w:r>
              <w:rPr>
                <w:rFonts w:hint="eastAsia" w:ascii="Times New Roman" w:hAnsi="Times New Roman" w:cs="Times New Roman"/>
                <w:color w:val="00B050"/>
                <w:sz w:val="24"/>
                <w:szCs w:val="24"/>
                <w:highlight w:val="none"/>
                <w:lang w:val="en-US" w:eastAsia="zh-CN"/>
              </w:rPr>
              <w:t>食堂油烟通过油烟净化器处理后由专用烟道引至屋顶排放。</w:t>
            </w:r>
          </w:p>
          <w:p w14:paraId="09C9707B">
            <w:pPr>
              <w:pStyle w:val="48"/>
              <w:spacing w:beforeLines="0" w:afterLines="0"/>
              <w:jc w:val="left"/>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2、有组织废气排放污染控制措施：</w:t>
            </w:r>
          </w:p>
          <w:p w14:paraId="04EE328A">
            <w:pPr>
              <w:pStyle w:val="48"/>
              <w:spacing w:beforeLines="0" w:afterLines="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①筛分粉尘采用“集气罩+布袋除尘器”除尘，处理后经15m排气筒</w:t>
            </w:r>
            <w:r>
              <w:rPr>
                <w:rFonts w:hint="default" w:ascii="Times New Roman" w:hAnsi="Times New Roman" w:cs="Times New Roman"/>
                <w:color w:val="auto"/>
                <w:sz w:val="24"/>
                <w:szCs w:val="24"/>
                <w:highlight w:val="none"/>
                <w:lang w:val="en-US" w:eastAsia="zh-CN"/>
              </w:rPr>
              <w:t>（DA001）</w:t>
            </w:r>
            <w:r>
              <w:rPr>
                <w:rFonts w:hint="default" w:ascii="Times New Roman" w:hAnsi="Times New Roman" w:cs="Times New Roman"/>
                <w:color w:val="auto"/>
                <w:sz w:val="24"/>
                <w:szCs w:val="24"/>
                <w:highlight w:val="none"/>
              </w:rPr>
              <w:t>排放；</w:t>
            </w:r>
          </w:p>
          <w:p w14:paraId="50114F76">
            <w:pPr>
              <w:pStyle w:val="48"/>
              <w:spacing w:beforeLines="0" w:afterLines="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②</w:t>
            </w:r>
            <w:r>
              <w:rPr>
                <w:rFonts w:hint="default" w:ascii="Times New Roman" w:hAnsi="Times New Roman" w:cs="Times New Roman"/>
                <w:color w:val="auto"/>
                <w:sz w:val="24"/>
                <w:szCs w:val="24"/>
                <w:highlight w:val="none"/>
                <w:lang w:val="en-US" w:eastAsia="zh-CN"/>
              </w:rPr>
              <w:t>烘干炉废气采用布袋除尘器除尘后，通过15m高排气筒（DA002）排放。</w:t>
            </w:r>
          </w:p>
        </w:tc>
        <w:tc>
          <w:tcPr>
            <w:tcW w:w="117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76D6768">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p>
        </w:tc>
      </w:tr>
      <w:tr w14:paraId="7176F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55" w:type="dxa"/>
            <w:vMerge w:val="continue"/>
            <w:tcBorders>
              <w:left w:val="single" w:color="auto" w:sz="4" w:space="0"/>
              <w:right w:val="single" w:color="auto" w:sz="4" w:space="0"/>
              <w:tl2br w:val="nil"/>
              <w:tr2bl w:val="nil"/>
            </w:tcBorders>
            <w:noWrap w:val="0"/>
            <w:vAlign w:val="top"/>
          </w:tcPr>
          <w:p w14:paraId="05E479BA">
            <w:pPr>
              <w:pStyle w:val="48"/>
              <w:spacing w:beforeLines="0" w:afterLines="0"/>
              <w:rPr>
                <w:rFonts w:hint="default" w:ascii="Times New Roman" w:hAnsi="Times New Roman" w:cs="Times New Roman"/>
                <w:color w:val="auto"/>
                <w:sz w:val="24"/>
                <w:szCs w:val="24"/>
                <w:highlight w:val="none"/>
              </w:rPr>
            </w:pPr>
          </w:p>
        </w:tc>
        <w:tc>
          <w:tcPr>
            <w:tcW w:w="172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918EB4A">
            <w:pPr>
              <w:pStyle w:val="48"/>
              <w:spacing w:beforeLines="0" w:afterLines="0"/>
              <w:rPr>
                <w:rFonts w:hint="default" w:ascii="Times New Roman" w:hAnsi="Times New Roman" w:cs="Times New Roman"/>
                <w:color w:val="FF0000"/>
                <w:sz w:val="24"/>
                <w:szCs w:val="24"/>
                <w:highlight w:val="none"/>
              </w:rPr>
            </w:pPr>
            <w:r>
              <w:rPr>
                <w:rFonts w:hint="default" w:ascii="Times New Roman" w:hAnsi="Times New Roman" w:cs="Times New Roman"/>
                <w:color w:val="FF0000"/>
                <w:sz w:val="24"/>
                <w:szCs w:val="24"/>
                <w:highlight w:val="none"/>
              </w:rPr>
              <w:t>废水</w:t>
            </w:r>
          </w:p>
        </w:tc>
        <w:tc>
          <w:tcPr>
            <w:tcW w:w="5319" w:type="dxa"/>
            <w:tcBorders>
              <w:top w:val="single" w:color="auto" w:sz="4" w:space="0"/>
              <w:left w:val="single" w:color="auto" w:sz="4" w:space="0"/>
              <w:bottom w:val="single" w:color="auto" w:sz="4" w:space="0"/>
              <w:right w:val="single" w:color="auto" w:sz="4" w:space="0"/>
              <w:tl2br w:val="nil"/>
              <w:tr2bl w:val="nil"/>
            </w:tcBorders>
            <w:noWrap w:val="0"/>
            <w:vAlign w:val="top"/>
          </w:tcPr>
          <w:p w14:paraId="0CA43B46">
            <w:pPr>
              <w:pStyle w:val="48"/>
              <w:spacing w:beforeLines="0" w:afterLines="0"/>
              <w:rPr>
                <w:rFonts w:hint="eastAsia" w:ascii="Times New Roman" w:hAnsi="Times New Roman" w:cs="Times New Roman"/>
                <w:color w:val="FF0000"/>
                <w:sz w:val="24"/>
                <w:szCs w:val="24"/>
                <w:highlight w:val="none"/>
                <w:lang w:eastAsia="zh-CN"/>
              </w:rPr>
            </w:pPr>
            <w:r>
              <w:rPr>
                <w:rFonts w:hint="default" w:ascii="Times New Roman" w:hAnsi="Times New Roman" w:cs="Times New Roman"/>
                <w:color w:val="FF0000"/>
                <w:sz w:val="24"/>
                <w:szCs w:val="24"/>
                <w:highlight w:val="none"/>
              </w:rPr>
              <w:t>本项目生产废水经沉淀后循环利用；生活污水经一体化污水处理设施处理后用于矿区洒水抑尘</w:t>
            </w:r>
            <w:r>
              <w:rPr>
                <w:rFonts w:hint="eastAsia" w:ascii="Times New Roman" w:hAnsi="Times New Roman" w:cs="Times New Roman"/>
                <w:color w:val="FF0000"/>
                <w:sz w:val="24"/>
                <w:szCs w:val="24"/>
                <w:highlight w:val="none"/>
                <w:lang w:eastAsia="zh-CN"/>
              </w:rPr>
              <w:t>。</w:t>
            </w:r>
          </w:p>
          <w:p w14:paraId="0CB618A6">
            <w:pPr>
              <w:pStyle w:val="48"/>
              <w:spacing w:beforeLines="0" w:afterLines="0"/>
              <w:jc w:val="left"/>
              <w:rPr>
                <w:rFonts w:hint="default" w:ascii="Times New Roman" w:hAnsi="Times New Roman" w:eastAsia="宋体" w:cs="Times New Roman"/>
                <w:color w:val="FF0000"/>
                <w:sz w:val="24"/>
                <w:szCs w:val="24"/>
                <w:highlight w:val="none"/>
                <w:lang w:val="en-US" w:eastAsia="zh-CN"/>
              </w:rPr>
            </w:pPr>
            <w:r>
              <w:rPr>
                <w:rFonts w:hint="eastAsia" w:ascii="Times New Roman" w:hAnsi="Times New Roman" w:eastAsia="宋体" w:cs="Times New Roman"/>
                <w:color w:val="FF0000"/>
                <w:sz w:val="24"/>
                <w:szCs w:val="24"/>
                <w:highlight w:val="none"/>
                <w:lang w:val="en-US" w:eastAsia="zh-CN"/>
              </w:rPr>
              <w:t>工业广场采取分区防渗措施：</w:t>
            </w:r>
            <w:r>
              <w:rPr>
                <w:rFonts w:hint="default" w:ascii="Times New Roman" w:hAnsi="Times New Roman" w:eastAsia="宋体" w:cs="Times New Roman"/>
                <w:color w:val="FF0000"/>
                <w:sz w:val="24"/>
                <w:szCs w:val="24"/>
                <w:highlight w:val="none"/>
              </w:rPr>
              <w:t>①重点防渗区</w:t>
            </w:r>
            <w:r>
              <w:rPr>
                <w:rFonts w:hint="default" w:ascii="Times New Roman" w:hAnsi="Times New Roman" w:eastAsia="宋体" w:cs="Times New Roman"/>
                <w:color w:val="FF0000"/>
                <w:sz w:val="24"/>
                <w:szCs w:val="24"/>
                <w:highlight w:val="none"/>
                <w:lang w:eastAsia="zh-CN"/>
              </w:rPr>
              <w:t>：</w:t>
            </w:r>
            <w:r>
              <w:rPr>
                <w:rFonts w:hint="default" w:ascii="Times New Roman" w:hAnsi="Times New Roman" w:eastAsia="宋体" w:cs="Times New Roman"/>
                <w:color w:val="FF0000"/>
                <w:sz w:val="24"/>
                <w:szCs w:val="24"/>
                <w:highlight w:val="none"/>
              </w:rPr>
              <w:t>危废</w:t>
            </w:r>
            <w:r>
              <w:rPr>
                <w:rFonts w:hint="default" w:ascii="Times New Roman" w:hAnsi="Times New Roman" w:eastAsia="宋体" w:cs="Times New Roman"/>
                <w:color w:val="FF0000"/>
                <w:sz w:val="24"/>
                <w:szCs w:val="24"/>
                <w:highlight w:val="none"/>
                <w:lang w:val="en-US" w:eastAsia="zh-CN"/>
              </w:rPr>
              <w:t>贮存点、生活污水处理装置区。防渗要求为等效黏土防渗层Mb≥6.0m，K≤1×10</w:t>
            </w:r>
            <w:r>
              <w:rPr>
                <w:rFonts w:hint="default" w:ascii="Times New Roman" w:hAnsi="Times New Roman" w:eastAsia="宋体" w:cs="Times New Roman"/>
                <w:color w:val="FF0000"/>
                <w:sz w:val="24"/>
                <w:szCs w:val="24"/>
                <w:highlight w:val="none"/>
                <w:vertAlign w:val="superscript"/>
                <w:lang w:val="en-US" w:eastAsia="zh-CN"/>
              </w:rPr>
              <w:t>-</w:t>
            </w:r>
            <w:r>
              <w:rPr>
                <w:rFonts w:hint="eastAsia" w:ascii="Times New Roman" w:hAnsi="Times New Roman" w:cs="Times New Roman"/>
                <w:color w:val="FF0000"/>
                <w:sz w:val="24"/>
                <w:szCs w:val="24"/>
                <w:highlight w:val="none"/>
                <w:vertAlign w:val="superscript"/>
                <w:lang w:val="en-US" w:eastAsia="zh-CN"/>
              </w:rPr>
              <w:t>7</w:t>
            </w:r>
            <w:r>
              <w:rPr>
                <w:rFonts w:hint="default" w:ascii="Times New Roman" w:hAnsi="Times New Roman" w:eastAsia="宋体" w:cs="Times New Roman"/>
                <w:color w:val="FF0000"/>
                <w:sz w:val="24"/>
                <w:szCs w:val="24"/>
                <w:highlight w:val="none"/>
                <w:lang w:val="en-US" w:eastAsia="zh-CN"/>
              </w:rPr>
              <w:t>cm/s。</w:t>
            </w:r>
          </w:p>
          <w:p w14:paraId="40960AFD">
            <w:pPr>
              <w:pStyle w:val="48"/>
              <w:spacing w:beforeLines="0" w:afterLines="0"/>
              <w:jc w:val="left"/>
              <w:rPr>
                <w:rFonts w:hint="eastAsia" w:ascii="Times New Roman" w:hAnsi="Times New Roman" w:cs="Times New Roman"/>
                <w:color w:val="FF0000"/>
                <w:sz w:val="24"/>
                <w:szCs w:val="24"/>
                <w:highlight w:val="none"/>
                <w:lang w:eastAsia="zh-CN"/>
              </w:rPr>
            </w:pPr>
            <w:r>
              <w:rPr>
                <w:rFonts w:hint="default" w:ascii="Times New Roman" w:hAnsi="Times New Roman" w:eastAsia="宋体" w:cs="Times New Roman"/>
                <w:color w:val="FF0000"/>
                <w:sz w:val="24"/>
                <w:szCs w:val="24"/>
                <w:highlight w:val="none"/>
              </w:rPr>
              <w:t>②简单防渗区</w:t>
            </w:r>
            <w:r>
              <w:rPr>
                <w:rFonts w:hint="eastAsia" w:ascii="Times New Roman" w:hAnsi="Times New Roman" w:cs="Times New Roman"/>
                <w:color w:val="FF0000"/>
                <w:sz w:val="24"/>
                <w:szCs w:val="24"/>
                <w:highlight w:val="none"/>
                <w:lang w:eastAsia="zh-CN"/>
              </w:rPr>
              <w:t>：</w:t>
            </w:r>
            <w:r>
              <w:rPr>
                <w:rFonts w:hint="default" w:ascii="Times New Roman" w:hAnsi="Times New Roman" w:eastAsia="宋体" w:cs="Times New Roman"/>
                <w:color w:val="FF0000"/>
                <w:sz w:val="24"/>
                <w:szCs w:val="24"/>
                <w:highlight w:val="none"/>
                <w:lang w:val="en-US" w:eastAsia="zh-CN"/>
              </w:rPr>
              <w:t>生活区</w:t>
            </w:r>
            <w:r>
              <w:rPr>
                <w:rFonts w:hint="default" w:ascii="Times New Roman" w:hAnsi="Times New Roman" w:eastAsia="宋体" w:cs="Times New Roman"/>
                <w:color w:val="FF0000"/>
                <w:sz w:val="24"/>
                <w:szCs w:val="24"/>
                <w:highlight w:val="none"/>
                <w:lang w:eastAsia="zh-CN"/>
              </w:rPr>
              <w:t>、</w:t>
            </w:r>
            <w:r>
              <w:rPr>
                <w:rFonts w:hint="default" w:ascii="Times New Roman" w:hAnsi="Times New Roman" w:eastAsia="宋体" w:cs="Times New Roman"/>
                <w:color w:val="FF0000"/>
                <w:sz w:val="24"/>
                <w:szCs w:val="24"/>
                <w:highlight w:val="none"/>
                <w:lang w:val="en-US" w:eastAsia="zh-CN"/>
              </w:rPr>
              <w:t>水洗砂堆场、厂房</w:t>
            </w:r>
            <w:r>
              <w:rPr>
                <w:rFonts w:hint="default" w:ascii="Times New Roman" w:hAnsi="Times New Roman" w:eastAsia="宋体" w:cs="Times New Roman"/>
                <w:color w:val="FF0000"/>
                <w:sz w:val="24"/>
                <w:szCs w:val="24"/>
                <w:highlight w:val="none"/>
              </w:rPr>
              <w:t>，进行一般地面水泥硬化。</w:t>
            </w:r>
          </w:p>
        </w:tc>
        <w:tc>
          <w:tcPr>
            <w:tcW w:w="117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DF3C1DC">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p>
        </w:tc>
      </w:tr>
      <w:tr w14:paraId="75FD6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55" w:type="dxa"/>
            <w:vMerge w:val="continue"/>
            <w:tcBorders>
              <w:left w:val="single" w:color="auto" w:sz="4" w:space="0"/>
              <w:right w:val="single" w:color="auto" w:sz="4" w:space="0"/>
              <w:tl2br w:val="nil"/>
              <w:tr2bl w:val="nil"/>
            </w:tcBorders>
            <w:noWrap w:val="0"/>
            <w:vAlign w:val="top"/>
          </w:tcPr>
          <w:p w14:paraId="7921AA17">
            <w:pPr>
              <w:pStyle w:val="48"/>
              <w:spacing w:beforeLines="0" w:afterLines="0"/>
              <w:rPr>
                <w:rFonts w:hint="default" w:ascii="Times New Roman" w:hAnsi="Times New Roman" w:cs="Times New Roman"/>
                <w:color w:val="auto"/>
                <w:sz w:val="24"/>
                <w:szCs w:val="24"/>
                <w:highlight w:val="none"/>
              </w:rPr>
            </w:pPr>
          </w:p>
        </w:tc>
        <w:tc>
          <w:tcPr>
            <w:tcW w:w="172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E4CD9F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噪声</w:t>
            </w:r>
          </w:p>
        </w:tc>
        <w:tc>
          <w:tcPr>
            <w:tcW w:w="5319" w:type="dxa"/>
            <w:tcBorders>
              <w:top w:val="single" w:color="auto" w:sz="4" w:space="0"/>
              <w:left w:val="single" w:color="auto" w:sz="4" w:space="0"/>
              <w:bottom w:val="single" w:color="auto" w:sz="4" w:space="0"/>
              <w:right w:val="single" w:color="auto" w:sz="4" w:space="0"/>
              <w:tl2br w:val="nil"/>
              <w:tr2bl w:val="nil"/>
            </w:tcBorders>
            <w:noWrap w:val="0"/>
            <w:vAlign w:val="top"/>
          </w:tcPr>
          <w:p w14:paraId="4EF86C8B">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基础减震，运输车辆禁鸣、限速</w:t>
            </w:r>
          </w:p>
        </w:tc>
        <w:tc>
          <w:tcPr>
            <w:tcW w:w="117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B8F883C">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p>
        </w:tc>
      </w:tr>
      <w:tr w14:paraId="40E08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55" w:type="dxa"/>
            <w:vMerge w:val="continue"/>
            <w:tcBorders>
              <w:left w:val="single" w:color="auto" w:sz="4" w:space="0"/>
              <w:right w:val="single" w:color="auto" w:sz="4" w:space="0"/>
              <w:tl2br w:val="nil"/>
              <w:tr2bl w:val="nil"/>
            </w:tcBorders>
            <w:noWrap w:val="0"/>
            <w:vAlign w:val="top"/>
          </w:tcPr>
          <w:p w14:paraId="0C8D104E">
            <w:pPr>
              <w:pStyle w:val="48"/>
              <w:spacing w:beforeLines="0" w:afterLines="0"/>
              <w:rPr>
                <w:rFonts w:hint="default" w:ascii="Times New Roman" w:hAnsi="Times New Roman" w:cs="Times New Roman"/>
                <w:color w:val="auto"/>
                <w:sz w:val="24"/>
                <w:szCs w:val="24"/>
                <w:highlight w:val="none"/>
              </w:rPr>
            </w:pPr>
          </w:p>
        </w:tc>
        <w:tc>
          <w:tcPr>
            <w:tcW w:w="172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3CEAE4E">
            <w:pPr>
              <w:pStyle w:val="48"/>
              <w:spacing w:beforeLines="0" w:afterLines="0"/>
              <w:jc w:val="center"/>
              <w:rPr>
                <w:rFonts w:hint="default" w:ascii="Times New Roman" w:hAnsi="Times New Roman" w:eastAsia="宋体" w:cs="Times New Roman"/>
                <w:color w:val="FF0000"/>
                <w:sz w:val="24"/>
                <w:szCs w:val="24"/>
                <w:highlight w:val="none"/>
              </w:rPr>
            </w:pPr>
            <w:r>
              <w:rPr>
                <w:rFonts w:hint="default" w:ascii="Times New Roman" w:hAnsi="Times New Roman" w:eastAsia="宋体" w:cs="Times New Roman"/>
                <w:color w:val="FF0000"/>
                <w:sz w:val="24"/>
                <w:szCs w:val="24"/>
                <w:highlight w:val="none"/>
              </w:rPr>
              <w:t>固废</w:t>
            </w:r>
          </w:p>
        </w:tc>
        <w:tc>
          <w:tcPr>
            <w:tcW w:w="5319" w:type="dxa"/>
            <w:tcBorders>
              <w:top w:val="single" w:color="auto" w:sz="4" w:space="0"/>
              <w:left w:val="single" w:color="auto" w:sz="4" w:space="0"/>
              <w:bottom w:val="single" w:color="auto" w:sz="4" w:space="0"/>
              <w:right w:val="single" w:color="auto" w:sz="4" w:space="0"/>
              <w:tl2br w:val="nil"/>
              <w:tr2bl w:val="nil"/>
            </w:tcBorders>
            <w:noWrap w:val="0"/>
            <w:vAlign w:val="top"/>
          </w:tcPr>
          <w:p w14:paraId="293CCD07">
            <w:pPr>
              <w:pStyle w:val="48"/>
              <w:spacing w:beforeLines="0" w:afterLines="0"/>
              <w:jc w:val="left"/>
              <w:rPr>
                <w:rFonts w:hint="default" w:ascii="Times New Roman" w:hAnsi="Times New Roman" w:eastAsia="宋体" w:cs="Times New Roman"/>
                <w:color w:val="FF0000"/>
                <w:sz w:val="24"/>
                <w:szCs w:val="24"/>
                <w:highlight w:val="none"/>
              </w:rPr>
            </w:pPr>
            <w:r>
              <w:rPr>
                <w:rFonts w:hint="eastAsia" w:ascii="Times New Roman" w:hAnsi="Times New Roman" w:eastAsia="宋体" w:cs="Times New Roman"/>
                <w:color w:val="FF0000"/>
                <w:sz w:val="24"/>
                <w:szCs w:val="24"/>
                <w:highlight w:val="none"/>
              </w:rPr>
              <w:t>①</w:t>
            </w:r>
            <w:r>
              <w:rPr>
                <w:rFonts w:hint="default" w:ascii="Times New Roman" w:hAnsi="Times New Roman" w:eastAsia="宋体" w:cs="Times New Roman"/>
                <w:color w:val="FF0000"/>
                <w:sz w:val="24"/>
                <w:szCs w:val="24"/>
                <w:highlight w:val="none"/>
              </w:rPr>
              <w:t>生活垃圾集中收集后，定期运至阜康市生活垃圾填埋场集中处置。</w:t>
            </w:r>
          </w:p>
          <w:p w14:paraId="1247E7E4">
            <w:pPr>
              <w:pStyle w:val="48"/>
              <w:spacing w:beforeLines="0" w:afterLines="0"/>
              <w:jc w:val="left"/>
              <w:rPr>
                <w:rFonts w:hint="default" w:ascii="Times New Roman" w:hAnsi="Times New Roman" w:eastAsia="宋体" w:cs="Times New Roman"/>
                <w:color w:val="FF0000"/>
                <w:sz w:val="24"/>
                <w:szCs w:val="24"/>
                <w:highlight w:val="none"/>
              </w:rPr>
            </w:pPr>
            <w:r>
              <w:rPr>
                <w:rFonts w:hint="eastAsia" w:ascii="Times New Roman" w:hAnsi="Times New Roman" w:eastAsia="宋体" w:cs="Times New Roman"/>
                <w:color w:val="FF0000"/>
                <w:sz w:val="24"/>
                <w:szCs w:val="24"/>
                <w:highlight w:val="none"/>
              </w:rPr>
              <w:t>②</w:t>
            </w:r>
            <w:r>
              <w:rPr>
                <w:rFonts w:hint="default" w:ascii="Times New Roman" w:hAnsi="Times New Roman" w:eastAsia="宋体" w:cs="Times New Roman"/>
                <w:color w:val="FF0000"/>
                <w:sz w:val="24"/>
                <w:szCs w:val="24"/>
                <w:highlight w:val="none"/>
              </w:rPr>
              <w:t>筛</w:t>
            </w:r>
            <w:r>
              <w:rPr>
                <w:rFonts w:hint="default" w:ascii="Times New Roman" w:hAnsi="Times New Roman" w:eastAsia="宋体" w:cs="Times New Roman"/>
                <w:color w:val="FF0000"/>
                <w:sz w:val="24"/>
                <w:szCs w:val="24"/>
                <w:highlight w:val="none"/>
                <w:lang w:val="en-US" w:eastAsia="zh-CN"/>
              </w:rPr>
              <w:t>分</w:t>
            </w:r>
            <w:r>
              <w:rPr>
                <w:rFonts w:hint="default" w:ascii="Times New Roman" w:hAnsi="Times New Roman" w:eastAsia="宋体" w:cs="Times New Roman"/>
                <w:color w:val="FF0000"/>
                <w:sz w:val="24"/>
                <w:szCs w:val="24"/>
                <w:highlight w:val="none"/>
              </w:rPr>
              <w:t>产生的废弃砂土前期集中堆放至</w:t>
            </w:r>
            <w:r>
              <w:rPr>
                <w:rFonts w:hint="default" w:ascii="Times New Roman" w:hAnsi="Times New Roman" w:eastAsia="宋体" w:cs="Times New Roman"/>
                <w:color w:val="FF0000"/>
                <w:sz w:val="24"/>
                <w:szCs w:val="24"/>
                <w:highlight w:val="none"/>
                <w:lang w:val="en-US" w:eastAsia="zh-CN"/>
              </w:rPr>
              <w:t>排土场</w:t>
            </w:r>
            <w:r>
              <w:rPr>
                <w:rFonts w:hint="default" w:ascii="Times New Roman" w:hAnsi="Times New Roman" w:eastAsia="宋体" w:cs="Times New Roman"/>
                <w:color w:val="FF0000"/>
                <w:sz w:val="24"/>
                <w:szCs w:val="24"/>
                <w:highlight w:val="none"/>
              </w:rPr>
              <w:t>，采用</w:t>
            </w:r>
            <w:r>
              <w:rPr>
                <w:rFonts w:hint="default" w:ascii="Times New Roman" w:hAnsi="Times New Roman" w:eastAsia="宋体" w:cs="Times New Roman"/>
                <w:color w:val="FF0000"/>
                <w:sz w:val="24"/>
                <w:szCs w:val="24"/>
                <w:highlight w:val="none"/>
                <w:lang w:val="en-US" w:eastAsia="zh-CN"/>
              </w:rPr>
              <w:t>篷布</w:t>
            </w:r>
            <w:r>
              <w:rPr>
                <w:rFonts w:hint="default" w:ascii="Times New Roman" w:hAnsi="Times New Roman" w:eastAsia="宋体" w:cs="Times New Roman"/>
                <w:color w:val="FF0000"/>
                <w:sz w:val="24"/>
                <w:szCs w:val="24"/>
                <w:highlight w:val="none"/>
              </w:rPr>
              <w:t>遮盖，后期回填露天采坑，并用推土机推平。</w:t>
            </w:r>
          </w:p>
          <w:p w14:paraId="7FEA97FA">
            <w:pPr>
              <w:pStyle w:val="48"/>
              <w:spacing w:beforeLines="0" w:afterLines="0"/>
              <w:jc w:val="left"/>
              <w:rPr>
                <w:rFonts w:hint="default" w:ascii="Times New Roman" w:hAnsi="Times New Roman" w:eastAsia="宋体" w:cs="Times New Roman"/>
                <w:color w:val="FF0000"/>
                <w:sz w:val="24"/>
                <w:szCs w:val="24"/>
                <w:highlight w:val="none"/>
              </w:rPr>
            </w:pPr>
            <w:r>
              <w:rPr>
                <w:rFonts w:hint="eastAsia" w:ascii="Times New Roman" w:hAnsi="Times New Roman" w:eastAsia="宋体" w:cs="Times New Roman"/>
                <w:color w:val="FF0000"/>
                <w:sz w:val="24"/>
                <w:szCs w:val="24"/>
                <w:highlight w:val="none"/>
              </w:rPr>
              <w:t>③</w:t>
            </w:r>
            <w:r>
              <w:rPr>
                <w:rFonts w:hint="default" w:ascii="Times New Roman" w:hAnsi="Times New Roman" w:eastAsia="宋体" w:cs="Times New Roman"/>
                <w:color w:val="FF0000"/>
                <w:sz w:val="24"/>
                <w:szCs w:val="24"/>
                <w:highlight w:val="none"/>
              </w:rPr>
              <w:t>剥离表土集中堆存至表土堆场，用于土地复垦。</w:t>
            </w:r>
          </w:p>
          <w:p w14:paraId="0C442BDB">
            <w:pPr>
              <w:pStyle w:val="48"/>
              <w:spacing w:beforeLines="0" w:afterLines="0"/>
              <w:jc w:val="left"/>
              <w:rPr>
                <w:rFonts w:hint="default" w:ascii="Times New Roman" w:hAnsi="Times New Roman" w:eastAsia="宋体" w:cs="Times New Roman"/>
                <w:color w:val="FF0000"/>
                <w:sz w:val="24"/>
                <w:szCs w:val="24"/>
                <w:highlight w:val="none"/>
              </w:rPr>
            </w:pPr>
            <w:r>
              <w:rPr>
                <w:rFonts w:hint="eastAsia" w:ascii="Times New Roman" w:hAnsi="Times New Roman" w:eastAsia="宋体" w:cs="Times New Roman"/>
                <w:color w:val="FF0000"/>
                <w:sz w:val="24"/>
                <w:szCs w:val="24"/>
                <w:highlight w:val="none"/>
              </w:rPr>
              <w:t>④</w:t>
            </w:r>
            <w:r>
              <w:rPr>
                <w:rFonts w:hint="default" w:ascii="Times New Roman" w:hAnsi="Times New Roman" w:eastAsia="宋体" w:cs="Times New Roman"/>
                <w:color w:val="FF0000"/>
                <w:sz w:val="24"/>
                <w:szCs w:val="24"/>
                <w:highlight w:val="none"/>
              </w:rPr>
              <w:t>沉淀</w:t>
            </w:r>
            <w:r>
              <w:rPr>
                <w:rFonts w:hint="default" w:ascii="Times New Roman" w:hAnsi="Times New Roman" w:eastAsia="宋体" w:cs="Times New Roman"/>
                <w:color w:val="FF0000"/>
                <w:sz w:val="24"/>
                <w:szCs w:val="24"/>
                <w:highlight w:val="none"/>
                <w:lang w:val="en-US" w:eastAsia="zh-CN"/>
              </w:rPr>
              <w:t>池</w:t>
            </w:r>
            <w:r>
              <w:rPr>
                <w:rFonts w:hint="default" w:ascii="Times New Roman" w:hAnsi="Times New Roman" w:eastAsia="宋体" w:cs="Times New Roman"/>
                <w:color w:val="FF0000"/>
                <w:sz w:val="24"/>
                <w:szCs w:val="24"/>
                <w:highlight w:val="none"/>
              </w:rPr>
              <w:t>沉渣定期清运至本项目</w:t>
            </w:r>
            <w:r>
              <w:rPr>
                <w:rFonts w:hint="default" w:ascii="Times New Roman" w:hAnsi="Times New Roman" w:eastAsia="宋体" w:cs="Times New Roman"/>
                <w:color w:val="FF0000"/>
                <w:sz w:val="24"/>
                <w:szCs w:val="24"/>
                <w:highlight w:val="none"/>
                <w:lang w:val="en-US" w:eastAsia="zh-CN"/>
              </w:rPr>
              <w:t>排土场</w:t>
            </w:r>
            <w:r>
              <w:rPr>
                <w:rFonts w:hint="default" w:ascii="Times New Roman" w:hAnsi="Times New Roman" w:eastAsia="宋体" w:cs="Times New Roman"/>
                <w:color w:val="FF0000"/>
                <w:sz w:val="24"/>
                <w:szCs w:val="24"/>
                <w:highlight w:val="none"/>
              </w:rPr>
              <w:t>。</w:t>
            </w:r>
          </w:p>
          <w:p w14:paraId="292356A4">
            <w:pPr>
              <w:pStyle w:val="48"/>
              <w:spacing w:beforeLines="0" w:afterLines="0"/>
              <w:jc w:val="left"/>
              <w:rPr>
                <w:rFonts w:hint="default" w:ascii="Times New Roman" w:hAnsi="Times New Roman" w:eastAsia="宋体" w:cs="Times New Roman"/>
                <w:color w:val="FF0000"/>
                <w:sz w:val="24"/>
                <w:szCs w:val="24"/>
                <w:highlight w:val="none"/>
                <w:lang w:val="en-US"/>
              </w:rPr>
            </w:pPr>
            <w:r>
              <w:rPr>
                <w:rFonts w:hint="eastAsia" w:ascii="Times New Roman" w:hAnsi="Times New Roman" w:eastAsia="宋体" w:cs="Times New Roman"/>
                <w:color w:val="FF0000"/>
                <w:sz w:val="24"/>
                <w:szCs w:val="24"/>
                <w:highlight w:val="none"/>
              </w:rPr>
              <w:t>⑤</w:t>
            </w:r>
            <w:r>
              <w:rPr>
                <w:rFonts w:hint="default" w:ascii="Times New Roman" w:hAnsi="Times New Roman" w:eastAsia="宋体" w:cs="Times New Roman"/>
                <w:color w:val="FF0000"/>
                <w:sz w:val="24"/>
                <w:szCs w:val="24"/>
                <w:highlight w:val="none"/>
                <w:lang w:val="en-US" w:eastAsia="zh-CN"/>
              </w:rPr>
              <w:t>废矿物油及包装桶</w:t>
            </w:r>
            <w:r>
              <w:rPr>
                <w:rFonts w:hint="eastAsia" w:ascii="Times New Roman" w:hAnsi="Times New Roman" w:eastAsia="宋体" w:cs="Times New Roman"/>
                <w:color w:val="FF0000"/>
                <w:sz w:val="24"/>
                <w:szCs w:val="24"/>
                <w:highlight w:val="none"/>
                <w:lang w:val="en-US" w:eastAsia="zh-CN"/>
              </w:rPr>
              <w:t>在工业广场危废贮存点贮存，委托危废处置单位代为处置。</w:t>
            </w:r>
          </w:p>
        </w:tc>
        <w:tc>
          <w:tcPr>
            <w:tcW w:w="117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13D1857">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p>
        </w:tc>
      </w:tr>
      <w:tr w14:paraId="1A9FE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55" w:type="dxa"/>
            <w:vMerge w:val="continue"/>
            <w:tcBorders>
              <w:left w:val="single" w:color="auto" w:sz="4" w:space="0"/>
              <w:right w:val="single" w:color="auto" w:sz="4" w:space="0"/>
              <w:tl2br w:val="nil"/>
              <w:tr2bl w:val="nil"/>
            </w:tcBorders>
            <w:noWrap w:val="0"/>
            <w:vAlign w:val="top"/>
          </w:tcPr>
          <w:p w14:paraId="10E0C572">
            <w:pPr>
              <w:pStyle w:val="48"/>
              <w:spacing w:beforeLines="0" w:afterLines="0"/>
              <w:jc w:val="both"/>
              <w:rPr>
                <w:rFonts w:hint="default" w:ascii="Times New Roman" w:hAnsi="Times New Roman" w:cs="Times New Roman"/>
                <w:color w:val="auto"/>
                <w:sz w:val="24"/>
                <w:szCs w:val="24"/>
                <w:highlight w:val="none"/>
              </w:rPr>
            </w:pPr>
          </w:p>
        </w:tc>
        <w:tc>
          <w:tcPr>
            <w:tcW w:w="172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F57484E">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土地复垦</w:t>
            </w:r>
          </w:p>
        </w:tc>
        <w:tc>
          <w:tcPr>
            <w:tcW w:w="531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259014A">
            <w:pPr>
              <w:pStyle w:val="48"/>
              <w:spacing w:beforeLines="0" w:afterLines="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闭矿期采矿活动结束后，拆除地表建筑物，地表进行复垦，恢复原有地表形态。</w:t>
            </w:r>
          </w:p>
        </w:tc>
        <w:tc>
          <w:tcPr>
            <w:tcW w:w="117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AAAB31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p>
        </w:tc>
      </w:tr>
      <w:tr w14:paraId="22AC1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4" w:hRule="atLeast"/>
        </w:trPr>
        <w:tc>
          <w:tcPr>
            <w:tcW w:w="955" w:type="dxa"/>
            <w:vMerge w:val="continue"/>
            <w:tcBorders>
              <w:left w:val="single" w:color="auto" w:sz="4" w:space="0"/>
              <w:right w:val="single" w:color="auto" w:sz="4" w:space="0"/>
              <w:tl2br w:val="nil"/>
              <w:tr2bl w:val="nil"/>
            </w:tcBorders>
            <w:noWrap w:val="0"/>
            <w:vAlign w:val="top"/>
          </w:tcPr>
          <w:p w14:paraId="028F6E15">
            <w:pPr>
              <w:pStyle w:val="48"/>
              <w:spacing w:beforeLines="0" w:afterLines="0"/>
              <w:rPr>
                <w:rFonts w:hint="default" w:ascii="Times New Roman" w:hAnsi="Times New Roman" w:cs="Times New Roman"/>
                <w:color w:val="auto"/>
                <w:sz w:val="24"/>
                <w:szCs w:val="24"/>
                <w:highlight w:val="none"/>
              </w:rPr>
            </w:pPr>
          </w:p>
        </w:tc>
        <w:tc>
          <w:tcPr>
            <w:tcW w:w="1722" w:type="dxa"/>
            <w:tcBorders>
              <w:top w:val="single" w:color="auto" w:sz="4" w:space="0"/>
              <w:left w:val="single" w:color="auto" w:sz="4" w:space="0"/>
              <w:bottom w:val="single" w:color="auto" w:sz="4" w:space="0"/>
              <w:right w:val="single" w:color="auto" w:sz="4" w:space="0"/>
              <w:tl2br w:val="nil"/>
              <w:tr2bl w:val="nil"/>
            </w:tcBorders>
            <w:noWrap w:val="0"/>
            <w:vAlign w:val="top"/>
          </w:tcPr>
          <w:p w14:paraId="22A10F1A">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生态保护</w:t>
            </w:r>
          </w:p>
        </w:tc>
        <w:tc>
          <w:tcPr>
            <w:tcW w:w="5319" w:type="dxa"/>
            <w:tcBorders>
              <w:top w:val="single" w:color="auto" w:sz="4" w:space="0"/>
              <w:left w:val="single" w:color="auto" w:sz="4" w:space="0"/>
              <w:bottom w:val="single" w:color="auto" w:sz="4" w:space="0"/>
              <w:right w:val="single" w:color="auto" w:sz="4" w:space="0"/>
              <w:tl2br w:val="nil"/>
              <w:tr2bl w:val="nil"/>
            </w:tcBorders>
            <w:noWrap w:val="0"/>
            <w:vAlign w:val="top"/>
          </w:tcPr>
          <w:p w14:paraId="426B77F7">
            <w:pPr>
              <w:pStyle w:val="48"/>
              <w:numPr>
                <w:ilvl w:val="0"/>
                <w:numId w:val="0"/>
              </w:numPr>
              <w:spacing w:beforeLines="0" w:afterLines="0"/>
              <w:jc w:val="both"/>
              <w:rPr>
                <w:rFonts w:hint="default" w:ascii="Times New Roman" w:hAnsi="Times New Roman" w:cs="Times New Roman"/>
                <w:b/>
                <w:color w:val="auto"/>
                <w:sz w:val="24"/>
                <w:szCs w:val="24"/>
                <w:highlight w:val="none"/>
                <w:lang w:val="en-US" w:eastAsia="zh-CN"/>
              </w:rPr>
            </w:pPr>
            <w:r>
              <w:rPr>
                <w:rFonts w:hint="default" w:ascii="Times New Roman" w:hAnsi="Times New Roman" w:cs="Times New Roman"/>
                <w:b/>
                <w:color w:val="auto"/>
                <w:sz w:val="24"/>
                <w:szCs w:val="24"/>
                <w:highlight w:val="none"/>
                <w:lang w:val="en-US" w:eastAsia="zh-CN"/>
              </w:rPr>
              <w:t>施工期生态</w:t>
            </w:r>
            <w:r>
              <w:rPr>
                <w:rFonts w:hint="default" w:ascii="Times New Roman" w:hAnsi="Times New Roman" w:cs="Times New Roman"/>
                <w:b/>
                <w:color w:val="auto"/>
                <w:sz w:val="24"/>
                <w:szCs w:val="24"/>
                <w:highlight w:val="none"/>
              </w:rPr>
              <w:t>保护措施</w:t>
            </w:r>
            <w:r>
              <w:rPr>
                <w:rFonts w:hint="default" w:ascii="Times New Roman" w:hAnsi="Times New Roman" w:cs="Times New Roman"/>
                <w:b/>
                <w:color w:val="auto"/>
                <w:sz w:val="24"/>
                <w:szCs w:val="24"/>
                <w:highlight w:val="none"/>
                <w:lang w:val="en-US" w:eastAsia="zh-CN"/>
              </w:rPr>
              <w:t>：</w:t>
            </w:r>
          </w:p>
          <w:p w14:paraId="392F6E10">
            <w:pPr>
              <w:pStyle w:val="48"/>
              <w:spacing w:beforeLines="0" w:afterLines="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施工期间应划定施工活动范围，严格控制和管理运输车辆及重型机械的运输路线和范围，不得离开运输道路随意行驶，由专人负责，以防破坏土壤和植被，加剧土地荒漠化。</w:t>
            </w:r>
          </w:p>
          <w:p w14:paraId="4C774E49">
            <w:pPr>
              <w:pStyle w:val="48"/>
              <w:spacing w:beforeLines="0" w:afterLines="0"/>
              <w:jc w:val="left"/>
              <w:rPr>
                <w:rFonts w:hint="default" w:ascii="Times New Roman" w:hAnsi="Times New Roman" w:cs="Times New Roman"/>
                <w:b/>
                <w:color w:val="auto"/>
                <w:sz w:val="24"/>
                <w:szCs w:val="24"/>
                <w:highlight w:val="none"/>
                <w:lang w:val="en-US" w:eastAsia="zh-CN"/>
              </w:rPr>
            </w:pPr>
            <w:r>
              <w:rPr>
                <w:rFonts w:hint="default" w:ascii="Times New Roman" w:hAnsi="Times New Roman" w:cs="Times New Roman"/>
                <w:b/>
                <w:color w:val="auto"/>
                <w:sz w:val="24"/>
                <w:szCs w:val="24"/>
                <w:highlight w:val="none"/>
                <w:lang w:val="en-US" w:eastAsia="zh-CN"/>
              </w:rPr>
              <w:t>运营期生态</w:t>
            </w:r>
            <w:r>
              <w:rPr>
                <w:rFonts w:hint="default" w:ascii="Times New Roman" w:hAnsi="Times New Roman" w:cs="Times New Roman"/>
                <w:b/>
                <w:color w:val="auto"/>
                <w:sz w:val="24"/>
                <w:szCs w:val="24"/>
                <w:highlight w:val="none"/>
              </w:rPr>
              <w:t>保护措施</w:t>
            </w:r>
            <w:r>
              <w:rPr>
                <w:rFonts w:hint="default" w:ascii="Times New Roman" w:hAnsi="Times New Roman" w:cs="Times New Roman"/>
                <w:b/>
                <w:color w:val="auto"/>
                <w:sz w:val="24"/>
                <w:szCs w:val="24"/>
                <w:highlight w:val="none"/>
                <w:lang w:val="en-US" w:eastAsia="zh-CN"/>
              </w:rPr>
              <w:t>：</w:t>
            </w:r>
          </w:p>
          <w:p w14:paraId="6BC8E46B">
            <w:pPr>
              <w:pStyle w:val="48"/>
              <w:numPr>
                <w:ilvl w:val="0"/>
                <w:numId w:val="0"/>
              </w:numPr>
              <w:spacing w:beforeLines="0" w:afterLines="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①严格按照操作规程和规划设计进行开采，严禁超挖采场坡底，保证台阶段面坡角、最终边坡角及水平标高达到设计要求；</w:t>
            </w:r>
          </w:p>
          <w:p w14:paraId="12C9ED15">
            <w:pPr>
              <w:pStyle w:val="48"/>
              <w:numPr>
                <w:ilvl w:val="0"/>
                <w:numId w:val="0"/>
              </w:numPr>
              <w:spacing w:beforeLines="0" w:afterLines="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②矿区在道路和地面修建时，预设排水沟、截洪沟，减少水土流失。防治水土流失的工程必须在矿区投产前建设完成；</w:t>
            </w:r>
          </w:p>
          <w:p w14:paraId="62924565">
            <w:pPr>
              <w:pStyle w:val="48"/>
              <w:numPr>
                <w:ilvl w:val="0"/>
                <w:numId w:val="0"/>
              </w:numPr>
              <w:spacing w:beforeLines="0" w:afterLines="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③矿区工业广场需进行地面硬化，防止水土流失；</w:t>
            </w:r>
          </w:p>
          <w:p w14:paraId="4F856373">
            <w:pPr>
              <w:pStyle w:val="48"/>
              <w:numPr>
                <w:ilvl w:val="0"/>
                <w:numId w:val="0"/>
              </w:numPr>
              <w:spacing w:beforeLines="0" w:afterLines="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 4 \* GB3 \* MERGEFORMAT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④</w:t>
            </w:r>
            <w:r>
              <w:rPr>
                <w:rFonts w:hint="default" w:ascii="Times New Roman" w:hAnsi="Times New Roman" w:cs="Times New Roman"/>
                <w:color w:val="auto"/>
                <w:sz w:val="24"/>
                <w:szCs w:val="24"/>
                <w:highlight w:val="none"/>
              </w:rPr>
              <w:fldChar w:fldCharType="end"/>
            </w:r>
            <w:r>
              <w:rPr>
                <w:rFonts w:hint="default" w:ascii="Times New Roman" w:hAnsi="Times New Roman" w:cs="Times New Roman"/>
                <w:color w:val="auto"/>
                <w:sz w:val="24"/>
                <w:szCs w:val="24"/>
                <w:highlight w:val="none"/>
              </w:rPr>
              <w:t>运输车辆严格按照规定道路行驶防止碾压土壤植被。</w:t>
            </w:r>
          </w:p>
          <w:p w14:paraId="0E0BD41F">
            <w:pPr>
              <w:pStyle w:val="48"/>
              <w:spacing w:beforeLines="0" w:afterLines="0"/>
              <w:jc w:val="both"/>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闭库期</w:t>
            </w:r>
            <w:r>
              <w:rPr>
                <w:rFonts w:hint="default" w:ascii="Times New Roman" w:hAnsi="Times New Roman" w:cs="Times New Roman"/>
                <w:b/>
                <w:color w:val="auto"/>
                <w:sz w:val="24"/>
                <w:szCs w:val="24"/>
                <w:highlight w:val="none"/>
                <w:lang w:val="en-US" w:eastAsia="zh-CN"/>
              </w:rPr>
              <w:t>生态</w:t>
            </w:r>
            <w:r>
              <w:rPr>
                <w:rFonts w:hint="default" w:ascii="Times New Roman" w:hAnsi="Times New Roman" w:cs="Times New Roman"/>
                <w:b/>
                <w:color w:val="auto"/>
                <w:sz w:val="24"/>
                <w:szCs w:val="24"/>
                <w:highlight w:val="none"/>
              </w:rPr>
              <w:t>保护措施：</w:t>
            </w:r>
          </w:p>
          <w:p w14:paraId="1283AD48">
            <w:pPr>
              <w:pStyle w:val="48"/>
              <w:spacing w:beforeLines="0" w:afterLines="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①针对露天采场进行回填，对露天采场回填区域和上部台阶，采取机械平整，进行覆土植被恢复，沿露天采场边界设置围栏，并安装相应的警示牌。</w:t>
            </w:r>
          </w:p>
          <w:p w14:paraId="2D41B3F0">
            <w:pPr>
              <w:pStyle w:val="48"/>
              <w:spacing w:beforeLines="0" w:afterLines="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②对堆场进行平整、覆土、植被恢复（种植当地乡土物种）、使其基本恢复原土地利用功能，达到与周边环境一致。</w:t>
            </w:r>
          </w:p>
        </w:tc>
        <w:tc>
          <w:tcPr>
            <w:tcW w:w="117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BFC9AF2">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w:t>
            </w:r>
          </w:p>
        </w:tc>
      </w:tr>
      <w:tr w14:paraId="62C82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8" w:hRule="atLeast"/>
        </w:trPr>
        <w:tc>
          <w:tcPr>
            <w:tcW w:w="955" w:type="dxa"/>
            <w:vMerge w:val="continue"/>
            <w:tcBorders>
              <w:left w:val="single" w:color="auto" w:sz="4" w:space="0"/>
              <w:bottom w:val="single" w:color="auto" w:sz="4" w:space="0"/>
              <w:right w:val="single" w:color="auto" w:sz="4" w:space="0"/>
              <w:tl2br w:val="nil"/>
              <w:tr2bl w:val="nil"/>
            </w:tcBorders>
            <w:noWrap w:val="0"/>
            <w:vAlign w:val="top"/>
          </w:tcPr>
          <w:p w14:paraId="4FDE8531">
            <w:pPr>
              <w:pStyle w:val="48"/>
              <w:spacing w:beforeLines="0" w:afterLines="0"/>
              <w:rPr>
                <w:rFonts w:hint="default" w:ascii="Times New Roman" w:hAnsi="Times New Roman" w:cs="Times New Roman"/>
                <w:color w:val="auto"/>
                <w:sz w:val="24"/>
                <w:szCs w:val="24"/>
                <w:highlight w:val="none"/>
              </w:rPr>
            </w:pPr>
          </w:p>
        </w:tc>
        <w:tc>
          <w:tcPr>
            <w:tcW w:w="1722" w:type="dxa"/>
            <w:tcBorders>
              <w:top w:val="single" w:color="auto" w:sz="4" w:space="0"/>
              <w:left w:val="single" w:color="auto" w:sz="4" w:space="0"/>
              <w:bottom w:val="single" w:color="auto" w:sz="4" w:space="0"/>
              <w:right w:val="single" w:color="auto" w:sz="4" w:space="0"/>
              <w:tl2br w:val="nil"/>
              <w:tr2bl w:val="nil"/>
            </w:tcBorders>
            <w:noWrap w:val="0"/>
            <w:vAlign w:val="top"/>
          </w:tcPr>
          <w:p w14:paraId="68391DB7">
            <w:pPr>
              <w:pStyle w:val="48"/>
              <w:spacing w:beforeLines="0" w:afterLines="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环境风险</w:t>
            </w:r>
          </w:p>
        </w:tc>
        <w:tc>
          <w:tcPr>
            <w:tcW w:w="5319" w:type="dxa"/>
            <w:tcBorders>
              <w:top w:val="single" w:color="auto" w:sz="4" w:space="0"/>
              <w:left w:val="single" w:color="auto" w:sz="4" w:space="0"/>
              <w:bottom w:val="single" w:color="auto" w:sz="4" w:space="0"/>
              <w:right w:val="single" w:color="auto" w:sz="4" w:space="0"/>
              <w:tl2br w:val="nil"/>
              <w:tr2bl w:val="nil"/>
            </w:tcBorders>
            <w:noWrap w:val="0"/>
            <w:vAlign w:val="top"/>
          </w:tcPr>
          <w:p w14:paraId="17A6850C">
            <w:pPr>
              <w:pStyle w:val="48"/>
              <w:spacing w:beforeLines="0" w:afterLines="0"/>
              <w:jc w:val="left"/>
              <w:rPr>
                <w:rFonts w:hint="default" w:ascii="Times New Roman" w:hAnsi="Times New Roman" w:cs="Times New Roman"/>
                <w:caps w:val="0"/>
                <w:color w:val="auto"/>
                <w:spacing w:val="0"/>
                <w:position w:val="0"/>
                <w:highlight w:val="none"/>
                <w:lang w:val="en-US" w:eastAsia="zh-CN"/>
              </w:rPr>
            </w:pPr>
            <w:r>
              <w:rPr>
                <w:rFonts w:hint="default" w:ascii="Times New Roman" w:hAnsi="Times New Roman" w:eastAsia="宋体" w:cs="Times New Roman"/>
                <w:color w:val="auto"/>
                <w:sz w:val="24"/>
                <w:szCs w:val="24"/>
                <w:highlight w:val="none"/>
              </w:rPr>
              <w:t>危废</w:t>
            </w:r>
            <w:r>
              <w:rPr>
                <w:rFonts w:hint="default" w:ascii="Times New Roman" w:hAnsi="Times New Roman" w:eastAsia="宋体" w:cs="Times New Roman"/>
                <w:color w:val="auto"/>
                <w:sz w:val="24"/>
                <w:szCs w:val="24"/>
                <w:highlight w:val="none"/>
                <w:lang w:val="en-US" w:eastAsia="zh-CN"/>
              </w:rPr>
              <w:t>贮存点、生活污水处理装置区</w:t>
            </w:r>
            <w:r>
              <w:rPr>
                <w:rFonts w:hint="eastAsia" w:ascii="Times New Roman" w:hAnsi="Times New Roman" w:eastAsia="宋体" w:cs="Times New Roman"/>
                <w:color w:val="auto"/>
                <w:sz w:val="24"/>
                <w:szCs w:val="24"/>
                <w:highlight w:val="none"/>
                <w:lang w:val="en-US" w:eastAsia="zh-CN"/>
              </w:rPr>
              <w:t>，采取重点防渗</w:t>
            </w:r>
            <w:r>
              <w:rPr>
                <w:rFonts w:hint="default" w:ascii="Times New Roman" w:hAnsi="Times New Roman" w:eastAsia="宋体" w:cs="Times New Roman"/>
                <w:color w:val="auto"/>
                <w:sz w:val="24"/>
                <w:szCs w:val="24"/>
                <w:highlight w:val="none"/>
                <w:lang w:val="en-US" w:eastAsia="zh-CN"/>
              </w:rPr>
              <w:t>。防渗要求为等效黏土防渗层Mb≥6.0m，K≤1×10</w:t>
            </w:r>
            <w:r>
              <w:rPr>
                <w:rFonts w:hint="default" w:ascii="Times New Roman" w:hAnsi="Times New Roman" w:eastAsia="宋体" w:cs="Times New Roman"/>
                <w:color w:val="auto"/>
                <w:sz w:val="24"/>
                <w:szCs w:val="24"/>
                <w:highlight w:val="none"/>
                <w:vertAlign w:val="superscript"/>
                <w:lang w:val="en-US" w:eastAsia="zh-CN"/>
              </w:rPr>
              <w:t>-7</w:t>
            </w:r>
            <w:r>
              <w:rPr>
                <w:rFonts w:hint="default" w:ascii="Times New Roman" w:hAnsi="Times New Roman" w:eastAsia="宋体" w:cs="Times New Roman"/>
                <w:color w:val="auto"/>
                <w:sz w:val="24"/>
                <w:szCs w:val="24"/>
                <w:highlight w:val="none"/>
                <w:lang w:val="en-US" w:eastAsia="zh-CN"/>
              </w:rPr>
              <w:t>cm/s。</w:t>
            </w:r>
          </w:p>
        </w:tc>
        <w:tc>
          <w:tcPr>
            <w:tcW w:w="117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196532F">
            <w:pPr>
              <w:pStyle w:val="48"/>
              <w:spacing w:beforeLines="0" w:afterLines="0"/>
              <w:rPr>
                <w:rFonts w:hint="default" w:ascii="Times New Roman" w:hAnsi="Times New Roman" w:cs="Times New Roman"/>
                <w:color w:val="auto"/>
                <w:sz w:val="24"/>
                <w:szCs w:val="24"/>
                <w:highlight w:val="none"/>
                <w:lang w:val="en-US" w:eastAsia="zh-CN"/>
              </w:rPr>
            </w:pPr>
          </w:p>
        </w:tc>
      </w:tr>
    </w:tbl>
    <w:p w14:paraId="33DFA8C8">
      <w:pPr>
        <w:pStyle w:val="14"/>
        <w:kinsoku w:val="0"/>
        <w:overflowPunct w:val="0"/>
        <w:spacing w:before="8" w:beforeLines="0" w:afterLines="0"/>
        <w:ind w:left="0"/>
        <w:rPr>
          <w:rFonts w:hint="default" w:ascii="Times New Roman" w:hAnsi="Times New Roman" w:cs="Times New Roman"/>
          <w:color w:val="auto"/>
          <w:sz w:val="8"/>
          <w:szCs w:val="24"/>
          <w:highlight w:val="none"/>
        </w:rPr>
      </w:pPr>
    </w:p>
    <w:p w14:paraId="6EF1FFD8">
      <w:pPr>
        <w:pStyle w:val="14"/>
        <w:tabs>
          <w:tab w:val="left" w:pos="4087"/>
        </w:tabs>
        <w:kinsoku w:val="0"/>
        <w:overflowPunct w:val="0"/>
        <w:spacing w:before="26" w:beforeLines="0" w:afterLines="0" w:line="240" w:lineRule="auto"/>
        <w:ind w:left="2686" w:right="251"/>
        <w:rPr>
          <w:rFonts w:hint="default" w:ascii="Times New Roman" w:hAnsi="Times New Roman" w:cs="Times New Roman"/>
          <w:color w:val="auto"/>
          <w:sz w:val="24"/>
          <w:szCs w:val="24"/>
          <w:highlight w:val="none"/>
        </w:rPr>
      </w:pPr>
      <w:r>
        <w:rPr>
          <w:rFonts w:hint="default" w:ascii="Times New Roman" w:hAnsi="Times New Roman" w:cs="Times New Roman"/>
          <w:b/>
          <w:color w:val="auto"/>
          <w:sz w:val="24"/>
          <w:szCs w:val="24"/>
          <w:highlight w:val="none"/>
        </w:rPr>
        <w:t>表</w:t>
      </w:r>
      <w:r>
        <w:rPr>
          <w:rFonts w:hint="default" w:ascii="Times New Roman" w:hAnsi="Times New Roman" w:eastAsia="Times New Roman" w:cs="Times New Roman"/>
          <w:b/>
          <w:color w:val="auto"/>
          <w:sz w:val="24"/>
          <w:szCs w:val="24"/>
          <w:highlight w:val="none"/>
        </w:rPr>
        <w:t>3.2-2</w:t>
      </w:r>
      <w:r>
        <w:rPr>
          <w:rFonts w:hint="default" w:ascii="Times New Roman" w:hAnsi="Times New Roman" w:eastAsia="Times New Roman" w:cs="Times New Roman"/>
          <w:b/>
          <w:color w:val="auto"/>
          <w:sz w:val="24"/>
          <w:szCs w:val="24"/>
          <w:highlight w:val="none"/>
        </w:rPr>
        <w:tab/>
      </w:r>
      <w:r>
        <w:rPr>
          <w:rFonts w:hint="default" w:ascii="Times New Roman" w:hAnsi="Times New Roman" w:cs="Times New Roman"/>
          <w:b/>
          <w:color w:val="auto"/>
          <w:sz w:val="24"/>
          <w:szCs w:val="24"/>
          <w:highlight w:val="none"/>
        </w:rPr>
        <w:t>项目主要技术经济指标表</w:t>
      </w:r>
    </w:p>
    <w:tbl>
      <w:tblPr>
        <w:tblStyle w:val="31"/>
        <w:tblW w:w="0" w:type="auto"/>
        <w:tblInd w:w="22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09"/>
        <w:gridCol w:w="2185"/>
        <w:gridCol w:w="1728"/>
        <w:gridCol w:w="4048"/>
      </w:tblGrid>
      <w:tr w14:paraId="511A1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209" w:type="dxa"/>
            <w:tcBorders>
              <w:top w:val="single" w:color="auto" w:sz="4" w:space="0"/>
              <w:left w:val="single" w:color="auto" w:sz="4" w:space="0"/>
              <w:bottom w:val="single" w:color="auto" w:sz="4" w:space="0"/>
              <w:right w:val="single" w:color="auto" w:sz="4" w:space="0"/>
              <w:tl2br w:val="nil"/>
              <w:tr2bl w:val="nil"/>
            </w:tcBorders>
            <w:noWrap w:val="0"/>
            <w:vAlign w:val="top"/>
          </w:tcPr>
          <w:p w14:paraId="598BCC55">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序号</w:t>
            </w:r>
          </w:p>
        </w:tc>
        <w:tc>
          <w:tcPr>
            <w:tcW w:w="2185" w:type="dxa"/>
            <w:tcBorders>
              <w:top w:val="single" w:color="auto" w:sz="4" w:space="0"/>
              <w:left w:val="single" w:color="auto" w:sz="4" w:space="0"/>
              <w:bottom w:val="single" w:color="auto" w:sz="4" w:space="0"/>
              <w:right w:val="single" w:color="auto" w:sz="4" w:space="0"/>
              <w:tl2br w:val="nil"/>
              <w:tr2bl w:val="nil"/>
            </w:tcBorders>
            <w:noWrap w:val="0"/>
            <w:vAlign w:val="top"/>
          </w:tcPr>
          <w:p w14:paraId="4F8B3F6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w:t>
            </w:r>
          </w:p>
        </w:tc>
        <w:tc>
          <w:tcPr>
            <w:tcW w:w="1728" w:type="dxa"/>
            <w:tcBorders>
              <w:top w:val="single" w:color="auto" w:sz="4" w:space="0"/>
              <w:left w:val="single" w:color="auto" w:sz="4" w:space="0"/>
              <w:bottom w:val="single" w:color="auto" w:sz="4" w:space="0"/>
              <w:right w:val="single" w:color="auto" w:sz="4" w:space="0"/>
              <w:tl2br w:val="nil"/>
              <w:tr2bl w:val="nil"/>
            </w:tcBorders>
            <w:noWrap w:val="0"/>
            <w:vAlign w:val="top"/>
          </w:tcPr>
          <w:p w14:paraId="6CE441A4">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单位</w:t>
            </w:r>
          </w:p>
        </w:tc>
        <w:tc>
          <w:tcPr>
            <w:tcW w:w="4048" w:type="dxa"/>
            <w:tcBorders>
              <w:top w:val="single" w:color="auto" w:sz="4" w:space="0"/>
              <w:left w:val="single" w:color="auto" w:sz="4" w:space="0"/>
              <w:bottom w:val="single" w:color="auto" w:sz="4" w:space="0"/>
              <w:right w:val="single" w:color="auto" w:sz="4" w:space="0"/>
              <w:tl2br w:val="nil"/>
              <w:tr2bl w:val="nil"/>
            </w:tcBorders>
            <w:noWrap w:val="0"/>
            <w:vAlign w:val="top"/>
          </w:tcPr>
          <w:p w14:paraId="15BAB13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指标</w:t>
            </w:r>
          </w:p>
        </w:tc>
      </w:tr>
      <w:tr w14:paraId="4C5986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209" w:type="dxa"/>
            <w:tcBorders>
              <w:top w:val="single" w:color="auto" w:sz="4" w:space="0"/>
              <w:left w:val="single" w:color="auto" w:sz="4" w:space="0"/>
              <w:bottom w:val="single" w:color="auto" w:sz="4" w:space="0"/>
              <w:right w:val="single" w:color="auto" w:sz="4" w:space="0"/>
              <w:tl2br w:val="nil"/>
              <w:tr2bl w:val="nil"/>
            </w:tcBorders>
            <w:noWrap w:val="0"/>
            <w:vAlign w:val="top"/>
          </w:tcPr>
          <w:p w14:paraId="5D20202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w:t>
            </w:r>
          </w:p>
        </w:tc>
        <w:tc>
          <w:tcPr>
            <w:tcW w:w="2185" w:type="dxa"/>
            <w:tcBorders>
              <w:top w:val="single" w:color="auto" w:sz="4" w:space="0"/>
              <w:left w:val="single" w:color="auto" w:sz="4" w:space="0"/>
              <w:bottom w:val="single" w:color="auto" w:sz="4" w:space="0"/>
              <w:right w:val="single" w:color="auto" w:sz="4" w:space="0"/>
              <w:tl2br w:val="nil"/>
              <w:tr2bl w:val="nil"/>
            </w:tcBorders>
            <w:noWrap w:val="0"/>
            <w:vAlign w:val="top"/>
          </w:tcPr>
          <w:p w14:paraId="5B44E8B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矿山开采规模</w:t>
            </w:r>
          </w:p>
        </w:tc>
        <w:tc>
          <w:tcPr>
            <w:tcW w:w="1728" w:type="dxa"/>
            <w:tcBorders>
              <w:top w:val="single" w:color="auto" w:sz="4" w:space="0"/>
              <w:left w:val="single" w:color="auto" w:sz="4" w:space="0"/>
              <w:bottom w:val="single" w:color="auto" w:sz="4" w:space="0"/>
              <w:right w:val="single" w:color="auto" w:sz="4" w:space="0"/>
              <w:tl2br w:val="nil"/>
              <w:tr2bl w:val="nil"/>
            </w:tcBorders>
            <w:noWrap w:val="0"/>
            <w:vAlign w:val="top"/>
          </w:tcPr>
          <w:p w14:paraId="7B9EAFFA">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万t/a</w:t>
            </w:r>
          </w:p>
        </w:tc>
        <w:tc>
          <w:tcPr>
            <w:tcW w:w="4048" w:type="dxa"/>
            <w:tcBorders>
              <w:top w:val="single" w:color="auto" w:sz="4" w:space="0"/>
              <w:left w:val="single" w:color="auto" w:sz="4" w:space="0"/>
              <w:bottom w:val="single" w:color="auto" w:sz="4" w:space="0"/>
              <w:right w:val="single" w:color="auto" w:sz="4" w:space="0"/>
              <w:tl2br w:val="nil"/>
              <w:tr2bl w:val="nil"/>
            </w:tcBorders>
            <w:noWrap w:val="0"/>
            <w:vAlign w:val="top"/>
          </w:tcPr>
          <w:p w14:paraId="36BCB162">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80</w:t>
            </w:r>
          </w:p>
        </w:tc>
      </w:tr>
      <w:tr w14:paraId="592968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209" w:type="dxa"/>
            <w:tcBorders>
              <w:top w:val="single" w:color="auto" w:sz="4" w:space="0"/>
              <w:left w:val="single" w:color="auto" w:sz="4" w:space="0"/>
              <w:bottom w:val="single" w:color="auto" w:sz="4" w:space="0"/>
              <w:right w:val="single" w:color="auto" w:sz="4" w:space="0"/>
              <w:tl2br w:val="nil"/>
              <w:tr2bl w:val="nil"/>
            </w:tcBorders>
            <w:noWrap w:val="0"/>
            <w:vAlign w:val="top"/>
          </w:tcPr>
          <w:p w14:paraId="75E61793">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w:t>
            </w:r>
          </w:p>
        </w:tc>
        <w:tc>
          <w:tcPr>
            <w:tcW w:w="2185" w:type="dxa"/>
            <w:tcBorders>
              <w:top w:val="single" w:color="auto" w:sz="4" w:space="0"/>
              <w:left w:val="single" w:color="auto" w:sz="4" w:space="0"/>
              <w:bottom w:val="single" w:color="auto" w:sz="4" w:space="0"/>
              <w:right w:val="single" w:color="auto" w:sz="4" w:space="0"/>
              <w:tl2br w:val="nil"/>
              <w:tr2bl w:val="nil"/>
            </w:tcBorders>
            <w:noWrap w:val="0"/>
            <w:vAlign w:val="top"/>
          </w:tcPr>
          <w:p w14:paraId="7CFCD364">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矿界面积</w:t>
            </w:r>
          </w:p>
        </w:tc>
        <w:tc>
          <w:tcPr>
            <w:tcW w:w="1728" w:type="dxa"/>
            <w:tcBorders>
              <w:top w:val="single" w:color="auto" w:sz="4" w:space="0"/>
              <w:left w:val="single" w:color="auto" w:sz="4" w:space="0"/>
              <w:bottom w:val="single" w:color="auto" w:sz="4" w:space="0"/>
              <w:right w:val="single" w:color="auto" w:sz="4" w:space="0"/>
              <w:tl2br w:val="nil"/>
              <w:tr2bl w:val="nil"/>
            </w:tcBorders>
            <w:noWrap w:val="0"/>
            <w:vAlign w:val="top"/>
          </w:tcPr>
          <w:p w14:paraId="3A65C4F5">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km</w:t>
            </w:r>
            <w:r>
              <w:rPr>
                <w:rFonts w:hint="default" w:ascii="Times New Roman" w:hAnsi="Times New Roman" w:cs="Times New Roman"/>
                <w:color w:val="auto"/>
                <w:sz w:val="24"/>
                <w:szCs w:val="24"/>
                <w:highlight w:val="none"/>
                <w:vertAlign w:val="superscript"/>
              </w:rPr>
              <w:t>2</w:t>
            </w:r>
          </w:p>
        </w:tc>
        <w:tc>
          <w:tcPr>
            <w:tcW w:w="4048" w:type="dxa"/>
            <w:tcBorders>
              <w:top w:val="single" w:color="auto" w:sz="4" w:space="0"/>
              <w:left w:val="single" w:color="auto" w:sz="4" w:space="0"/>
              <w:bottom w:val="single" w:color="auto" w:sz="4" w:space="0"/>
              <w:right w:val="single" w:color="auto" w:sz="4" w:space="0"/>
              <w:tl2br w:val="nil"/>
              <w:tr2bl w:val="nil"/>
            </w:tcBorders>
            <w:noWrap w:val="0"/>
            <w:vAlign w:val="top"/>
          </w:tcPr>
          <w:p w14:paraId="6F4B798E">
            <w:pPr>
              <w:pStyle w:val="48"/>
              <w:spacing w:beforeLines="0" w:afterLines="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1.0366</w:t>
            </w:r>
          </w:p>
        </w:tc>
      </w:tr>
      <w:tr w14:paraId="5D547F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209" w:type="dxa"/>
            <w:tcBorders>
              <w:top w:val="single" w:color="auto" w:sz="4" w:space="0"/>
              <w:left w:val="single" w:color="auto" w:sz="4" w:space="0"/>
              <w:bottom w:val="single" w:color="auto" w:sz="4" w:space="0"/>
              <w:right w:val="single" w:color="auto" w:sz="4" w:space="0"/>
              <w:tl2br w:val="nil"/>
              <w:tr2bl w:val="nil"/>
            </w:tcBorders>
            <w:noWrap w:val="0"/>
            <w:vAlign w:val="top"/>
          </w:tcPr>
          <w:p w14:paraId="2AF3B7C8">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w:t>
            </w:r>
          </w:p>
        </w:tc>
        <w:tc>
          <w:tcPr>
            <w:tcW w:w="2185" w:type="dxa"/>
            <w:tcBorders>
              <w:top w:val="single" w:color="auto" w:sz="4" w:space="0"/>
              <w:left w:val="single" w:color="auto" w:sz="4" w:space="0"/>
              <w:bottom w:val="single" w:color="auto" w:sz="4" w:space="0"/>
              <w:right w:val="single" w:color="auto" w:sz="4" w:space="0"/>
              <w:tl2br w:val="nil"/>
              <w:tr2bl w:val="nil"/>
            </w:tcBorders>
            <w:noWrap w:val="0"/>
            <w:vAlign w:val="top"/>
          </w:tcPr>
          <w:p w14:paraId="0E3D56CD">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资源储量</w:t>
            </w:r>
          </w:p>
        </w:tc>
        <w:tc>
          <w:tcPr>
            <w:tcW w:w="1728" w:type="dxa"/>
            <w:tcBorders>
              <w:top w:val="single" w:color="auto" w:sz="4" w:space="0"/>
              <w:left w:val="single" w:color="auto" w:sz="4" w:space="0"/>
              <w:bottom w:val="single" w:color="auto" w:sz="4" w:space="0"/>
              <w:right w:val="single" w:color="auto" w:sz="4" w:space="0"/>
              <w:tl2br w:val="nil"/>
              <w:tr2bl w:val="nil"/>
            </w:tcBorders>
            <w:noWrap w:val="0"/>
            <w:vAlign w:val="top"/>
          </w:tcPr>
          <w:p w14:paraId="4A18DCE4">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万t</w:t>
            </w:r>
          </w:p>
        </w:tc>
        <w:tc>
          <w:tcPr>
            <w:tcW w:w="4048" w:type="dxa"/>
            <w:tcBorders>
              <w:top w:val="single" w:color="auto" w:sz="4" w:space="0"/>
              <w:left w:val="single" w:color="auto" w:sz="4" w:space="0"/>
              <w:bottom w:val="single" w:color="auto" w:sz="4" w:space="0"/>
              <w:right w:val="single" w:color="auto" w:sz="4" w:space="0"/>
              <w:tl2br w:val="nil"/>
              <w:tr2bl w:val="nil"/>
            </w:tcBorders>
            <w:noWrap w:val="0"/>
            <w:vAlign w:val="top"/>
          </w:tcPr>
          <w:p w14:paraId="6CCCA87A">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1541.58</w:t>
            </w:r>
          </w:p>
        </w:tc>
      </w:tr>
      <w:tr w14:paraId="6D9F0C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209" w:type="dxa"/>
            <w:tcBorders>
              <w:top w:val="single" w:color="auto" w:sz="4" w:space="0"/>
              <w:left w:val="single" w:color="auto" w:sz="4" w:space="0"/>
              <w:bottom w:val="single" w:color="auto" w:sz="4" w:space="0"/>
              <w:right w:val="single" w:color="auto" w:sz="4" w:space="0"/>
              <w:tl2br w:val="nil"/>
              <w:tr2bl w:val="nil"/>
            </w:tcBorders>
            <w:noWrap w:val="0"/>
            <w:vAlign w:val="top"/>
          </w:tcPr>
          <w:p w14:paraId="37AC8B5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w:t>
            </w:r>
          </w:p>
        </w:tc>
        <w:tc>
          <w:tcPr>
            <w:tcW w:w="2185" w:type="dxa"/>
            <w:tcBorders>
              <w:top w:val="single" w:color="auto" w:sz="4" w:space="0"/>
              <w:left w:val="single" w:color="auto" w:sz="4" w:space="0"/>
              <w:bottom w:val="single" w:color="auto" w:sz="4" w:space="0"/>
              <w:right w:val="single" w:color="auto" w:sz="4" w:space="0"/>
              <w:tl2br w:val="nil"/>
              <w:tr2bl w:val="nil"/>
            </w:tcBorders>
            <w:noWrap w:val="0"/>
            <w:vAlign w:val="top"/>
          </w:tcPr>
          <w:p w14:paraId="119F937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开采年限</w:t>
            </w:r>
          </w:p>
        </w:tc>
        <w:tc>
          <w:tcPr>
            <w:tcW w:w="1728" w:type="dxa"/>
            <w:tcBorders>
              <w:top w:val="single" w:color="auto" w:sz="4" w:space="0"/>
              <w:left w:val="single" w:color="auto" w:sz="4" w:space="0"/>
              <w:bottom w:val="single" w:color="auto" w:sz="4" w:space="0"/>
              <w:right w:val="single" w:color="auto" w:sz="4" w:space="0"/>
              <w:tl2br w:val="nil"/>
              <w:tr2bl w:val="nil"/>
            </w:tcBorders>
            <w:noWrap w:val="0"/>
            <w:vAlign w:val="top"/>
          </w:tcPr>
          <w:p w14:paraId="0618A3EE">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年</w:t>
            </w:r>
          </w:p>
        </w:tc>
        <w:tc>
          <w:tcPr>
            <w:tcW w:w="4048" w:type="dxa"/>
            <w:tcBorders>
              <w:top w:val="single" w:color="auto" w:sz="4" w:space="0"/>
              <w:left w:val="single" w:color="auto" w:sz="4" w:space="0"/>
              <w:bottom w:val="single" w:color="auto" w:sz="4" w:space="0"/>
              <w:right w:val="single" w:color="auto" w:sz="4" w:space="0"/>
              <w:tl2br w:val="nil"/>
              <w:tr2bl w:val="nil"/>
            </w:tcBorders>
            <w:noWrap w:val="0"/>
            <w:vAlign w:val="top"/>
          </w:tcPr>
          <w:p w14:paraId="18D72002">
            <w:pPr>
              <w:pStyle w:val="48"/>
              <w:spacing w:beforeLines="0" w:afterLines="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18.69</w:t>
            </w:r>
          </w:p>
        </w:tc>
      </w:tr>
      <w:tr w14:paraId="7CFBC3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209" w:type="dxa"/>
            <w:tcBorders>
              <w:top w:val="single" w:color="auto" w:sz="4" w:space="0"/>
              <w:left w:val="single" w:color="auto" w:sz="4" w:space="0"/>
              <w:bottom w:val="single" w:color="auto" w:sz="4" w:space="0"/>
              <w:right w:val="single" w:color="auto" w:sz="4" w:space="0"/>
              <w:tl2br w:val="nil"/>
              <w:tr2bl w:val="nil"/>
            </w:tcBorders>
            <w:noWrap w:val="0"/>
            <w:vAlign w:val="top"/>
          </w:tcPr>
          <w:p w14:paraId="31DB0C28">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5</w:t>
            </w:r>
          </w:p>
        </w:tc>
        <w:tc>
          <w:tcPr>
            <w:tcW w:w="2185" w:type="dxa"/>
            <w:tcBorders>
              <w:top w:val="single" w:color="auto" w:sz="4" w:space="0"/>
              <w:left w:val="single" w:color="auto" w:sz="4" w:space="0"/>
              <w:bottom w:val="single" w:color="auto" w:sz="4" w:space="0"/>
              <w:right w:val="single" w:color="auto" w:sz="4" w:space="0"/>
              <w:tl2br w:val="nil"/>
              <w:tr2bl w:val="nil"/>
            </w:tcBorders>
            <w:noWrap w:val="0"/>
            <w:vAlign w:val="top"/>
          </w:tcPr>
          <w:p w14:paraId="460C86B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设计损失率</w:t>
            </w:r>
          </w:p>
        </w:tc>
        <w:tc>
          <w:tcPr>
            <w:tcW w:w="1728" w:type="dxa"/>
            <w:tcBorders>
              <w:top w:val="single" w:color="auto" w:sz="4" w:space="0"/>
              <w:left w:val="single" w:color="auto" w:sz="4" w:space="0"/>
              <w:bottom w:val="single" w:color="auto" w:sz="4" w:space="0"/>
              <w:right w:val="single" w:color="auto" w:sz="4" w:space="0"/>
              <w:tl2br w:val="nil"/>
              <w:tr2bl w:val="nil"/>
            </w:tcBorders>
            <w:noWrap w:val="0"/>
            <w:vAlign w:val="top"/>
          </w:tcPr>
          <w:p w14:paraId="55607478">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p>
        </w:tc>
        <w:tc>
          <w:tcPr>
            <w:tcW w:w="4048" w:type="dxa"/>
            <w:tcBorders>
              <w:top w:val="single" w:color="auto" w:sz="4" w:space="0"/>
              <w:left w:val="single" w:color="auto" w:sz="4" w:space="0"/>
              <w:bottom w:val="single" w:color="auto" w:sz="4" w:space="0"/>
              <w:right w:val="single" w:color="auto" w:sz="4" w:space="0"/>
              <w:tl2br w:val="nil"/>
              <w:tr2bl w:val="nil"/>
            </w:tcBorders>
            <w:noWrap w:val="0"/>
            <w:vAlign w:val="top"/>
          </w:tcPr>
          <w:p w14:paraId="40C50415">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2.23</w:t>
            </w:r>
          </w:p>
        </w:tc>
      </w:tr>
      <w:tr w14:paraId="5B8FD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209" w:type="dxa"/>
            <w:tcBorders>
              <w:top w:val="single" w:color="auto" w:sz="4" w:space="0"/>
              <w:left w:val="single" w:color="auto" w:sz="4" w:space="0"/>
              <w:bottom w:val="single" w:color="auto" w:sz="4" w:space="0"/>
              <w:right w:val="single" w:color="auto" w:sz="4" w:space="0"/>
              <w:tl2br w:val="nil"/>
              <w:tr2bl w:val="nil"/>
            </w:tcBorders>
            <w:noWrap w:val="0"/>
            <w:vAlign w:val="top"/>
          </w:tcPr>
          <w:p w14:paraId="3F9025ED">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6</w:t>
            </w:r>
          </w:p>
        </w:tc>
        <w:tc>
          <w:tcPr>
            <w:tcW w:w="2185" w:type="dxa"/>
            <w:tcBorders>
              <w:top w:val="single" w:color="auto" w:sz="4" w:space="0"/>
              <w:left w:val="single" w:color="auto" w:sz="4" w:space="0"/>
              <w:bottom w:val="single" w:color="auto" w:sz="4" w:space="0"/>
              <w:right w:val="single" w:color="auto" w:sz="4" w:space="0"/>
              <w:tl2br w:val="nil"/>
              <w:tr2bl w:val="nil"/>
            </w:tcBorders>
            <w:noWrap w:val="0"/>
            <w:vAlign w:val="top"/>
          </w:tcPr>
          <w:p w14:paraId="66168561">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采矿回采率</w:t>
            </w:r>
          </w:p>
        </w:tc>
        <w:tc>
          <w:tcPr>
            <w:tcW w:w="1728" w:type="dxa"/>
            <w:tcBorders>
              <w:top w:val="single" w:color="auto" w:sz="4" w:space="0"/>
              <w:left w:val="single" w:color="auto" w:sz="4" w:space="0"/>
              <w:bottom w:val="single" w:color="auto" w:sz="4" w:space="0"/>
              <w:right w:val="single" w:color="auto" w:sz="4" w:space="0"/>
              <w:tl2br w:val="nil"/>
              <w:tr2bl w:val="nil"/>
            </w:tcBorders>
            <w:noWrap w:val="0"/>
            <w:vAlign w:val="top"/>
          </w:tcPr>
          <w:p w14:paraId="3B02F75E">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p>
        </w:tc>
        <w:tc>
          <w:tcPr>
            <w:tcW w:w="4048" w:type="dxa"/>
            <w:tcBorders>
              <w:top w:val="single" w:color="auto" w:sz="4" w:space="0"/>
              <w:left w:val="single" w:color="auto" w:sz="4" w:space="0"/>
              <w:bottom w:val="single" w:color="auto" w:sz="4" w:space="0"/>
              <w:right w:val="single" w:color="auto" w:sz="4" w:space="0"/>
              <w:tl2br w:val="nil"/>
              <w:tr2bl w:val="nil"/>
            </w:tcBorders>
            <w:noWrap w:val="0"/>
            <w:vAlign w:val="top"/>
          </w:tcPr>
          <w:p w14:paraId="7D151186">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97</w:t>
            </w:r>
          </w:p>
        </w:tc>
      </w:tr>
      <w:tr w14:paraId="7AF2C3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209" w:type="dxa"/>
            <w:tcBorders>
              <w:top w:val="single" w:color="auto" w:sz="4" w:space="0"/>
              <w:left w:val="single" w:color="auto" w:sz="4" w:space="0"/>
              <w:bottom w:val="single" w:color="auto" w:sz="4" w:space="0"/>
              <w:right w:val="single" w:color="auto" w:sz="4" w:space="0"/>
              <w:tl2br w:val="nil"/>
              <w:tr2bl w:val="nil"/>
            </w:tcBorders>
            <w:noWrap w:val="0"/>
            <w:vAlign w:val="top"/>
          </w:tcPr>
          <w:p w14:paraId="00761DE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7</w:t>
            </w:r>
          </w:p>
        </w:tc>
        <w:tc>
          <w:tcPr>
            <w:tcW w:w="2185" w:type="dxa"/>
            <w:tcBorders>
              <w:top w:val="single" w:color="auto" w:sz="4" w:space="0"/>
              <w:left w:val="single" w:color="auto" w:sz="4" w:space="0"/>
              <w:bottom w:val="single" w:color="auto" w:sz="4" w:space="0"/>
              <w:right w:val="single" w:color="auto" w:sz="4" w:space="0"/>
              <w:tl2br w:val="nil"/>
              <w:tr2bl w:val="nil"/>
            </w:tcBorders>
            <w:noWrap w:val="0"/>
            <w:vAlign w:val="top"/>
          </w:tcPr>
          <w:p w14:paraId="29E67C4A">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开采方式</w:t>
            </w:r>
          </w:p>
        </w:tc>
        <w:tc>
          <w:tcPr>
            <w:tcW w:w="1728" w:type="dxa"/>
            <w:tcBorders>
              <w:top w:val="single" w:color="auto" w:sz="4" w:space="0"/>
              <w:left w:val="single" w:color="auto" w:sz="4" w:space="0"/>
              <w:bottom w:val="single" w:color="auto" w:sz="4" w:space="0"/>
              <w:right w:val="single" w:color="auto" w:sz="4" w:space="0"/>
              <w:tl2br w:val="nil"/>
              <w:tr2bl w:val="nil"/>
            </w:tcBorders>
            <w:noWrap w:val="0"/>
            <w:vAlign w:val="top"/>
          </w:tcPr>
          <w:p w14:paraId="633D7BF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p>
        </w:tc>
        <w:tc>
          <w:tcPr>
            <w:tcW w:w="4048" w:type="dxa"/>
            <w:tcBorders>
              <w:top w:val="single" w:color="auto" w:sz="4" w:space="0"/>
              <w:left w:val="single" w:color="auto" w:sz="4" w:space="0"/>
              <w:bottom w:val="single" w:color="auto" w:sz="4" w:space="0"/>
              <w:right w:val="single" w:color="auto" w:sz="4" w:space="0"/>
              <w:tl2br w:val="nil"/>
              <w:tr2bl w:val="nil"/>
            </w:tcBorders>
            <w:noWrap w:val="0"/>
            <w:vAlign w:val="top"/>
          </w:tcPr>
          <w:p w14:paraId="36FC6D9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露天开采方式</w:t>
            </w:r>
          </w:p>
        </w:tc>
      </w:tr>
      <w:tr w14:paraId="14DD7F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209" w:type="dxa"/>
            <w:tcBorders>
              <w:top w:val="single" w:color="auto" w:sz="4" w:space="0"/>
              <w:left w:val="single" w:color="auto" w:sz="4" w:space="0"/>
              <w:bottom w:val="single" w:color="auto" w:sz="4" w:space="0"/>
              <w:right w:val="single" w:color="auto" w:sz="4" w:space="0"/>
              <w:tl2br w:val="nil"/>
              <w:tr2bl w:val="nil"/>
            </w:tcBorders>
            <w:noWrap w:val="0"/>
            <w:vAlign w:val="top"/>
          </w:tcPr>
          <w:p w14:paraId="66C3CDF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8</w:t>
            </w:r>
          </w:p>
        </w:tc>
        <w:tc>
          <w:tcPr>
            <w:tcW w:w="2185" w:type="dxa"/>
            <w:tcBorders>
              <w:top w:val="single" w:color="auto" w:sz="4" w:space="0"/>
              <w:left w:val="single" w:color="auto" w:sz="4" w:space="0"/>
              <w:bottom w:val="single" w:color="auto" w:sz="4" w:space="0"/>
              <w:right w:val="single" w:color="auto" w:sz="4" w:space="0"/>
              <w:tl2br w:val="nil"/>
              <w:tr2bl w:val="nil"/>
            </w:tcBorders>
            <w:noWrap w:val="0"/>
            <w:vAlign w:val="top"/>
          </w:tcPr>
          <w:p w14:paraId="3F653B0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开拓运输方式</w:t>
            </w:r>
          </w:p>
        </w:tc>
        <w:tc>
          <w:tcPr>
            <w:tcW w:w="1728" w:type="dxa"/>
            <w:tcBorders>
              <w:top w:val="single" w:color="auto" w:sz="4" w:space="0"/>
              <w:left w:val="single" w:color="auto" w:sz="4" w:space="0"/>
              <w:bottom w:val="single" w:color="auto" w:sz="4" w:space="0"/>
              <w:right w:val="single" w:color="auto" w:sz="4" w:space="0"/>
              <w:tl2br w:val="nil"/>
              <w:tr2bl w:val="nil"/>
            </w:tcBorders>
            <w:noWrap w:val="0"/>
            <w:vAlign w:val="top"/>
          </w:tcPr>
          <w:p w14:paraId="27969EF8">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p>
        </w:tc>
        <w:tc>
          <w:tcPr>
            <w:tcW w:w="4048" w:type="dxa"/>
            <w:tcBorders>
              <w:top w:val="single" w:color="auto" w:sz="4" w:space="0"/>
              <w:left w:val="single" w:color="auto" w:sz="4" w:space="0"/>
              <w:bottom w:val="single" w:color="auto" w:sz="4" w:space="0"/>
              <w:right w:val="single" w:color="auto" w:sz="4" w:space="0"/>
              <w:tl2br w:val="nil"/>
              <w:tr2bl w:val="nil"/>
            </w:tcBorders>
            <w:noWrap w:val="0"/>
            <w:vAlign w:val="top"/>
          </w:tcPr>
          <w:p w14:paraId="1F9F6E3E">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公路开拓、汽车运输方案</w:t>
            </w:r>
          </w:p>
        </w:tc>
      </w:tr>
      <w:tr w14:paraId="36B7C6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209" w:type="dxa"/>
            <w:tcBorders>
              <w:top w:val="single" w:color="auto" w:sz="4" w:space="0"/>
              <w:left w:val="single" w:color="auto" w:sz="4" w:space="0"/>
              <w:bottom w:val="single" w:color="auto" w:sz="4" w:space="0"/>
              <w:right w:val="single" w:color="auto" w:sz="4" w:space="0"/>
              <w:tl2br w:val="nil"/>
              <w:tr2bl w:val="nil"/>
            </w:tcBorders>
            <w:noWrap w:val="0"/>
            <w:vAlign w:val="top"/>
          </w:tcPr>
          <w:p w14:paraId="5D46702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9</w:t>
            </w:r>
          </w:p>
        </w:tc>
        <w:tc>
          <w:tcPr>
            <w:tcW w:w="2185" w:type="dxa"/>
            <w:tcBorders>
              <w:top w:val="single" w:color="auto" w:sz="4" w:space="0"/>
              <w:left w:val="single" w:color="auto" w:sz="4" w:space="0"/>
              <w:bottom w:val="single" w:color="auto" w:sz="4" w:space="0"/>
              <w:right w:val="single" w:color="auto" w:sz="4" w:space="0"/>
              <w:tl2br w:val="nil"/>
              <w:tr2bl w:val="nil"/>
            </w:tcBorders>
            <w:noWrap w:val="0"/>
            <w:vAlign w:val="top"/>
          </w:tcPr>
          <w:p w14:paraId="22DDC61D">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采矿方法</w:t>
            </w:r>
          </w:p>
        </w:tc>
        <w:tc>
          <w:tcPr>
            <w:tcW w:w="1728" w:type="dxa"/>
            <w:tcBorders>
              <w:top w:val="single" w:color="auto" w:sz="4" w:space="0"/>
              <w:left w:val="single" w:color="auto" w:sz="4" w:space="0"/>
              <w:bottom w:val="single" w:color="auto" w:sz="4" w:space="0"/>
              <w:right w:val="single" w:color="auto" w:sz="4" w:space="0"/>
              <w:tl2br w:val="nil"/>
              <w:tr2bl w:val="nil"/>
            </w:tcBorders>
            <w:noWrap w:val="0"/>
            <w:vAlign w:val="top"/>
          </w:tcPr>
          <w:p w14:paraId="0F10A826">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p>
        </w:tc>
        <w:tc>
          <w:tcPr>
            <w:tcW w:w="4048" w:type="dxa"/>
            <w:tcBorders>
              <w:top w:val="single" w:color="auto" w:sz="4" w:space="0"/>
              <w:left w:val="single" w:color="auto" w:sz="4" w:space="0"/>
              <w:bottom w:val="single" w:color="auto" w:sz="4" w:space="0"/>
              <w:right w:val="single" w:color="auto" w:sz="4" w:space="0"/>
              <w:tl2br w:val="nil"/>
              <w:tr2bl w:val="nil"/>
            </w:tcBorders>
            <w:noWrap w:val="0"/>
            <w:vAlign w:val="top"/>
          </w:tcPr>
          <w:p w14:paraId="0C262E74">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自上而下水平台阶式采矿方法</w:t>
            </w:r>
          </w:p>
        </w:tc>
      </w:tr>
      <w:tr w14:paraId="3E3DAB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209" w:type="dxa"/>
            <w:tcBorders>
              <w:top w:val="single" w:color="auto" w:sz="4" w:space="0"/>
              <w:left w:val="single" w:color="auto" w:sz="4" w:space="0"/>
              <w:bottom w:val="single" w:color="auto" w:sz="4" w:space="0"/>
              <w:right w:val="single" w:color="auto" w:sz="4" w:space="0"/>
              <w:tl2br w:val="nil"/>
              <w:tr2bl w:val="nil"/>
            </w:tcBorders>
            <w:noWrap w:val="0"/>
            <w:vAlign w:val="top"/>
          </w:tcPr>
          <w:p w14:paraId="1485DE87">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10</w:t>
            </w:r>
          </w:p>
        </w:tc>
        <w:tc>
          <w:tcPr>
            <w:tcW w:w="2185" w:type="dxa"/>
            <w:tcBorders>
              <w:top w:val="single" w:color="auto" w:sz="4" w:space="0"/>
              <w:left w:val="single" w:color="auto" w:sz="4" w:space="0"/>
              <w:bottom w:val="single" w:color="auto" w:sz="4" w:space="0"/>
              <w:right w:val="single" w:color="auto" w:sz="4" w:space="0"/>
              <w:tl2br w:val="nil"/>
              <w:tr2bl w:val="nil"/>
            </w:tcBorders>
            <w:noWrap w:val="0"/>
            <w:vAlign w:val="top"/>
          </w:tcPr>
          <w:p w14:paraId="79166201">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矿山工作制度</w:t>
            </w:r>
          </w:p>
        </w:tc>
        <w:tc>
          <w:tcPr>
            <w:tcW w:w="1728" w:type="dxa"/>
            <w:tcBorders>
              <w:top w:val="single" w:color="auto" w:sz="4" w:space="0"/>
              <w:left w:val="single" w:color="auto" w:sz="4" w:space="0"/>
              <w:bottom w:val="single" w:color="auto" w:sz="4" w:space="0"/>
              <w:right w:val="single" w:color="auto" w:sz="4" w:space="0"/>
              <w:tl2br w:val="nil"/>
              <w:tr2bl w:val="nil"/>
            </w:tcBorders>
            <w:noWrap w:val="0"/>
            <w:vAlign w:val="top"/>
          </w:tcPr>
          <w:p w14:paraId="772097C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p>
        </w:tc>
        <w:tc>
          <w:tcPr>
            <w:tcW w:w="4048" w:type="dxa"/>
            <w:tcBorders>
              <w:top w:val="single" w:color="auto" w:sz="4" w:space="0"/>
              <w:left w:val="single" w:color="auto" w:sz="4" w:space="0"/>
              <w:bottom w:val="single" w:color="auto" w:sz="4" w:space="0"/>
              <w:right w:val="single" w:color="auto" w:sz="4" w:space="0"/>
              <w:tl2br w:val="nil"/>
              <w:tr2bl w:val="nil"/>
            </w:tcBorders>
            <w:noWrap w:val="0"/>
            <w:vAlign w:val="top"/>
          </w:tcPr>
          <w:p w14:paraId="3C9182F6">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300</w:t>
            </w:r>
            <w:r>
              <w:rPr>
                <w:rFonts w:hint="default" w:ascii="Times New Roman" w:hAnsi="Times New Roman" w:cs="Times New Roman"/>
                <w:color w:val="auto"/>
                <w:sz w:val="24"/>
                <w:szCs w:val="24"/>
                <w:highlight w:val="none"/>
              </w:rPr>
              <w:t>d/a，</w:t>
            </w:r>
            <w:r>
              <w:rPr>
                <w:rFonts w:hint="default" w:ascii="Times New Roman" w:hAnsi="Times New Roman" w:cs="Times New Roman"/>
                <w:color w:val="auto"/>
                <w:sz w:val="24"/>
                <w:szCs w:val="24"/>
                <w:highlight w:val="none"/>
                <w:lang w:val="en-US" w:eastAsia="zh-CN"/>
              </w:rPr>
              <w:t>16</w:t>
            </w:r>
            <w:r>
              <w:rPr>
                <w:rFonts w:hint="default" w:ascii="Times New Roman" w:hAnsi="Times New Roman" w:cs="Times New Roman"/>
                <w:color w:val="auto"/>
                <w:sz w:val="24"/>
                <w:szCs w:val="24"/>
                <w:highlight w:val="none"/>
              </w:rPr>
              <w:t>h/d</w:t>
            </w:r>
          </w:p>
        </w:tc>
      </w:tr>
      <w:tr w14:paraId="48C4AF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209" w:type="dxa"/>
            <w:tcBorders>
              <w:top w:val="single" w:color="auto" w:sz="4" w:space="0"/>
              <w:left w:val="single" w:color="auto" w:sz="4" w:space="0"/>
              <w:bottom w:val="single" w:color="auto" w:sz="4" w:space="0"/>
              <w:right w:val="single" w:color="auto" w:sz="4" w:space="0"/>
              <w:tl2br w:val="nil"/>
              <w:tr2bl w:val="nil"/>
            </w:tcBorders>
            <w:noWrap w:val="0"/>
            <w:vAlign w:val="top"/>
          </w:tcPr>
          <w:p w14:paraId="0119618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11</w:t>
            </w:r>
          </w:p>
        </w:tc>
        <w:tc>
          <w:tcPr>
            <w:tcW w:w="2185" w:type="dxa"/>
            <w:tcBorders>
              <w:top w:val="single" w:color="auto" w:sz="4" w:space="0"/>
              <w:left w:val="single" w:color="auto" w:sz="4" w:space="0"/>
              <w:bottom w:val="single" w:color="auto" w:sz="4" w:space="0"/>
              <w:right w:val="single" w:color="auto" w:sz="4" w:space="0"/>
              <w:tl2br w:val="nil"/>
              <w:tr2bl w:val="nil"/>
            </w:tcBorders>
            <w:noWrap w:val="0"/>
            <w:vAlign w:val="top"/>
          </w:tcPr>
          <w:p w14:paraId="55ED3D9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劳动定员</w:t>
            </w:r>
          </w:p>
        </w:tc>
        <w:tc>
          <w:tcPr>
            <w:tcW w:w="1728" w:type="dxa"/>
            <w:tcBorders>
              <w:top w:val="single" w:color="auto" w:sz="4" w:space="0"/>
              <w:left w:val="single" w:color="auto" w:sz="4" w:space="0"/>
              <w:bottom w:val="single" w:color="auto" w:sz="4" w:space="0"/>
              <w:right w:val="single" w:color="auto" w:sz="4" w:space="0"/>
              <w:tl2br w:val="nil"/>
              <w:tr2bl w:val="nil"/>
            </w:tcBorders>
            <w:noWrap w:val="0"/>
            <w:vAlign w:val="top"/>
          </w:tcPr>
          <w:p w14:paraId="0BC4E0C8">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人</w:t>
            </w:r>
          </w:p>
        </w:tc>
        <w:tc>
          <w:tcPr>
            <w:tcW w:w="4048" w:type="dxa"/>
            <w:tcBorders>
              <w:top w:val="single" w:color="auto" w:sz="4" w:space="0"/>
              <w:left w:val="single" w:color="auto" w:sz="4" w:space="0"/>
              <w:bottom w:val="single" w:color="auto" w:sz="4" w:space="0"/>
              <w:right w:val="single" w:color="auto" w:sz="4" w:space="0"/>
              <w:tl2br w:val="nil"/>
              <w:tr2bl w:val="nil"/>
            </w:tcBorders>
            <w:noWrap w:val="0"/>
            <w:vAlign w:val="top"/>
          </w:tcPr>
          <w:p w14:paraId="7DBF5A91">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32</w:t>
            </w:r>
          </w:p>
        </w:tc>
      </w:tr>
      <w:tr w14:paraId="1F75FA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209" w:type="dxa"/>
            <w:tcBorders>
              <w:top w:val="single" w:color="auto" w:sz="4" w:space="0"/>
              <w:left w:val="single" w:color="auto" w:sz="4" w:space="0"/>
              <w:bottom w:val="single" w:color="auto" w:sz="4" w:space="0"/>
              <w:right w:val="single" w:color="auto" w:sz="4" w:space="0"/>
              <w:tl2br w:val="nil"/>
              <w:tr2bl w:val="nil"/>
            </w:tcBorders>
            <w:noWrap w:val="0"/>
            <w:vAlign w:val="top"/>
          </w:tcPr>
          <w:p w14:paraId="4068643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12</w:t>
            </w:r>
          </w:p>
        </w:tc>
        <w:tc>
          <w:tcPr>
            <w:tcW w:w="2185" w:type="dxa"/>
            <w:tcBorders>
              <w:top w:val="single" w:color="auto" w:sz="4" w:space="0"/>
              <w:left w:val="single" w:color="auto" w:sz="4" w:space="0"/>
              <w:bottom w:val="single" w:color="auto" w:sz="4" w:space="0"/>
              <w:right w:val="single" w:color="auto" w:sz="4" w:space="0"/>
              <w:tl2br w:val="nil"/>
              <w:tr2bl w:val="nil"/>
            </w:tcBorders>
            <w:noWrap w:val="0"/>
            <w:vAlign w:val="top"/>
          </w:tcPr>
          <w:p w14:paraId="4B31AFD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总投资</w:t>
            </w:r>
          </w:p>
        </w:tc>
        <w:tc>
          <w:tcPr>
            <w:tcW w:w="1728" w:type="dxa"/>
            <w:tcBorders>
              <w:top w:val="single" w:color="auto" w:sz="4" w:space="0"/>
              <w:left w:val="single" w:color="auto" w:sz="4" w:space="0"/>
              <w:bottom w:val="single" w:color="auto" w:sz="4" w:space="0"/>
              <w:right w:val="single" w:color="auto" w:sz="4" w:space="0"/>
              <w:tl2br w:val="nil"/>
              <w:tr2bl w:val="nil"/>
            </w:tcBorders>
            <w:noWrap w:val="0"/>
            <w:vAlign w:val="top"/>
          </w:tcPr>
          <w:p w14:paraId="51A33195">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万元</w:t>
            </w:r>
          </w:p>
        </w:tc>
        <w:tc>
          <w:tcPr>
            <w:tcW w:w="4048" w:type="dxa"/>
            <w:tcBorders>
              <w:top w:val="single" w:color="auto" w:sz="4" w:space="0"/>
              <w:left w:val="single" w:color="auto" w:sz="4" w:space="0"/>
              <w:bottom w:val="single" w:color="auto" w:sz="4" w:space="0"/>
              <w:right w:val="single" w:color="auto" w:sz="4" w:space="0"/>
              <w:tl2br w:val="nil"/>
              <w:tr2bl w:val="nil"/>
            </w:tcBorders>
            <w:noWrap w:val="0"/>
            <w:vAlign w:val="top"/>
          </w:tcPr>
          <w:p w14:paraId="5514D7AB">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6681.82</w:t>
            </w:r>
            <w:r>
              <w:rPr>
                <w:rFonts w:hint="default" w:ascii="Times New Roman" w:hAnsi="Times New Roman" w:cs="Times New Roman"/>
                <w:color w:val="auto"/>
                <w:sz w:val="24"/>
                <w:szCs w:val="24"/>
                <w:highlight w:val="none"/>
              </w:rPr>
              <w:t>万元</w:t>
            </w:r>
          </w:p>
        </w:tc>
      </w:tr>
    </w:tbl>
    <w:p w14:paraId="7A193376">
      <w:pPr>
        <w:pStyle w:val="14"/>
        <w:kinsoku w:val="0"/>
        <w:overflowPunct w:val="0"/>
        <w:spacing w:before="11" w:beforeLines="0" w:afterLines="0"/>
        <w:ind w:left="0"/>
        <w:rPr>
          <w:rFonts w:hint="default" w:ascii="Times New Roman" w:hAnsi="Times New Roman" w:eastAsia="Calibri" w:cs="Times New Roman"/>
          <w:color w:val="auto"/>
          <w:sz w:val="10"/>
          <w:szCs w:val="24"/>
          <w:highlight w:val="none"/>
        </w:rPr>
      </w:pPr>
    </w:p>
    <w:p w14:paraId="0D39A0CA">
      <w:pPr>
        <w:pStyle w:val="3"/>
        <w:bidi w:val="0"/>
        <w:rPr>
          <w:rFonts w:hint="default"/>
        </w:rPr>
      </w:pPr>
      <w:bookmarkStart w:id="112" w:name="3.3开采方案"/>
      <w:bookmarkEnd w:id="112"/>
      <w:bookmarkStart w:id="113" w:name="bookmark17"/>
      <w:bookmarkEnd w:id="113"/>
      <w:bookmarkStart w:id="114" w:name="_Toc16172"/>
      <w:bookmarkStart w:id="115" w:name="_Toc1068"/>
      <w:r>
        <w:rPr>
          <w:rFonts w:hint="default"/>
        </w:rPr>
        <w:t>开采方案</w:t>
      </w:r>
      <w:bookmarkEnd w:id="114"/>
      <w:bookmarkEnd w:id="115"/>
    </w:p>
    <w:p w14:paraId="5D12A41B">
      <w:pPr>
        <w:pStyle w:val="4"/>
        <w:bidi w:val="0"/>
        <w:rPr>
          <w:rFonts w:hint="default"/>
        </w:rPr>
      </w:pPr>
      <w:bookmarkStart w:id="116" w:name="3.3.1露天开采范围及资源储量"/>
      <w:bookmarkEnd w:id="116"/>
      <w:r>
        <w:rPr>
          <w:rFonts w:hint="default"/>
        </w:rPr>
        <w:t>露天开采范围及资源储量</w:t>
      </w:r>
    </w:p>
    <w:p w14:paraId="429071A6">
      <w:pPr>
        <w:numPr>
          <w:ilvl w:val="0"/>
          <w:numId w:val="19"/>
        </w:numPr>
        <w:spacing w:beforeLines="0" w:afterLines="0"/>
        <w:ind w:firstLine="500" w:firstLineChar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矿区开采范围</w:t>
      </w:r>
    </w:p>
    <w:p w14:paraId="40A61340">
      <w:pPr>
        <w:widowControl/>
        <w:spacing w:beforeLines="0" w:afterLines="0"/>
        <w:ind w:firstLine="480"/>
        <w:rPr>
          <w:rFonts w:hint="default" w:ascii="Times New Roman" w:hAnsi="Times New Roman" w:cs="Times New Roman"/>
          <w:color w:val="auto"/>
          <w:sz w:val="24"/>
          <w:szCs w:val="24"/>
          <w:highlight w:val="none"/>
          <w:lang w:eastAsia="zh-CN"/>
        </w:rPr>
      </w:pPr>
      <w:bookmarkStart w:id="117" w:name="_Hlk122775356"/>
      <w:bookmarkStart w:id="118" w:name="_Hlk123763313"/>
      <w:r>
        <w:rPr>
          <w:rFonts w:hint="default" w:ascii="Times New Roman" w:hAnsi="Times New Roman" w:cs="Times New Roman"/>
          <w:color w:val="auto"/>
          <w:sz w:val="24"/>
          <w:szCs w:val="24"/>
          <w:highlight w:val="none"/>
          <w:lang w:eastAsia="zh-CN"/>
        </w:rPr>
        <w:t>新疆阜康市北部沙漠天然石英砂矿（压裂用）外围</w:t>
      </w:r>
      <w:r>
        <w:rPr>
          <w:rFonts w:hint="default" w:ascii="Times New Roman" w:hAnsi="Times New Roman" w:cs="Times New Roman"/>
          <w:color w:val="auto"/>
          <w:sz w:val="24"/>
          <w:szCs w:val="24"/>
          <w:highlight w:val="none"/>
        </w:rPr>
        <w:t>为新建矿山，20</w:t>
      </w:r>
      <w:r>
        <w:rPr>
          <w:rFonts w:hint="default" w:ascii="Times New Roman" w:hAnsi="Times New Roman" w:cs="Times New Roman"/>
          <w:color w:val="auto"/>
          <w:sz w:val="24"/>
          <w:szCs w:val="24"/>
          <w:highlight w:val="none"/>
          <w:lang w:val="en-US" w:eastAsia="zh-CN"/>
        </w:rPr>
        <w:t>16</w:t>
      </w:r>
      <w:r>
        <w:rPr>
          <w:rFonts w:hint="default" w:ascii="Times New Roman" w:hAnsi="Times New Roman" w:cs="Times New Roman"/>
          <w:color w:val="auto"/>
          <w:sz w:val="24"/>
          <w:szCs w:val="24"/>
          <w:highlight w:val="none"/>
        </w:rPr>
        <w:t>年</w:t>
      </w:r>
      <w:r>
        <w:rPr>
          <w:rFonts w:hint="default"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rPr>
        <w:t>月新疆冠阜建材有限公司通过招拍挂取得了该矿</w:t>
      </w:r>
      <w:r>
        <w:rPr>
          <w:rFonts w:hint="default" w:ascii="Times New Roman" w:hAnsi="Times New Roman" w:cs="Times New Roman"/>
          <w:color w:val="auto"/>
          <w:sz w:val="24"/>
          <w:szCs w:val="24"/>
          <w:highlight w:val="none"/>
          <w:lang w:val="en-US" w:eastAsia="zh-CN"/>
        </w:rPr>
        <w:t>探矿证，后变更矿权人为新疆采虹矿业投资有限公司</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2025年6月20日，新疆采虹矿业投资有限公司取得由昌吉回族自治州自然资源局核发的采矿许可证（证书编号：</w:t>
      </w:r>
      <w:r>
        <w:rPr>
          <w:rFonts w:hint="default" w:ascii="Times New Roman" w:hAnsi="Times New Roman" w:cs="Times New Roman"/>
          <w:color w:val="auto"/>
          <w:spacing w:val="-5"/>
          <w:sz w:val="24"/>
          <w:szCs w:val="24"/>
          <w:highlight w:val="none"/>
          <w:lang w:val="en-US" w:eastAsia="zh-CN"/>
        </w:rPr>
        <w:t>C6523002025067110158535</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矿区范围由</w:t>
      </w:r>
      <w:r>
        <w:rPr>
          <w:rFonts w:hint="default"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rPr>
        <w:t>个拐点坐标组成</w:t>
      </w:r>
      <w:bookmarkEnd w:id="117"/>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本次详查范围由6个拐点坐标组成，</w:t>
      </w:r>
      <w:r>
        <w:rPr>
          <w:rFonts w:hint="default" w:ascii="Times New Roman" w:hAnsi="Times New Roman" w:cs="Times New Roman"/>
          <w:color w:val="auto"/>
          <w:sz w:val="24"/>
          <w:szCs w:val="24"/>
          <w:highlight w:val="none"/>
        </w:rPr>
        <w:t>拟设矿区面积</w:t>
      </w:r>
      <w:r>
        <w:rPr>
          <w:rFonts w:hint="default" w:ascii="Times New Roman" w:hAnsi="Times New Roman" w:cs="Times New Roman"/>
          <w:color w:val="auto"/>
          <w:sz w:val="24"/>
          <w:szCs w:val="24"/>
          <w:highlight w:val="none"/>
          <w:lang w:eastAsia="zh-CN"/>
        </w:rPr>
        <w:t>1.0366</w:t>
      </w:r>
      <w:r>
        <w:rPr>
          <w:rFonts w:hint="default" w:ascii="Times New Roman" w:hAnsi="Times New Roman" w:cs="Times New Roman"/>
          <w:color w:val="auto"/>
          <w:sz w:val="24"/>
          <w:szCs w:val="24"/>
          <w:highlight w:val="none"/>
        </w:rPr>
        <w:t>km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，开采矿种为</w:t>
      </w:r>
      <w:r>
        <w:rPr>
          <w:rFonts w:hint="default" w:ascii="Times New Roman" w:hAnsi="Times New Roman" w:cs="Times New Roman"/>
          <w:color w:val="auto"/>
          <w:sz w:val="24"/>
          <w:szCs w:val="24"/>
          <w:highlight w:val="none"/>
          <w:lang w:eastAsia="zh-CN"/>
        </w:rPr>
        <w:t>天然石英砂</w:t>
      </w:r>
      <w:r>
        <w:rPr>
          <w:rFonts w:hint="default" w:ascii="Times New Roman" w:hAnsi="Times New Roman" w:cs="Times New Roman"/>
          <w:color w:val="auto"/>
          <w:sz w:val="24"/>
          <w:szCs w:val="24"/>
          <w:highlight w:val="none"/>
        </w:rPr>
        <w:t>，开采标高：</w:t>
      </w:r>
      <w:r>
        <w:rPr>
          <w:rFonts w:hint="default" w:ascii="Times New Roman" w:hAnsi="Times New Roman" w:cs="Times New Roman"/>
          <w:color w:val="auto"/>
          <w:sz w:val="24"/>
          <w:szCs w:val="24"/>
          <w:highlight w:val="none"/>
          <w:lang w:eastAsia="zh-CN"/>
        </w:rPr>
        <w:t>623～585</w:t>
      </w:r>
      <w:r>
        <w:rPr>
          <w:rFonts w:hint="default" w:ascii="Times New Roman" w:hAnsi="Times New Roman" w:cs="Times New Roman"/>
          <w:color w:val="auto"/>
          <w:sz w:val="24"/>
          <w:szCs w:val="24"/>
          <w:highlight w:val="none"/>
        </w:rPr>
        <w:t>m</w:t>
      </w:r>
      <w:bookmarkEnd w:id="118"/>
      <w:r>
        <w:rPr>
          <w:rFonts w:hint="default" w:ascii="Times New Roman" w:hAnsi="Times New Roman" w:cs="Times New Roman"/>
          <w:color w:val="auto"/>
          <w:sz w:val="24"/>
          <w:szCs w:val="24"/>
          <w:highlight w:val="none"/>
        </w:rPr>
        <w:t>，</w:t>
      </w:r>
      <w:r>
        <w:rPr>
          <w:rFonts w:hint="default" w:ascii="Times New Roman" w:hAnsi="Times New Roman" w:cs="Times New Roman"/>
          <w:b/>
          <w:color w:val="auto"/>
          <w:sz w:val="24"/>
          <w:szCs w:val="21"/>
          <w:highlight w:val="none"/>
        </w:rPr>
        <w:t>矿区范围拐点坐标表</w:t>
      </w:r>
      <w:r>
        <w:rPr>
          <w:rFonts w:hint="default" w:ascii="Times New Roman" w:hAnsi="Times New Roman" w:cs="Times New Roman"/>
          <w:color w:val="auto"/>
          <w:sz w:val="24"/>
          <w:szCs w:val="24"/>
          <w:highlight w:val="none"/>
        </w:rPr>
        <w:t>见</w:t>
      </w:r>
      <w:r>
        <w:rPr>
          <w:rFonts w:hint="default" w:ascii="Times New Roman" w:hAnsi="Times New Roman" w:cs="Times New Roman"/>
          <w:color w:val="auto"/>
          <w:sz w:val="24"/>
          <w:szCs w:val="24"/>
          <w:highlight w:val="none"/>
          <w:lang w:eastAsia="zh-CN"/>
        </w:rPr>
        <w:t>下</w:t>
      </w:r>
      <w:r>
        <w:rPr>
          <w:rFonts w:hint="default" w:ascii="Times New Roman" w:hAnsi="Times New Roman" w:cs="Times New Roman"/>
          <w:color w:val="auto"/>
          <w:sz w:val="24"/>
          <w:szCs w:val="24"/>
          <w:highlight w:val="none"/>
        </w:rPr>
        <w:t>表</w:t>
      </w:r>
      <w:r>
        <w:rPr>
          <w:rFonts w:hint="default" w:ascii="Times New Roman" w:hAnsi="Times New Roman" w:cs="Times New Roman"/>
          <w:color w:val="auto"/>
          <w:sz w:val="24"/>
          <w:szCs w:val="24"/>
          <w:highlight w:val="none"/>
          <w:lang w:eastAsia="zh-CN"/>
        </w:rPr>
        <w:t>。</w:t>
      </w:r>
    </w:p>
    <w:p w14:paraId="6AEB8610">
      <w:pPr>
        <w:pStyle w:val="45"/>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表</w:t>
      </w:r>
      <w:r>
        <w:rPr>
          <w:rFonts w:hint="default" w:ascii="Times New Roman" w:hAnsi="Times New Roman" w:cs="Times New Roman"/>
          <w:color w:val="auto"/>
          <w:sz w:val="24"/>
          <w:szCs w:val="24"/>
          <w:highlight w:val="none"/>
          <w:lang w:val="en-US" w:eastAsia="zh-CN"/>
        </w:rPr>
        <w:t>3.3-1</w:t>
      </w:r>
      <w:r>
        <w:rPr>
          <w:rFonts w:hint="default" w:ascii="Times New Roman" w:hAnsi="Times New Roman" w:cs="Times New Roman"/>
          <w:color w:val="auto"/>
          <w:sz w:val="24"/>
          <w:szCs w:val="24"/>
          <w:highlight w:val="none"/>
        </w:rPr>
        <w:t xml:space="preserve">   矿区范围拐点坐标表</w:t>
      </w:r>
    </w:p>
    <w:tbl>
      <w:tblPr>
        <w:tblStyle w:val="31"/>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2115"/>
        <w:gridCol w:w="2258"/>
        <w:gridCol w:w="2098"/>
        <w:gridCol w:w="2104"/>
      </w:tblGrid>
      <w:tr w14:paraId="75037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2"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22BC9FDE">
            <w:pPr>
              <w:pStyle w:val="48"/>
              <w:spacing w:beforeLines="0" w:afterLines="0"/>
              <w:rPr>
                <w:rFonts w:hint="default" w:ascii="Times New Roman" w:hAnsi="Times New Roman" w:cs="Times New Roman"/>
                <w:color w:val="auto"/>
                <w:sz w:val="24"/>
                <w:szCs w:val="24"/>
                <w:highlight w:val="none"/>
              </w:rPr>
            </w:pPr>
            <w:bookmarkStart w:id="119" w:name="_Hlk112407749"/>
            <w:r>
              <w:rPr>
                <w:rFonts w:hint="default" w:ascii="Times New Roman" w:hAnsi="Times New Roman" w:cs="Times New Roman"/>
                <w:color w:val="auto"/>
                <w:sz w:val="24"/>
                <w:szCs w:val="24"/>
                <w:highlight w:val="none"/>
              </w:rPr>
              <w:t>拐点</w:t>
            </w:r>
          </w:p>
          <w:p w14:paraId="3FC141B1">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坐标</w:t>
            </w:r>
          </w:p>
        </w:tc>
        <w:tc>
          <w:tcPr>
            <w:tcW w:w="4617" w:type="pct"/>
            <w:gridSpan w:val="4"/>
            <w:tcBorders>
              <w:top w:val="single" w:color="auto" w:sz="4" w:space="0"/>
              <w:left w:val="single" w:color="auto" w:sz="4" w:space="0"/>
              <w:bottom w:val="single" w:color="auto" w:sz="4" w:space="0"/>
              <w:right w:val="single" w:color="auto" w:sz="4" w:space="0"/>
              <w:tl2br w:val="nil"/>
              <w:tr2bl w:val="nil"/>
            </w:tcBorders>
            <w:noWrap w:val="0"/>
            <w:vAlign w:val="center"/>
          </w:tcPr>
          <w:p w14:paraId="6DD9A4C7">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CGCS2000坐标</w:t>
            </w:r>
          </w:p>
        </w:tc>
      </w:tr>
      <w:tr w14:paraId="70988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2"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68BCFC9">
            <w:pPr>
              <w:pStyle w:val="48"/>
              <w:spacing w:beforeLines="0" w:afterLines="0"/>
              <w:rPr>
                <w:rFonts w:hint="default" w:ascii="Times New Roman" w:hAnsi="Times New Roman" w:cs="Times New Roman"/>
                <w:color w:val="auto"/>
                <w:sz w:val="24"/>
                <w:szCs w:val="24"/>
                <w:highlight w:val="none"/>
              </w:rPr>
            </w:pPr>
          </w:p>
        </w:tc>
        <w:tc>
          <w:tcPr>
            <w:tcW w:w="2355"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548B0305">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地理坐标</w:t>
            </w:r>
          </w:p>
        </w:tc>
        <w:tc>
          <w:tcPr>
            <w:tcW w:w="2261"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3EA5BB7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直角坐标（3度带，带号</w:t>
            </w:r>
            <w:r>
              <w:rPr>
                <w:rFonts w:hint="default" w:ascii="Times New Roman" w:hAnsi="Times New Roman" w:cs="Times New Roman"/>
                <w:color w:val="auto"/>
                <w:sz w:val="24"/>
                <w:szCs w:val="24"/>
                <w:highlight w:val="none"/>
                <w:lang w:val="en-US" w:eastAsia="zh-CN"/>
              </w:rPr>
              <w:t>29</w:t>
            </w:r>
            <w:r>
              <w:rPr>
                <w:rFonts w:hint="default" w:ascii="Times New Roman" w:hAnsi="Times New Roman" w:cs="Times New Roman"/>
                <w:color w:val="auto"/>
                <w:sz w:val="24"/>
                <w:szCs w:val="24"/>
                <w:highlight w:val="none"/>
              </w:rPr>
              <w:t>）</w:t>
            </w:r>
          </w:p>
        </w:tc>
      </w:tr>
      <w:tr w14:paraId="34530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2"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5187533F">
            <w:pPr>
              <w:pStyle w:val="48"/>
              <w:spacing w:beforeLines="0" w:afterLines="0"/>
              <w:rPr>
                <w:rFonts w:hint="default" w:ascii="Times New Roman" w:hAnsi="Times New Roman" w:cs="Times New Roman"/>
                <w:color w:val="auto"/>
                <w:sz w:val="24"/>
                <w:szCs w:val="24"/>
                <w:highlight w:val="none"/>
              </w:rPr>
            </w:pPr>
          </w:p>
        </w:tc>
        <w:tc>
          <w:tcPr>
            <w:tcW w:w="113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437C416">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X</w:t>
            </w:r>
          </w:p>
        </w:tc>
        <w:tc>
          <w:tcPr>
            <w:tcW w:w="121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CF508E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Y</w:t>
            </w:r>
          </w:p>
        </w:tc>
        <w:tc>
          <w:tcPr>
            <w:tcW w:w="113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ADB82E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X</w:t>
            </w:r>
          </w:p>
        </w:tc>
        <w:tc>
          <w:tcPr>
            <w:tcW w:w="113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3F7707A">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Y</w:t>
            </w:r>
          </w:p>
        </w:tc>
      </w:tr>
      <w:tr w14:paraId="7C4B0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2" w:type="pct"/>
            <w:tcBorders>
              <w:top w:val="single" w:color="auto" w:sz="4" w:space="0"/>
              <w:left w:val="single" w:color="auto" w:sz="4" w:space="0"/>
              <w:bottom w:val="single" w:color="auto" w:sz="4" w:space="0"/>
              <w:right w:val="single" w:color="auto" w:sz="4" w:space="0"/>
              <w:tl2br w:val="nil"/>
              <w:tr2bl w:val="nil"/>
            </w:tcBorders>
            <w:noWrap/>
            <w:vAlign w:val="center"/>
          </w:tcPr>
          <w:p w14:paraId="70F54D5D">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Y1</w:t>
            </w:r>
          </w:p>
        </w:tc>
        <w:tc>
          <w:tcPr>
            <w:tcW w:w="113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FD87158">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88°17′45″</w:t>
            </w:r>
          </w:p>
        </w:tc>
        <w:tc>
          <w:tcPr>
            <w:tcW w:w="121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3B676CC">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44°42′31″</w:t>
            </w:r>
          </w:p>
        </w:tc>
        <w:tc>
          <w:tcPr>
            <w:tcW w:w="1130" w:type="pct"/>
            <w:tcBorders>
              <w:top w:val="single" w:color="auto" w:sz="4" w:space="0"/>
              <w:left w:val="single" w:color="auto" w:sz="4" w:space="0"/>
              <w:bottom w:val="single" w:color="auto" w:sz="4" w:space="0"/>
              <w:right w:val="single" w:color="auto" w:sz="4" w:space="0"/>
              <w:tl2br w:val="nil"/>
              <w:tr2bl w:val="nil"/>
            </w:tcBorders>
            <w:noWrap/>
            <w:vAlign w:val="center"/>
          </w:tcPr>
          <w:p w14:paraId="285B85E2">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eastAsia="zh-CN"/>
              </w:rPr>
              <w:t>4953379.44</w:t>
            </w:r>
          </w:p>
        </w:tc>
        <w:tc>
          <w:tcPr>
            <w:tcW w:w="1131" w:type="pct"/>
            <w:tcBorders>
              <w:top w:val="single" w:color="auto" w:sz="4" w:space="0"/>
              <w:left w:val="single" w:color="auto" w:sz="4" w:space="0"/>
              <w:bottom w:val="single" w:color="auto" w:sz="4" w:space="0"/>
              <w:right w:val="single" w:color="auto" w:sz="4" w:space="0"/>
              <w:tl2br w:val="nil"/>
              <w:tr2bl w:val="nil"/>
            </w:tcBorders>
            <w:noWrap/>
            <w:vAlign w:val="center"/>
          </w:tcPr>
          <w:p w14:paraId="5B980C8F">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29602694.01</w:t>
            </w:r>
          </w:p>
        </w:tc>
      </w:tr>
      <w:tr w14:paraId="54AED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2" w:type="pct"/>
            <w:tcBorders>
              <w:top w:val="single" w:color="auto" w:sz="4" w:space="0"/>
              <w:left w:val="single" w:color="auto" w:sz="4" w:space="0"/>
              <w:bottom w:val="single" w:color="auto" w:sz="4" w:space="0"/>
              <w:right w:val="single" w:color="auto" w:sz="4" w:space="0"/>
              <w:tl2br w:val="nil"/>
              <w:tr2bl w:val="nil"/>
            </w:tcBorders>
            <w:noWrap/>
            <w:vAlign w:val="center"/>
          </w:tcPr>
          <w:p w14:paraId="73B52478">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Y2</w:t>
            </w:r>
          </w:p>
        </w:tc>
        <w:tc>
          <w:tcPr>
            <w:tcW w:w="113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95967BF">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88°18′03″</w:t>
            </w:r>
          </w:p>
        </w:tc>
        <w:tc>
          <w:tcPr>
            <w:tcW w:w="121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1266ADA">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44°42′31″</w:t>
            </w:r>
          </w:p>
        </w:tc>
        <w:tc>
          <w:tcPr>
            <w:tcW w:w="1130" w:type="pct"/>
            <w:tcBorders>
              <w:top w:val="single" w:color="auto" w:sz="4" w:space="0"/>
              <w:left w:val="single" w:color="auto" w:sz="4" w:space="0"/>
              <w:bottom w:val="single" w:color="auto" w:sz="4" w:space="0"/>
              <w:right w:val="single" w:color="auto" w:sz="4" w:space="0"/>
              <w:tl2br w:val="nil"/>
              <w:tr2bl w:val="nil"/>
            </w:tcBorders>
            <w:noWrap/>
            <w:vAlign w:val="center"/>
          </w:tcPr>
          <w:p w14:paraId="317CCEE3">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4953385.96</w:t>
            </w:r>
          </w:p>
        </w:tc>
        <w:tc>
          <w:tcPr>
            <w:tcW w:w="1131" w:type="pct"/>
            <w:tcBorders>
              <w:top w:val="single" w:color="auto" w:sz="4" w:space="0"/>
              <w:left w:val="single" w:color="auto" w:sz="4" w:space="0"/>
              <w:bottom w:val="single" w:color="auto" w:sz="4" w:space="0"/>
              <w:right w:val="single" w:color="auto" w:sz="4" w:space="0"/>
              <w:tl2br w:val="nil"/>
              <w:tr2bl w:val="nil"/>
            </w:tcBorders>
            <w:noWrap/>
            <w:vAlign w:val="center"/>
          </w:tcPr>
          <w:p w14:paraId="631D1B57">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29603085.23</w:t>
            </w:r>
          </w:p>
        </w:tc>
      </w:tr>
      <w:tr w14:paraId="3AD56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2" w:type="pct"/>
            <w:tcBorders>
              <w:top w:val="single" w:color="auto" w:sz="4" w:space="0"/>
              <w:left w:val="single" w:color="auto" w:sz="4" w:space="0"/>
              <w:bottom w:val="single" w:color="auto" w:sz="4" w:space="0"/>
              <w:right w:val="single" w:color="auto" w:sz="4" w:space="0"/>
              <w:tl2br w:val="nil"/>
              <w:tr2bl w:val="nil"/>
            </w:tcBorders>
            <w:noWrap/>
            <w:vAlign w:val="center"/>
          </w:tcPr>
          <w:p w14:paraId="77FBE4A6">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Y3</w:t>
            </w:r>
          </w:p>
        </w:tc>
        <w:tc>
          <w:tcPr>
            <w:tcW w:w="113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2CAA31C">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88°18′03″</w:t>
            </w:r>
          </w:p>
        </w:tc>
        <w:tc>
          <w:tcPr>
            <w:tcW w:w="121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7EBB756">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44°41′31″</w:t>
            </w:r>
          </w:p>
        </w:tc>
        <w:tc>
          <w:tcPr>
            <w:tcW w:w="1130" w:type="pct"/>
            <w:tcBorders>
              <w:top w:val="single" w:color="auto" w:sz="4" w:space="0"/>
              <w:left w:val="single" w:color="auto" w:sz="4" w:space="0"/>
              <w:bottom w:val="single" w:color="auto" w:sz="4" w:space="0"/>
              <w:right w:val="single" w:color="auto" w:sz="4" w:space="0"/>
              <w:tl2br w:val="nil"/>
              <w:tr2bl w:val="nil"/>
            </w:tcBorders>
            <w:noWrap/>
            <w:vAlign w:val="center"/>
          </w:tcPr>
          <w:p w14:paraId="359FB11F">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4951533.86</w:t>
            </w:r>
          </w:p>
        </w:tc>
        <w:tc>
          <w:tcPr>
            <w:tcW w:w="1131" w:type="pct"/>
            <w:tcBorders>
              <w:top w:val="single" w:color="auto" w:sz="4" w:space="0"/>
              <w:left w:val="single" w:color="auto" w:sz="4" w:space="0"/>
              <w:bottom w:val="single" w:color="auto" w:sz="4" w:space="0"/>
              <w:right w:val="single" w:color="auto" w:sz="4" w:space="0"/>
              <w:tl2br w:val="nil"/>
              <w:tr2bl w:val="nil"/>
            </w:tcBorders>
            <w:noWrap/>
            <w:vAlign w:val="center"/>
          </w:tcPr>
          <w:p w14:paraId="388E9260">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29603114.81</w:t>
            </w:r>
          </w:p>
        </w:tc>
      </w:tr>
      <w:tr w14:paraId="2BB5C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2" w:type="pct"/>
            <w:tcBorders>
              <w:top w:val="single" w:color="auto" w:sz="4" w:space="0"/>
              <w:left w:val="single" w:color="auto" w:sz="4" w:space="0"/>
              <w:bottom w:val="single" w:color="auto" w:sz="4" w:space="0"/>
              <w:right w:val="single" w:color="auto" w:sz="4" w:space="0"/>
              <w:tl2br w:val="nil"/>
              <w:tr2bl w:val="nil"/>
            </w:tcBorders>
            <w:noWrap/>
            <w:vAlign w:val="center"/>
          </w:tcPr>
          <w:p w14:paraId="4BF404DE">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Y4</w:t>
            </w:r>
          </w:p>
        </w:tc>
        <w:tc>
          <w:tcPr>
            <w:tcW w:w="113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D96BB84">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88°17′19″</w:t>
            </w:r>
          </w:p>
        </w:tc>
        <w:tc>
          <w:tcPr>
            <w:tcW w:w="121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47D043A">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44°41′31″</w:t>
            </w:r>
          </w:p>
        </w:tc>
        <w:tc>
          <w:tcPr>
            <w:tcW w:w="1130" w:type="pct"/>
            <w:tcBorders>
              <w:top w:val="single" w:color="auto" w:sz="4" w:space="0"/>
              <w:left w:val="single" w:color="auto" w:sz="4" w:space="0"/>
              <w:bottom w:val="single" w:color="auto" w:sz="4" w:space="0"/>
              <w:right w:val="single" w:color="auto" w:sz="4" w:space="0"/>
              <w:tl2br w:val="nil"/>
              <w:tr2bl w:val="nil"/>
            </w:tcBorders>
            <w:noWrap/>
            <w:vAlign w:val="center"/>
          </w:tcPr>
          <w:p w14:paraId="4D9AB55E">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4951518.46</w:t>
            </w:r>
          </w:p>
        </w:tc>
        <w:tc>
          <w:tcPr>
            <w:tcW w:w="1131" w:type="pct"/>
            <w:tcBorders>
              <w:top w:val="single" w:color="auto" w:sz="4" w:space="0"/>
              <w:left w:val="single" w:color="auto" w:sz="4" w:space="0"/>
              <w:bottom w:val="single" w:color="auto" w:sz="4" w:space="0"/>
              <w:right w:val="single" w:color="auto" w:sz="4" w:space="0"/>
              <w:tl2br w:val="nil"/>
              <w:tr2bl w:val="nil"/>
            </w:tcBorders>
            <w:noWrap/>
            <w:vAlign w:val="center"/>
          </w:tcPr>
          <w:p w14:paraId="46418B10">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29602145.98</w:t>
            </w:r>
          </w:p>
        </w:tc>
      </w:tr>
      <w:tr w14:paraId="2E6A7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2" w:type="pct"/>
            <w:tcBorders>
              <w:top w:val="single" w:color="auto" w:sz="4" w:space="0"/>
              <w:left w:val="single" w:color="auto" w:sz="4" w:space="0"/>
              <w:bottom w:val="single" w:color="auto" w:sz="4" w:space="0"/>
              <w:right w:val="single" w:color="auto" w:sz="4" w:space="0"/>
              <w:tl2br w:val="nil"/>
              <w:tr2bl w:val="nil"/>
            </w:tcBorders>
            <w:noWrap/>
            <w:vAlign w:val="center"/>
          </w:tcPr>
          <w:p w14:paraId="6AB457CD">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Y5</w:t>
            </w:r>
          </w:p>
        </w:tc>
        <w:tc>
          <w:tcPr>
            <w:tcW w:w="113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C71EE91">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88°17′19″</w:t>
            </w:r>
          </w:p>
        </w:tc>
        <w:tc>
          <w:tcPr>
            <w:tcW w:w="121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0E1B143">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44°41′48″</w:t>
            </w:r>
          </w:p>
        </w:tc>
        <w:tc>
          <w:tcPr>
            <w:tcW w:w="1130" w:type="pct"/>
            <w:tcBorders>
              <w:top w:val="single" w:color="auto" w:sz="4" w:space="0"/>
              <w:left w:val="single" w:color="auto" w:sz="4" w:space="0"/>
              <w:bottom w:val="single" w:color="auto" w:sz="4" w:space="0"/>
              <w:right w:val="single" w:color="auto" w:sz="4" w:space="0"/>
              <w:tl2br w:val="nil"/>
              <w:tr2bl w:val="nil"/>
            </w:tcBorders>
            <w:noWrap/>
            <w:vAlign w:val="center"/>
          </w:tcPr>
          <w:p w14:paraId="5D507F33">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4952039.05</w:t>
            </w:r>
          </w:p>
        </w:tc>
        <w:tc>
          <w:tcPr>
            <w:tcW w:w="1131" w:type="pct"/>
            <w:tcBorders>
              <w:top w:val="single" w:color="auto" w:sz="4" w:space="0"/>
              <w:left w:val="single" w:color="auto" w:sz="4" w:space="0"/>
              <w:bottom w:val="single" w:color="auto" w:sz="4" w:space="0"/>
              <w:right w:val="single" w:color="auto" w:sz="4" w:space="0"/>
              <w:tl2br w:val="nil"/>
              <w:tr2bl w:val="nil"/>
            </w:tcBorders>
            <w:noWrap/>
            <w:vAlign w:val="center"/>
          </w:tcPr>
          <w:p w14:paraId="3FF6E824">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29602138.64</w:t>
            </w:r>
          </w:p>
        </w:tc>
      </w:tr>
      <w:tr w14:paraId="41B75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2" w:type="pct"/>
            <w:tcBorders>
              <w:top w:val="single" w:color="auto" w:sz="4" w:space="0"/>
              <w:left w:val="single" w:color="auto" w:sz="4" w:space="0"/>
              <w:bottom w:val="single" w:color="auto" w:sz="4" w:space="0"/>
              <w:right w:val="single" w:color="auto" w:sz="4" w:space="0"/>
              <w:tl2br w:val="nil"/>
              <w:tr2bl w:val="nil"/>
            </w:tcBorders>
            <w:noWrap/>
            <w:vAlign w:val="center"/>
          </w:tcPr>
          <w:p w14:paraId="15F59B08">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Y6</w:t>
            </w:r>
          </w:p>
        </w:tc>
        <w:tc>
          <w:tcPr>
            <w:tcW w:w="113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DF8DB38">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88°17′44″</w:t>
            </w:r>
          </w:p>
        </w:tc>
        <w:tc>
          <w:tcPr>
            <w:tcW w:w="121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BE0B9E6">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44°41′48″</w:t>
            </w:r>
          </w:p>
        </w:tc>
        <w:tc>
          <w:tcPr>
            <w:tcW w:w="1130" w:type="pct"/>
            <w:tcBorders>
              <w:top w:val="single" w:color="auto" w:sz="4" w:space="0"/>
              <w:left w:val="single" w:color="auto" w:sz="4" w:space="0"/>
              <w:bottom w:val="single" w:color="auto" w:sz="4" w:space="0"/>
              <w:right w:val="single" w:color="auto" w:sz="4" w:space="0"/>
              <w:tl2br w:val="nil"/>
              <w:tr2bl w:val="nil"/>
            </w:tcBorders>
            <w:noWrap/>
            <w:vAlign w:val="center"/>
          </w:tcPr>
          <w:p w14:paraId="3AE31B4F">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4952039.61</w:t>
            </w:r>
          </w:p>
        </w:tc>
        <w:tc>
          <w:tcPr>
            <w:tcW w:w="1131" w:type="pct"/>
            <w:tcBorders>
              <w:top w:val="single" w:color="auto" w:sz="4" w:space="0"/>
              <w:left w:val="single" w:color="auto" w:sz="4" w:space="0"/>
              <w:bottom w:val="single" w:color="auto" w:sz="4" w:space="0"/>
              <w:right w:val="single" w:color="auto" w:sz="4" w:space="0"/>
              <w:tl2br w:val="nil"/>
              <w:tr2bl w:val="nil"/>
            </w:tcBorders>
            <w:noWrap/>
            <w:vAlign w:val="center"/>
          </w:tcPr>
          <w:p w14:paraId="5F72BBD4">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29602694.33</w:t>
            </w:r>
          </w:p>
        </w:tc>
      </w:tr>
      <w:tr w14:paraId="757EA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000" w:type="pct"/>
            <w:gridSpan w:val="5"/>
            <w:tcBorders>
              <w:top w:val="single" w:color="auto" w:sz="4" w:space="0"/>
              <w:left w:val="single" w:color="auto" w:sz="4" w:space="0"/>
              <w:bottom w:val="single" w:color="auto" w:sz="4" w:space="0"/>
              <w:right w:val="single" w:color="auto" w:sz="4" w:space="0"/>
              <w:tl2br w:val="nil"/>
              <w:tr2bl w:val="nil"/>
            </w:tcBorders>
            <w:noWrap/>
            <w:vAlign w:val="center"/>
          </w:tcPr>
          <w:p w14:paraId="122AF08C">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面积：</w:t>
            </w:r>
            <w:r>
              <w:rPr>
                <w:rFonts w:hint="default" w:ascii="Times New Roman" w:hAnsi="Times New Roman" w:cs="Times New Roman"/>
                <w:color w:val="auto"/>
                <w:sz w:val="24"/>
                <w:szCs w:val="24"/>
                <w:highlight w:val="none"/>
                <w:lang w:eastAsia="zh-CN"/>
              </w:rPr>
              <w:t>1.0366</w:t>
            </w:r>
            <w:r>
              <w:rPr>
                <w:rFonts w:hint="default" w:ascii="Times New Roman" w:hAnsi="Times New Roman" w:cs="Times New Roman"/>
                <w:color w:val="auto"/>
                <w:sz w:val="24"/>
                <w:szCs w:val="24"/>
                <w:highlight w:val="none"/>
              </w:rPr>
              <w:t>平方千米，开采标高</w:t>
            </w:r>
            <w:r>
              <w:rPr>
                <w:rFonts w:hint="default" w:ascii="Times New Roman" w:hAnsi="Times New Roman" w:cs="Times New Roman"/>
                <w:color w:val="auto"/>
                <w:sz w:val="24"/>
                <w:szCs w:val="24"/>
                <w:highlight w:val="none"/>
                <w:lang w:eastAsia="zh-CN"/>
              </w:rPr>
              <w:t>623～585</w:t>
            </w:r>
            <w:r>
              <w:rPr>
                <w:rFonts w:hint="default" w:ascii="Times New Roman" w:hAnsi="Times New Roman" w:cs="Times New Roman"/>
                <w:color w:val="auto"/>
                <w:sz w:val="24"/>
                <w:szCs w:val="24"/>
                <w:highlight w:val="none"/>
              </w:rPr>
              <w:t>米。生产规模</w:t>
            </w:r>
            <w:r>
              <w:rPr>
                <w:rFonts w:hint="default" w:ascii="Times New Roman" w:hAnsi="Times New Roman" w:cs="Times New Roman"/>
                <w:color w:val="auto"/>
                <w:sz w:val="24"/>
                <w:szCs w:val="24"/>
                <w:highlight w:val="none"/>
                <w:lang w:val="en-US" w:eastAsia="zh-CN"/>
              </w:rPr>
              <w:t>80万吨</w:t>
            </w:r>
            <w:r>
              <w:rPr>
                <w:rFonts w:hint="default" w:ascii="Times New Roman" w:hAnsi="Times New Roman" w:cs="Times New Roman"/>
                <w:color w:val="auto"/>
                <w:sz w:val="24"/>
                <w:szCs w:val="24"/>
                <w:highlight w:val="none"/>
              </w:rPr>
              <w:t>/年。</w:t>
            </w:r>
          </w:p>
        </w:tc>
      </w:tr>
      <w:bookmarkEnd w:id="119"/>
    </w:tbl>
    <w:p w14:paraId="6E9662C1">
      <w:pPr>
        <w:numPr>
          <w:ilvl w:val="0"/>
          <w:numId w:val="19"/>
        </w:numPr>
        <w:spacing w:beforeLines="0" w:afterLines="0"/>
        <w:ind w:firstLine="500" w:firstLineChar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露天开采境界圈定结果</w:t>
      </w:r>
    </w:p>
    <w:p w14:paraId="121DEDE1">
      <w:pPr>
        <w:pStyle w:val="14"/>
        <w:kinsoku w:val="0"/>
        <w:overflowPunct w:val="0"/>
        <w:spacing w:before="26" w:beforeLines="0" w:afterLines="0" w:line="376" w:lineRule="auto"/>
        <w:ind w:left="233" w:right="251"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按照矿区范围，根据矿体赋存情况、地形条件、选取合理的开采境界参数圈定开采境界。本项目开采境界圈定结果如下：</w:t>
      </w:r>
    </w:p>
    <w:p w14:paraId="527FA22A">
      <w:pPr>
        <w:pStyle w:val="45"/>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表</w:t>
      </w:r>
      <w:r>
        <w:rPr>
          <w:rFonts w:hint="default" w:ascii="Times New Roman" w:hAnsi="Times New Roman" w:cs="Times New Roman"/>
          <w:color w:val="auto"/>
          <w:sz w:val="24"/>
          <w:szCs w:val="24"/>
          <w:highlight w:val="none"/>
          <w:lang w:val="en-US" w:eastAsia="zh-CN"/>
        </w:rPr>
        <w:t>3.3-2</w:t>
      </w:r>
      <w:r>
        <w:rPr>
          <w:rFonts w:hint="default" w:ascii="Times New Roman" w:hAnsi="Times New Roman" w:cs="Times New Roman"/>
          <w:color w:val="auto"/>
          <w:sz w:val="24"/>
          <w:szCs w:val="24"/>
          <w:highlight w:val="none"/>
        </w:rPr>
        <w:t xml:space="preserve">   境界圈定参数表</w:t>
      </w:r>
    </w:p>
    <w:tbl>
      <w:tblPr>
        <w:tblStyle w:val="31"/>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380"/>
        <w:gridCol w:w="1380"/>
        <w:gridCol w:w="2383"/>
        <w:gridCol w:w="3935"/>
      </w:tblGrid>
      <w:tr w14:paraId="7E7B0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2832" w:type="pct"/>
            <w:gridSpan w:val="3"/>
            <w:tcBorders>
              <w:top w:val="single" w:color="auto" w:sz="4" w:space="0"/>
              <w:left w:val="single" w:color="auto" w:sz="4" w:space="0"/>
              <w:bottom w:val="single" w:color="auto" w:sz="4" w:space="0"/>
              <w:right w:val="single" w:color="auto" w:sz="4" w:space="0"/>
              <w:tl2br w:val="nil"/>
              <w:tr2bl w:val="nil"/>
            </w:tcBorders>
            <w:noWrap w:val="0"/>
            <w:vAlign w:val="center"/>
          </w:tcPr>
          <w:p w14:paraId="041F8FE6">
            <w:pPr>
              <w:spacing w:beforeLines="0" w:afterLines="0" w:line="240" w:lineRule="auto"/>
              <w:ind w:firstLine="0" w:firstLineChars="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4"/>
                <w:szCs w:val="24"/>
                <w:highlight w:val="none"/>
              </w:rPr>
              <w:t>最高开采标高（m）</w:t>
            </w:r>
          </w:p>
        </w:tc>
        <w:tc>
          <w:tcPr>
            <w:tcW w:w="21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305A6F6">
            <w:pPr>
              <w:spacing w:beforeLines="0" w:afterLines="0" w:line="240" w:lineRule="auto"/>
              <w:ind w:firstLine="0" w:firstLineChars="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4"/>
                <w:szCs w:val="24"/>
                <w:highlight w:val="none"/>
                <w:lang w:eastAsia="zh-CN"/>
              </w:rPr>
              <w:t>623</w:t>
            </w:r>
          </w:p>
        </w:tc>
      </w:tr>
      <w:tr w14:paraId="0D7B0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832" w:type="pct"/>
            <w:gridSpan w:val="3"/>
            <w:tcBorders>
              <w:top w:val="single" w:color="auto" w:sz="4" w:space="0"/>
              <w:left w:val="single" w:color="auto" w:sz="4" w:space="0"/>
              <w:bottom w:val="single" w:color="auto" w:sz="4" w:space="0"/>
              <w:right w:val="single" w:color="auto" w:sz="4" w:space="0"/>
              <w:tl2br w:val="nil"/>
              <w:tr2bl w:val="nil"/>
            </w:tcBorders>
            <w:noWrap w:val="0"/>
            <w:vAlign w:val="center"/>
          </w:tcPr>
          <w:p w14:paraId="2A6655AE">
            <w:pPr>
              <w:spacing w:beforeLines="0" w:afterLines="0" w:line="240" w:lineRule="auto"/>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最低开采标高（m）</w:t>
            </w:r>
          </w:p>
        </w:tc>
        <w:tc>
          <w:tcPr>
            <w:tcW w:w="21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1929F73">
            <w:pPr>
              <w:spacing w:beforeLines="0" w:afterLines="0" w:line="240" w:lineRule="auto"/>
              <w:ind w:firstLine="0" w:firstLineChars="0"/>
              <w:jc w:val="center"/>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585</w:t>
            </w:r>
          </w:p>
        </w:tc>
      </w:tr>
      <w:tr w14:paraId="1732E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832" w:type="pct"/>
            <w:gridSpan w:val="3"/>
            <w:tcBorders>
              <w:top w:val="single" w:color="auto" w:sz="4" w:space="0"/>
              <w:left w:val="single" w:color="auto" w:sz="4" w:space="0"/>
              <w:bottom w:val="single" w:color="auto" w:sz="4" w:space="0"/>
              <w:right w:val="single" w:color="auto" w:sz="4" w:space="0"/>
              <w:tl2br w:val="nil"/>
              <w:tr2bl w:val="nil"/>
            </w:tcBorders>
            <w:noWrap w:val="0"/>
            <w:vAlign w:val="center"/>
          </w:tcPr>
          <w:p w14:paraId="1B4516A8">
            <w:pPr>
              <w:spacing w:beforeLines="0" w:afterLines="0" w:line="240" w:lineRule="auto"/>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最终</w:t>
            </w:r>
            <w:r>
              <w:rPr>
                <w:rFonts w:hint="default" w:ascii="Times New Roman" w:hAnsi="Times New Roman" w:cs="Times New Roman"/>
                <w:color w:val="auto"/>
                <w:sz w:val="24"/>
                <w:szCs w:val="24"/>
                <w:highlight w:val="none"/>
                <w:lang w:val="en-US" w:eastAsia="zh-CN"/>
              </w:rPr>
              <w:t>台阶</w:t>
            </w:r>
            <w:r>
              <w:rPr>
                <w:rFonts w:hint="default" w:ascii="Times New Roman" w:hAnsi="Times New Roman" w:cs="Times New Roman"/>
                <w:color w:val="auto"/>
                <w:sz w:val="24"/>
                <w:szCs w:val="24"/>
                <w:highlight w:val="none"/>
              </w:rPr>
              <w:t>标高（m）</w:t>
            </w:r>
          </w:p>
        </w:tc>
        <w:tc>
          <w:tcPr>
            <w:tcW w:w="21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E23C50B">
            <w:pPr>
              <w:spacing w:beforeLines="0" w:afterLines="0" w:line="240" w:lineRule="auto"/>
              <w:ind w:firstLine="0" w:firstLineChars="0"/>
              <w:jc w:val="center"/>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val="en-US" w:eastAsia="zh-CN"/>
              </w:rPr>
              <w:t>615，605，595</w:t>
            </w:r>
            <w:r>
              <w:rPr>
                <w:rFonts w:hint="default" w:ascii="Times New Roman" w:hAnsi="Times New Roman" w:cs="Times New Roman"/>
                <w:color w:val="auto"/>
                <w:sz w:val="24"/>
                <w:szCs w:val="24"/>
                <w:highlight w:val="none"/>
                <w:lang w:eastAsia="zh-CN"/>
              </w:rPr>
              <w:t>，585</w:t>
            </w:r>
          </w:p>
        </w:tc>
      </w:tr>
      <w:tr w14:paraId="65195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2832" w:type="pct"/>
            <w:gridSpan w:val="3"/>
            <w:tcBorders>
              <w:top w:val="single" w:color="auto" w:sz="4" w:space="0"/>
              <w:left w:val="single" w:color="auto" w:sz="4" w:space="0"/>
              <w:bottom w:val="single" w:color="auto" w:sz="4" w:space="0"/>
              <w:right w:val="single" w:color="auto" w:sz="4" w:space="0"/>
              <w:tl2br w:val="nil"/>
              <w:tr2bl w:val="nil"/>
            </w:tcBorders>
            <w:noWrap w:val="0"/>
            <w:vAlign w:val="center"/>
          </w:tcPr>
          <w:p w14:paraId="24312FB6">
            <w:pPr>
              <w:spacing w:beforeLines="0" w:afterLines="0" w:line="240" w:lineRule="auto"/>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最终台阶高度（m）</w:t>
            </w:r>
          </w:p>
        </w:tc>
        <w:tc>
          <w:tcPr>
            <w:tcW w:w="21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5BEA400">
            <w:pPr>
              <w:spacing w:beforeLines="0" w:afterLines="0" w:line="240" w:lineRule="auto"/>
              <w:ind w:firstLine="0" w:firstLineChars="0"/>
              <w:jc w:val="center"/>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10</w:t>
            </w:r>
          </w:p>
        </w:tc>
      </w:tr>
      <w:tr w14:paraId="028B6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832" w:type="pct"/>
            <w:gridSpan w:val="3"/>
            <w:tcBorders>
              <w:top w:val="single" w:color="auto" w:sz="4" w:space="0"/>
              <w:left w:val="single" w:color="auto" w:sz="4" w:space="0"/>
              <w:bottom w:val="single" w:color="auto" w:sz="4" w:space="0"/>
              <w:right w:val="single" w:color="auto" w:sz="4" w:space="0"/>
              <w:tl2br w:val="nil"/>
              <w:tr2bl w:val="nil"/>
            </w:tcBorders>
            <w:noWrap w:val="0"/>
            <w:vAlign w:val="center"/>
          </w:tcPr>
          <w:p w14:paraId="3F2D3DD7">
            <w:pPr>
              <w:spacing w:beforeLines="0" w:afterLines="0" w:line="240" w:lineRule="auto"/>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台阶</w:t>
            </w:r>
            <w:r>
              <w:rPr>
                <w:rFonts w:hint="default" w:ascii="Times New Roman" w:hAnsi="Times New Roman" w:cs="Times New Roman"/>
                <w:color w:val="auto"/>
                <w:sz w:val="24"/>
                <w:szCs w:val="24"/>
                <w:highlight w:val="none"/>
              </w:rPr>
              <w:t>坡面角（°）</w:t>
            </w:r>
          </w:p>
        </w:tc>
        <w:tc>
          <w:tcPr>
            <w:tcW w:w="21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96B716A">
            <w:pPr>
              <w:spacing w:beforeLines="0" w:afterLines="0" w:line="240" w:lineRule="auto"/>
              <w:ind w:firstLine="0" w:firstLineChars="0"/>
              <w:jc w:val="center"/>
              <w:rPr>
                <w:rFonts w:hint="default" w:ascii="Times New Roman" w:hAnsi="Times New Roman" w:cs="Times New Roman"/>
                <w:color w:val="auto"/>
                <w:sz w:val="24"/>
                <w:szCs w:val="24"/>
                <w:highlight w:val="none"/>
                <w:lang w:val="en-US"/>
              </w:rPr>
            </w:pPr>
            <w:r>
              <w:rPr>
                <w:rFonts w:hint="default" w:ascii="Times New Roman" w:hAnsi="Times New Roman" w:cs="Times New Roman"/>
                <w:color w:val="auto"/>
                <w:sz w:val="24"/>
                <w:szCs w:val="24"/>
                <w:highlight w:val="none"/>
                <w:lang w:val="en-US" w:eastAsia="zh-CN"/>
              </w:rPr>
              <w:t>30</w:t>
            </w:r>
          </w:p>
        </w:tc>
      </w:tr>
      <w:tr w14:paraId="006F1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832" w:type="pct"/>
            <w:gridSpan w:val="3"/>
            <w:tcBorders>
              <w:top w:val="single" w:color="auto" w:sz="4" w:space="0"/>
              <w:left w:val="single" w:color="auto" w:sz="4" w:space="0"/>
              <w:bottom w:val="single" w:color="auto" w:sz="4" w:space="0"/>
              <w:right w:val="single" w:color="auto" w:sz="4" w:space="0"/>
              <w:tl2br w:val="nil"/>
              <w:tr2bl w:val="nil"/>
            </w:tcBorders>
            <w:noWrap w:val="0"/>
            <w:vAlign w:val="center"/>
          </w:tcPr>
          <w:p w14:paraId="577AED07">
            <w:pPr>
              <w:spacing w:beforeLines="0" w:afterLines="0" w:line="240" w:lineRule="auto"/>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安全平台宽度（m）</w:t>
            </w:r>
          </w:p>
        </w:tc>
        <w:tc>
          <w:tcPr>
            <w:tcW w:w="21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39E23E1">
            <w:pPr>
              <w:spacing w:beforeLines="0" w:afterLines="0" w:line="240" w:lineRule="auto"/>
              <w:ind w:firstLine="0" w:firstLineChars="0"/>
              <w:jc w:val="center"/>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6</w:t>
            </w:r>
          </w:p>
        </w:tc>
      </w:tr>
      <w:tr w14:paraId="11C1A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60"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5E4A7576">
            <w:pPr>
              <w:spacing w:beforeLines="0" w:afterLines="0" w:line="240" w:lineRule="auto"/>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境界</w:t>
            </w:r>
          </w:p>
          <w:p w14:paraId="07C2DD15">
            <w:pPr>
              <w:spacing w:beforeLines="0" w:afterLines="0" w:line="240" w:lineRule="auto"/>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尺寸</w:t>
            </w:r>
          </w:p>
        </w:tc>
        <w:tc>
          <w:tcPr>
            <w:tcW w:w="760"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5471CAD3">
            <w:pPr>
              <w:spacing w:beforeLines="0" w:afterLines="0" w:line="240" w:lineRule="auto"/>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地表</w:t>
            </w:r>
          </w:p>
        </w:tc>
        <w:tc>
          <w:tcPr>
            <w:tcW w:w="131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077ADB5">
            <w:pPr>
              <w:spacing w:beforeLines="0" w:afterLines="0" w:line="240" w:lineRule="auto"/>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长（m）</w:t>
            </w:r>
          </w:p>
        </w:tc>
        <w:tc>
          <w:tcPr>
            <w:tcW w:w="21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8B6D0D5">
            <w:pPr>
              <w:spacing w:beforeLines="0" w:afterLines="0" w:line="240" w:lineRule="auto"/>
              <w:ind w:firstLine="0" w:firstLineChars="0"/>
              <w:jc w:val="center"/>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514～1852</w:t>
            </w:r>
          </w:p>
        </w:tc>
      </w:tr>
      <w:tr w14:paraId="728BD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60"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17C461DB">
            <w:pPr>
              <w:spacing w:beforeLines="0" w:afterLines="0" w:line="240" w:lineRule="auto"/>
              <w:ind w:firstLine="0" w:firstLineChars="0"/>
              <w:jc w:val="center"/>
              <w:rPr>
                <w:rFonts w:hint="default" w:ascii="Times New Roman" w:hAnsi="Times New Roman" w:cs="Times New Roman"/>
                <w:color w:val="auto"/>
                <w:sz w:val="24"/>
                <w:szCs w:val="24"/>
                <w:highlight w:val="none"/>
              </w:rPr>
            </w:pPr>
          </w:p>
        </w:tc>
        <w:tc>
          <w:tcPr>
            <w:tcW w:w="760"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4BBCA946">
            <w:pPr>
              <w:spacing w:beforeLines="0" w:afterLines="0" w:line="240" w:lineRule="auto"/>
              <w:ind w:firstLine="0" w:firstLineChars="0"/>
              <w:jc w:val="center"/>
              <w:rPr>
                <w:rFonts w:hint="default" w:ascii="Times New Roman" w:hAnsi="Times New Roman" w:cs="Times New Roman"/>
                <w:color w:val="auto"/>
                <w:sz w:val="24"/>
                <w:szCs w:val="24"/>
                <w:highlight w:val="none"/>
              </w:rPr>
            </w:pPr>
          </w:p>
        </w:tc>
        <w:tc>
          <w:tcPr>
            <w:tcW w:w="131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69651F9">
            <w:pPr>
              <w:spacing w:beforeLines="0" w:afterLines="0" w:line="240" w:lineRule="auto"/>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宽（m）</w:t>
            </w:r>
          </w:p>
        </w:tc>
        <w:tc>
          <w:tcPr>
            <w:tcW w:w="21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D9A0804">
            <w:pPr>
              <w:spacing w:beforeLines="0" w:afterLines="0" w:line="240" w:lineRule="auto"/>
              <w:ind w:firstLine="0" w:firstLineChars="0"/>
              <w:jc w:val="center"/>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val="en-US" w:eastAsia="zh-CN"/>
              </w:rPr>
              <w:t>400～854</w:t>
            </w:r>
          </w:p>
        </w:tc>
      </w:tr>
      <w:tr w14:paraId="3791B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60"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471722BD">
            <w:pPr>
              <w:spacing w:beforeLines="0" w:afterLines="0" w:line="240" w:lineRule="auto"/>
              <w:ind w:firstLine="0" w:firstLineChars="0"/>
              <w:jc w:val="center"/>
              <w:rPr>
                <w:rFonts w:hint="default" w:ascii="Times New Roman" w:hAnsi="Times New Roman" w:cs="Times New Roman"/>
                <w:color w:val="auto"/>
                <w:sz w:val="24"/>
                <w:szCs w:val="24"/>
                <w:highlight w:val="none"/>
              </w:rPr>
            </w:pPr>
          </w:p>
        </w:tc>
        <w:tc>
          <w:tcPr>
            <w:tcW w:w="760"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105D236E">
            <w:pPr>
              <w:spacing w:beforeLines="0" w:afterLines="0" w:line="240" w:lineRule="auto"/>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底部</w:t>
            </w:r>
          </w:p>
        </w:tc>
        <w:tc>
          <w:tcPr>
            <w:tcW w:w="131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2C6A7E6">
            <w:pPr>
              <w:spacing w:beforeLines="0" w:afterLines="0" w:line="240" w:lineRule="auto"/>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长（m）</w:t>
            </w:r>
          </w:p>
        </w:tc>
        <w:tc>
          <w:tcPr>
            <w:tcW w:w="21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118D7CA">
            <w:pPr>
              <w:spacing w:beforeLines="0" w:afterLines="0" w:line="240" w:lineRule="auto"/>
              <w:ind w:firstLine="0" w:firstLineChars="0"/>
              <w:jc w:val="center"/>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378～1740</w:t>
            </w:r>
          </w:p>
        </w:tc>
      </w:tr>
      <w:tr w14:paraId="15037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60"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796E9C51">
            <w:pPr>
              <w:spacing w:beforeLines="0" w:afterLines="0" w:line="240" w:lineRule="auto"/>
              <w:ind w:firstLine="0" w:firstLineChars="0"/>
              <w:jc w:val="center"/>
              <w:rPr>
                <w:rFonts w:hint="default" w:ascii="Times New Roman" w:hAnsi="Times New Roman" w:cs="Times New Roman"/>
                <w:color w:val="auto"/>
                <w:sz w:val="24"/>
                <w:szCs w:val="24"/>
                <w:highlight w:val="none"/>
              </w:rPr>
            </w:pPr>
          </w:p>
        </w:tc>
        <w:tc>
          <w:tcPr>
            <w:tcW w:w="760"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3B1D0B52">
            <w:pPr>
              <w:spacing w:beforeLines="0" w:afterLines="0" w:line="240" w:lineRule="auto"/>
              <w:ind w:firstLine="0" w:firstLineChars="0"/>
              <w:jc w:val="center"/>
              <w:rPr>
                <w:rFonts w:hint="default" w:ascii="Times New Roman" w:hAnsi="Times New Roman" w:cs="Times New Roman"/>
                <w:color w:val="auto"/>
                <w:sz w:val="24"/>
                <w:szCs w:val="24"/>
                <w:highlight w:val="none"/>
              </w:rPr>
            </w:pPr>
          </w:p>
        </w:tc>
        <w:tc>
          <w:tcPr>
            <w:tcW w:w="131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7CF4FD6">
            <w:pPr>
              <w:spacing w:beforeLines="0" w:afterLines="0" w:line="240" w:lineRule="auto"/>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宽（m）</w:t>
            </w:r>
          </w:p>
        </w:tc>
        <w:tc>
          <w:tcPr>
            <w:tcW w:w="21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478AEE7">
            <w:pPr>
              <w:spacing w:beforeLines="0" w:afterLines="0" w:line="240" w:lineRule="auto"/>
              <w:ind w:firstLine="0" w:firstLineChars="0"/>
              <w:jc w:val="center"/>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335～664</w:t>
            </w:r>
          </w:p>
        </w:tc>
      </w:tr>
      <w:tr w14:paraId="38887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832" w:type="pct"/>
            <w:gridSpan w:val="3"/>
            <w:tcBorders>
              <w:top w:val="single" w:color="auto" w:sz="4" w:space="0"/>
              <w:left w:val="single" w:color="auto" w:sz="4" w:space="0"/>
              <w:bottom w:val="single" w:color="auto" w:sz="4" w:space="0"/>
              <w:right w:val="single" w:color="auto" w:sz="4" w:space="0"/>
              <w:tl2br w:val="nil"/>
              <w:tr2bl w:val="nil"/>
            </w:tcBorders>
            <w:noWrap w:val="0"/>
            <w:vAlign w:val="center"/>
          </w:tcPr>
          <w:p w14:paraId="1ACF37BA">
            <w:pPr>
              <w:spacing w:beforeLines="0" w:afterLines="0" w:line="240" w:lineRule="auto"/>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最终边坡角（°）</w:t>
            </w:r>
          </w:p>
        </w:tc>
        <w:tc>
          <w:tcPr>
            <w:tcW w:w="21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00C8C8E">
            <w:pPr>
              <w:spacing w:beforeLines="0" w:afterLines="0" w:line="240" w:lineRule="auto"/>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24～30</w:t>
            </w:r>
          </w:p>
        </w:tc>
      </w:tr>
    </w:tbl>
    <w:p w14:paraId="3F4F670E">
      <w:pPr>
        <w:numPr>
          <w:ilvl w:val="0"/>
          <w:numId w:val="19"/>
        </w:numPr>
        <w:spacing w:beforeLines="0" w:afterLines="0"/>
        <w:ind w:firstLine="500" w:firstLineChars="0"/>
        <w:rPr>
          <w:rFonts w:hint="default" w:ascii="Times New Roman" w:hAnsi="Times New Roman" w:cs="Times New Roman"/>
          <w:color w:val="auto"/>
          <w:sz w:val="24"/>
          <w:szCs w:val="24"/>
          <w:highlight w:val="none"/>
        </w:rPr>
      </w:pPr>
      <w:bookmarkStart w:id="120" w:name="3.3.2开采规模"/>
      <w:bookmarkEnd w:id="120"/>
      <w:r>
        <w:rPr>
          <w:rFonts w:hint="default" w:ascii="Times New Roman" w:hAnsi="Times New Roman" w:cs="Times New Roman"/>
          <w:color w:val="auto"/>
          <w:sz w:val="24"/>
          <w:szCs w:val="24"/>
          <w:highlight w:val="none"/>
        </w:rPr>
        <w:t>露天开采境界内矿岩量</w:t>
      </w:r>
    </w:p>
    <w:p w14:paraId="29F9A320">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采场露天开采境界内推断的矿石资源量</w:t>
      </w:r>
      <w:r>
        <w:rPr>
          <w:rFonts w:hint="default" w:ascii="Times New Roman" w:hAnsi="Times New Roman" w:cs="Times New Roman"/>
          <w:color w:val="auto"/>
          <w:sz w:val="24"/>
          <w:szCs w:val="24"/>
          <w:highlight w:val="none"/>
          <w:lang w:eastAsia="zh-CN"/>
        </w:rPr>
        <w:t>1541.58</w:t>
      </w:r>
      <w:r>
        <w:rPr>
          <w:rFonts w:hint="default" w:ascii="Times New Roman" w:hAnsi="Times New Roman" w:cs="Times New Roman"/>
          <w:color w:val="auto"/>
          <w:sz w:val="24"/>
          <w:szCs w:val="24"/>
          <w:highlight w:val="none"/>
        </w:rPr>
        <w:t>万</w:t>
      </w:r>
      <w:r>
        <w:rPr>
          <w:rFonts w:hint="default" w:ascii="Times New Roman" w:hAnsi="Times New Roman" w:cs="Times New Roman"/>
          <w:color w:val="auto"/>
          <w:sz w:val="24"/>
          <w:szCs w:val="24"/>
          <w:highlight w:val="none"/>
          <w:lang w:eastAsia="zh-CN"/>
        </w:rPr>
        <w:t>t</w:t>
      </w:r>
      <w:r>
        <w:rPr>
          <w:rFonts w:hint="default" w:ascii="Times New Roman" w:hAnsi="Times New Roman" w:cs="Times New Roman"/>
          <w:color w:val="auto"/>
          <w:sz w:val="24"/>
          <w:szCs w:val="24"/>
          <w:highlight w:val="none"/>
        </w:rPr>
        <w:t>。设计损失的控制及推断的矿石资源量合计为</w:t>
      </w:r>
      <w:r>
        <w:rPr>
          <w:rFonts w:hint="default" w:ascii="Times New Roman" w:hAnsi="Times New Roman" w:cs="Times New Roman"/>
          <w:color w:val="auto"/>
          <w:sz w:val="24"/>
          <w:szCs w:val="24"/>
          <w:highlight w:val="none"/>
          <w:lang w:eastAsia="zh-CN"/>
        </w:rPr>
        <w:t>35.13</w:t>
      </w:r>
      <w:r>
        <w:rPr>
          <w:rFonts w:hint="default" w:ascii="Times New Roman" w:hAnsi="Times New Roman" w:cs="Times New Roman"/>
          <w:color w:val="auto"/>
          <w:sz w:val="24"/>
          <w:szCs w:val="24"/>
          <w:highlight w:val="none"/>
        </w:rPr>
        <w:t>万t，设计损失率为</w:t>
      </w:r>
      <w:r>
        <w:rPr>
          <w:rFonts w:hint="default" w:ascii="Times New Roman" w:hAnsi="Times New Roman" w:cs="Times New Roman"/>
          <w:color w:val="auto"/>
          <w:sz w:val="24"/>
          <w:szCs w:val="24"/>
          <w:highlight w:val="none"/>
          <w:lang w:val="en-US" w:eastAsia="zh-CN"/>
        </w:rPr>
        <w:t>2.23</w:t>
      </w:r>
      <w:r>
        <w:rPr>
          <w:rFonts w:hint="default" w:ascii="Times New Roman" w:hAnsi="Times New Roman" w:cs="Times New Roman"/>
          <w:color w:val="auto"/>
          <w:sz w:val="24"/>
          <w:szCs w:val="24"/>
          <w:highlight w:val="none"/>
        </w:rPr>
        <w:t>％。</w:t>
      </w:r>
    </w:p>
    <w:p w14:paraId="3774E11C">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开采境界内矿岩量见</w:t>
      </w:r>
      <w:r>
        <w:rPr>
          <w:rFonts w:hint="default" w:ascii="Times New Roman" w:hAnsi="Times New Roman" w:cs="Times New Roman"/>
          <w:color w:val="auto"/>
          <w:sz w:val="24"/>
          <w:szCs w:val="24"/>
          <w:highlight w:val="none"/>
          <w:lang w:eastAsia="zh-CN"/>
        </w:rPr>
        <w:t>下</w:t>
      </w:r>
      <w:r>
        <w:rPr>
          <w:rFonts w:hint="default" w:ascii="Times New Roman" w:hAnsi="Times New Roman" w:cs="Times New Roman"/>
          <w:color w:val="auto"/>
          <w:sz w:val="24"/>
          <w:szCs w:val="24"/>
          <w:highlight w:val="none"/>
        </w:rPr>
        <w:t>表。</w:t>
      </w:r>
    </w:p>
    <w:p w14:paraId="0E0FCDD8">
      <w:pPr>
        <w:pStyle w:val="45"/>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表</w:t>
      </w:r>
      <w:r>
        <w:rPr>
          <w:rFonts w:hint="default" w:ascii="Times New Roman" w:hAnsi="Times New Roman" w:cs="Times New Roman"/>
          <w:color w:val="auto"/>
          <w:sz w:val="24"/>
          <w:szCs w:val="24"/>
          <w:highlight w:val="none"/>
          <w:lang w:val="en-US" w:eastAsia="zh-CN"/>
        </w:rPr>
        <w:t>3.3-3</w:t>
      </w:r>
      <w:r>
        <w:rPr>
          <w:rFonts w:hint="default" w:ascii="Times New Roman" w:hAnsi="Times New Roman" w:cs="Times New Roman"/>
          <w:color w:val="auto"/>
          <w:sz w:val="24"/>
          <w:szCs w:val="24"/>
          <w:highlight w:val="none"/>
        </w:rPr>
        <w:t xml:space="preserve">   开采境界内矿岩量表</w:t>
      </w:r>
    </w:p>
    <w:tbl>
      <w:tblPr>
        <w:tblStyle w:val="31"/>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598"/>
        <w:gridCol w:w="3598"/>
        <w:gridCol w:w="1882"/>
      </w:tblGrid>
      <w:tr w14:paraId="386BF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blHeader/>
          <w:jc w:val="center"/>
        </w:trPr>
        <w:tc>
          <w:tcPr>
            <w:tcW w:w="1981" w:type="pct"/>
            <w:tcBorders>
              <w:top w:val="single" w:color="auto" w:sz="4" w:space="0"/>
              <w:left w:val="single" w:color="auto" w:sz="4" w:space="0"/>
              <w:bottom w:val="single" w:color="auto" w:sz="4" w:space="0"/>
              <w:right w:val="single" w:color="auto" w:sz="4" w:space="0"/>
              <w:tl2br w:val="nil"/>
              <w:tr2bl w:val="nil"/>
            </w:tcBorders>
            <w:noWrap/>
            <w:vAlign w:val="center"/>
          </w:tcPr>
          <w:p w14:paraId="7CB10BE7">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台阶标高（m）</w:t>
            </w:r>
          </w:p>
        </w:tc>
        <w:tc>
          <w:tcPr>
            <w:tcW w:w="1981" w:type="pct"/>
            <w:tcBorders>
              <w:top w:val="single" w:color="auto" w:sz="4" w:space="0"/>
              <w:left w:val="single" w:color="auto" w:sz="4" w:space="0"/>
              <w:bottom w:val="single" w:color="auto" w:sz="4" w:space="0"/>
              <w:right w:val="single" w:color="auto" w:sz="4" w:space="0"/>
              <w:tl2br w:val="nil"/>
              <w:tr2bl w:val="nil"/>
            </w:tcBorders>
            <w:noWrap/>
            <w:vAlign w:val="center"/>
          </w:tcPr>
          <w:p w14:paraId="1ECB9415">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GB"/>
              </w:rPr>
              <w:t>台阶高度（m）</w:t>
            </w:r>
          </w:p>
        </w:tc>
        <w:tc>
          <w:tcPr>
            <w:tcW w:w="1036" w:type="pct"/>
            <w:tcBorders>
              <w:top w:val="single" w:color="auto" w:sz="4" w:space="0"/>
              <w:left w:val="single" w:color="auto" w:sz="4" w:space="0"/>
              <w:bottom w:val="single" w:color="auto" w:sz="4" w:space="0"/>
              <w:right w:val="single" w:color="auto" w:sz="4" w:space="0"/>
              <w:tl2br w:val="nil"/>
              <w:tr2bl w:val="nil"/>
            </w:tcBorders>
            <w:noWrap/>
            <w:vAlign w:val="center"/>
          </w:tcPr>
          <w:p w14:paraId="26243C85">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矿石量（万</w:t>
            </w:r>
            <w:r>
              <w:rPr>
                <w:rFonts w:hint="default" w:ascii="Times New Roman" w:hAnsi="Times New Roman" w:cs="Times New Roman"/>
                <w:color w:val="auto"/>
                <w:sz w:val="24"/>
                <w:szCs w:val="24"/>
                <w:highlight w:val="none"/>
                <w:lang w:eastAsia="zh-CN"/>
              </w:rPr>
              <w:t>t</w:t>
            </w:r>
            <w:r>
              <w:rPr>
                <w:rFonts w:hint="default" w:ascii="Times New Roman" w:hAnsi="Times New Roman" w:cs="Times New Roman"/>
                <w:color w:val="auto"/>
                <w:sz w:val="24"/>
                <w:szCs w:val="24"/>
                <w:highlight w:val="none"/>
              </w:rPr>
              <w:t>）</w:t>
            </w:r>
          </w:p>
        </w:tc>
      </w:tr>
      <w:tr w14:paraId="3DB87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blHeader/>
          <w:jc w:val="center"/>
        </w:trPr>
        <w:tc>
          <w:tcPr>
            <w:tcW w:w="1981" w:type="pct"/>
            <w:tcBorders>
              <w:top w:val="single" w:color="auto" w:sz="4" w:space="0"/>
              <w:left w:val="single" w:color="auto" w:sz="4" w:space="0"/>
              <w:bottom w:val="single" w:color="auto" w:sz="4" w:space="0"/>
              <w:right w:val="single" w:color="auto" w:sz="4" w:space="0"/>
              <w:tl2br w:val="nil"/>
              <w:tr2bl w:val="nil"/>
            </w:tcBorders>
            <w:noWrap/>
            <w:vAlign w:val="center"/>
          </w:tcPr>
          <w:p w14:paraId="716A57A3">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615</w:t>
            </w:r>
          </w:p>
        </w:tc>
        <w:tc>
          <w:tcPr>
            <w:tcW w:w="1981" w:type="pct"/>
            <w:tcBorders>
              <w:top w:val="single" w:color="auto" w:sz="4" w:space="0"/>
              <w:left w:val="single" w:color="auto" w:sz="4" w:space="0"/>
              <w:bottom w:val="single" w:color="auto" w:sz="4" w:space="0"/>
              <w:right w:val="single" w:color="auto" w:sz="4" w:space="0"/>
              <w:tl2br w:val="nil"/>
              <w:tr2bl w:val="nil"/>
            </w:tcBorders>
            <w:noWrap/>
            <w:vAlign w:val="center"/>
          </w:tcPr>
          <w:p w14:paraId="4D308245">
            <w:pPr>
              <w:pStyle w:val="48"/>
              <w:spacing w:beforeLines="0" w:afterLines="0"/>
              <w:rPr>
                <w:rFonts w:hint="default" w:ascii="Times New Roman" w:hAnsi="Times New Roman" w:cs="Times New Roman"/>
                <w:color w:val="auto"/>
                <w:sz w:val="24"/>
                <w:szCs w:val="24"/>
                <w:highlight w:val="none"/>
                <w:lang w:val="en-GB"/>
              </w:rPr>
            </w:pPr>
            <w:r>
              <w:rPr>
                <w:rFonts w:hint="default" w:ascii="Times New Roman" w:hAnsi="Times New Roman" w:cs="Times New Roman"/>
                <w:color w:val="auto"/>
                <w:sz w:val="24"/>
                <w:szCs w:val="24"/>
                <w:highlight w:val="none"/>
                <w:lang w:val="en-GB"/>
              </w:rPr>
              <w:t>8</w:t>
            </w:r>
          </w:p>
        </w:tc>
        <w:tc>
          <w:tcPr>
            <w:tcW w:w="1036" w:type="pct"/>
            <w:tcBorders>
              <w:top w:val="single" w:color="auto" w:sz="4" w:space="0"/>
              <w:left w:val="single" w:color="auto" w:sz="4" w:space="0"/>
              <w:bottom w:val="single" w:color="auto" w:sz="4" w:space="0"/>
              <w:right w:val="single" w:color="auto" w:sz="4" w:space="0"/>
              <w:tl2br w:val="nil"/>
              <w:tr2bl w:val="nil"/>
            </w:tcBorders>
            <w:noWrap/>
            <w:vAlign w:val="center"/>
          </w:tcPr>
          <w:p w14:paraId="06A17B3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13.96</w:t>
            </w:r>
          </w:p>
        </w:tc>
      </w:tr>
      <w:tr w14:paraId="0989D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981" w:type="pct"/>
            <w:tcBorders>
              <w:top w:val="single" w:color="auto" w:sz="4" w:space="0"/>
              <w:left w:val="single" w:color="auto" w:sz="4" w:space="0"/>
              <w:bottom w:val="single" w:color="auto" w:sz="4" w:space="0"/>
              <w:right w:val="single" w:color="auto" w:sz="4" w:space="0"/>
              <w:tl2br w:val="nil"/>
              <w:tr2bl w:val="nil"/>
            </w:tcBorders>
            <w:noWrap/>
            <w:vAlign w:val="center"/>
          </w:tcPr>
          <w:p w14:paraId="19D8B565">
            <w:pPr>
              <w:pStyle w:val="48"/>
              <w:spacing w:beforeLines="0" w:afterLines="0"/>
              <w:rPr>
                <w:rFonts w:hint="default" w:ascii="Times New Roman" w:hAnsi="Times New Roman" w:cs="Times New Roman"/>
                <w:color w:val="auto"/>
                <w:sz w:val="24"/>
                <w:szCs w:val="24"/>
                <w:highlight w:val="none"/>
                <w:lang w:val="en-US"/>
              </w:rPr>
            </w:pPr>
            <w:r>
              <w:rPr>
                <w:rFonts w:hint="default" w:ascii="Times New Roman" w:hAnsi="Times New Roman" w:cs="Times New Roman"/>
                <w:color w:val="auto"/>
                <w:sz w:val="24"/>
                <w:szCs w:val="24"/>
                <w:highlight w:val="none"/>
                <w:lang w:val="en-US" w:eastAsia="zh-CN"/>
              </w:rPr>
              <w:t>605</w:t>
            </w:r>
          </w:p>
        </w:tc>
        <w:tc>
          <w:tcPr>
            <w:tcW w:w="1981" w:type="pct"/>
            <w:tcBorders>
              <w:top w:val="single" w:color="auto" w:sz="4" w:space="0"/>
              <w:left w:val="single" w:color="auto" w:sz="4" w:space="0"/>
              <w:bottom w:val="single" w:color="auto" w:sz="4" w:space="0"/>
              <w:right w:val="single" w:color="auto" w:sz="4" w:space="0"/>
              <w:tl2br w:val="nil"/>
              <w:tr2bl w:val="nil"/>
            </w:tcBorders>
            <w:noWrap/>
            <w:vAlign w:val="center"/>
          </w:tcPr>
          <w:p w14:paraId="1D044FE4">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10</w:t>
            </w:r>
          </w:p>
        </w:tc>
        <w:tc>
          <w:tcPr>
            <w:tcW w:w="1036" w:type="pct"/>
            <w:tcBorders>
              <w:top w:val="single" w:color="auto" w:sz="4" w:space="0"/>
              <w:left w:val="single" w:color="auto" w:sz="4" w:space="0"/>
              <w:bottom w:val="single" w:color="auto" w:sz="4" w:space="0"/>
              <w:right w:val="single" w:color="auto" w:sz="4" w:space="0"/>
              <w:tl2br w:val="nil"/>
              <w:tr2bl w:val="nil"/>
            </w:tcBorders>
            <w:noWrap/>
            <w:vAlign w:val="center"/>
          </w:tcPr>
          <w:p w14:paraId="2D472230">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45.94</w:t>
            </w:r>
          </w:p>
        </w:tc>
      </w:tr>
      <w:tr w14:paraId="76FE2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981" w:type="pct"/>
            <w:tcBorders>
              <w:top w:val="single" w:color="auto" w:sz="4" w:space="0"/>
              <w:left w:val="single" w:color="auto" w:sz="4" w:space="0"/>
              <w:bottom w:val="single" w:color="auto" w:sz="4" w:space="0"/>
              <w:right w:val="single" w:color="auto" w:sz="4" w:space="0"/>
              <w:tl2br w:val="nil"/>
              <w:tr2bl w:val="nil"/>
            </w:tcBorders>
            <w:noWrap/>
            <w:vAlign w:val="center"/>
          </w:tcPr>
          <w:p w14:paraId="2F1889D0">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595</w:t>
            </w:r>
          </w:p>
        </w:tc>
        <w:tc>
          <w:tcPr>
            <w:tcW w:w="1981" w:type="pct"/>
            <w:tcBorders>
              <w:top w:val="single" w:color="auto" w:sz="4" w:space="0"/>
              <w:left w:val="single" w:color="auto" w:sz="4" w:space="0"/>
              <w:bottom w:val="single" w:color="auto" w:sz="4" w:space="0"/>
              <w:right w:val="single" w:color="auto" w:sz="4" w:space="0"/>
              <w:tl2br w:val="nil"/>
              <w:tr2bl w:val="nil"/>
            </w:tcBorders>
            <w:noWrap/>
            <w:vAlign w:val="center"/>
          </w:tcPr>
          <w:p w14:paraId="5D57936F">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10</w:t>
            </w:r>
          </w:p>
        </w:tc>
        <w:tc>
          <w:tcPr>
            <w:tcW w:w="1036" w:type="pct"/>
            <w:tcBorders>
              <w:top w:val="single" w:color="auto" w:sz="4" w:space="0"/>
              <w:left w:val="single" w:color="auto" w:sz="4" w:space="0"/>
              <w:bottom w:val="single" w:color="auto" w:sz="4" w:space="0"/>
              <w:right w:val="single" w:color="auto" w:sz="4" w:space="0"/>
              <w:tl2br w:val="nil"/>
              <w:tr2bl w:val="nil"/>
            </w:tcBorders>
            <w:noWrap/>
            <w:vAlign w:val="center"/>
          </w:tcPr>
          <w:p w14:paraId="297BD97C">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218.46</w:t>
            </w:r>
          </w:p>
        </w:tc>
      </w:tr>
      <w:tr w14:paraId="74ED4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981" w:type="pct"/>
            <w:tcBorders>
              <w:top w:val="single" w:color="auto" w:sz="4" w:space="0"/>
              <w:left w:val="single" w:color="auto" w:sz="4" w:space="0"/>
              <w:bottom w:val="single" w:color="auto" w:sz="4" w:space="0"/>
              <w:right w:val="single" w:color="auto" w:sz="4" w:space="0"/>
              <w:tl2br w:val="nil"/>
              <w:tr2bl w:val="nil"/>
            </w:tcBorders>
            <w:noWrap/>
            <w:vAlign w:val="center"/>
          </w:tcPr>
          <w:p w14:paraId="065FFEDE">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585</w:t>
            </w:r>
          </w:p>
        </w:tc>
        <w:tc>
          <w:tcPr>
            <w:tcW w:w="1981" w:type="pct"/>
            <w:tcBorders>
              <w:top w:val="single" w:color="auto" w:sz="4" w:space="0"/>
              <w:left w:val="single" w:color="auto" w:sz="4" w:space="0"/>
              <w:bottom w:val="single" w:color="auto" w:sz="4" w:space="0"/>
              <w:right w:val="single" w:color="auto" w:sz="4" w:space="0"/>
              <w:tl2br w:val="nil"/>
              <w:tr2bl w:val="nil"/>
            </w:tcBorders>
            <w:noWrap/>
            <w:vAlign w:val="center"/>
          </w:tcPr>
          <w:p w14:paraId="5C127A22">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10</w:t>
            </w:r>
          </w:p>
        </w:tc>
        <w:tc>
          <w:tcPr>
            <w:tcW w:w="1036" w:type="pct"/>
            <w:tcBorders>
              <w:top w:val="single" w:color="auto" w:sz="4" w:space="0"/>
              <w:left w:val="single" w:color="auto" w:sz="4" w:space="0"/>
              <w:bottom w:val="single" w:color="auto" w:sz="4" w:space="0"/>
              <w:right w:val="single" w:color="auto" w:sz="4" w:space="0"/>
              <w:tl2br w:val="nil"/>
              <w:tr2bl w:val="nil"/>
            </w:tcBorders>
            <w:noWrap/>
            <w:vAlign w:val="center"/>
          </w:tcPr>
          <w:p w14:paraId="621E356B">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1263.22</w:t>
            </w:r>
          </w:p>
        </w:tc>
      </w:tr>
      <w:tr w14:paraId="345FA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981" w:type="pct"/>
            <w:tcBorders>
              <w:top w:val="single" w:color="auto" w:sz="4" w:space="0"/>
              <w:left w:val="single" w:color="auto" w:sz="4" w:space="0"/>
              <w:bottom w:val="single" w:color="auto" w:sz="4" w:space="0"/>
              <w:right w:val="single" w:color="auto" w:sz="4" w:space="0"/>
              <w:tl2br w:val="nil"/>
              <w:tr2bl w:val="nil"/>
            </w:tcBorders>
            <w:noWrap/>
            <w:vAlign w:val="center"/>
          </w:tcPr>
          <w:p w14:paraId="1CA45ED7">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合计</w:t>
            </w:r>
          </w:p>
        </w:tc>
        <w:tc>
          <w:tcPr>
            <w:tcW w:w="1981" w:type="pct"/>
            <w:tcBorders>
              <w:top w:val="single" w:color="auto" w:sz="4" w:space="0"/>
              <w:left w:val="single" w:color="auto" w:sz="4" w:space="0"/>
              <w:bottom w:val="single" w:color="auto" w:sz="4" w:space="0"/>
              <w:right w:val="single" w:color="auto" w:sz="4" w:space="0"/>
              <w:tl2br w:val="nil"/>
              <w:tr2bl w:val="nil"/>
            </w:tcBorders>
            <w:noWrap/>
            <w:vAlign w:val="center"/>
          </w:tcPr>
          <w:p w14:paraId="3E8DA449">
            <w:pPr>
              <w:pStyle w:val="48"/>
              <w:spacing w:beforeLines="0" w:afterLines="0"/>
              <w:rPr>
                <w:rFonts w:hint="default" w:ascii="Times New Roman" w:hAnsi="Times New Roman" w:cs="Times New Roman"/>
                <w:color w:val="auto"/>
                <w:sz w:val="24"/>
                <w:szCs w:val="24"/>
                <w:highlight w:val="none"/>
                <w:lang w:eastAsia="zh-CN"/>
              </w:rPr>
            </w:pPr>
          </w:p>
        </w:tc>
        <w:tc>
          <w:tcPr>
            <w:tcW w:w="1036" w:type="pct"/>
            <w:tcBorders>
              <w:top w:val="single" w:color="auto" w:sz="4" w:space="0"/>
              <w:left w:val="single" w:color="auto" w:sz="4" w:space="0"/>
              <w:bottom w:val="single" w:color="auto" w:sz="4" w:space="0"/>
              <w:right w:val="single" w:color="auto" w:sz="4" w:space="0"/>
              <w:tl2br w:val="nil"/>
              <w:tr2bl w:val="nil"/>
            </w:tcBorders>
            <w:noWrap/>
            <w:vAlign w:val="center"/>
          </w:tcPr>
          <w:p w14:paraId="720D5D9A">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1541.58</w:t>
            </w:r>
          </w:p>
        </w:tc>
      </w:tr>
    </w:tbl>
    <w:p w14:paraId="66D4E60B">
      <w:pPr>
        <w:pStyle w:val="4"/>
        <w:bidi w:val="0"/>
        <w:rPr>
          <w:rFonts w:hint="default"/>
        </w:rPr>
      </w:pPr>
      <w:r>
        <w:rPr>
          <w:rFonts w:hint="default"/>
        </w:rPr>
        <w:t>开采规模</w:t>
      </w:r>
    </w:p>
    <w:p w14:paraId="6A9CE7B5">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开采规模：矿山开采规模</w:t>
      </w:r>
      <w:r>
        <w:rPr>
          <w:rFonts w:hint="default" w:ascii="Times New Roman" w:hAnsi="Times New Roman" w:cs="Times New Roman"/>
          <w:color w:val="auto"/>
          <w:sz w:val="24"/>
          <w:szCs w:val="24"/>
          <w:highlight w:val="none"/>
          <w:lang w:val="en-US" w:eastAsia="zh-CN"/>
        </w:rPr>
        <w:t>80</w:t>
      </w:r>
      <w:r>
        <w:rPr>
          <w:rFonts w:hint="default" w:ascii="Times New Roman" w:hAnsi="Times New Roman" w:cs="Times New Roman"/>
          <w:color w:val="auto"/>
          <w:sz w:val="24"/>
          <w:szCs w:val="24"/>
          <w:highlight w:val="none"/>
        </w:rPr>
        <w:t>万吨/年。</w:t>
      </w:r>
    </w:p>
    <w:p w14:paraId="0355CFA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baseline"/>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根据《矿产资源开发利用与生态保护修复方案》，采矿回采率为97%。开采矿产品为压裂用天然石英砂，粒级主要分为</w:t>
      </w:r>
      <w:r>
        <w:rPr>
          <w:rFonts w:hint="default" w:ascii="Times New Roman" w:hAnsi="Times New Roman" w:cs="Times New Roman"/>
          <w:color w:val="auto"/>
          <w:sz w:val="24"/>
          <w:szCs w:val="24"/>
          <w:highlight w:val="none"/>
          <w:lang w:val="en-US" w:eastAsia="zh-CN"/>
        </w:rPr>
        <w:t>20～40</w:t>
      </w:r>
      <w:r>
        <w:rPr>
          <w:rFonts w:hint="default" w:ascii="Times New Roman" w:hAnsi="Times New Roman" w:cs="Times New Roman"/>
          <w:color w:val="auto"/>
          <w:sz w:val="24"/>
          <w:szCs w:val="24"/>
          <w:highlight w:val="none"/>
        </w:rPr>
        <w:t>目、</w:t>
      </w:r>
      <w:r>
        <w:rPr>
          <w:rFonts w:hint="default" w:ascii="Times New Roman" w:hAnsi="Times New Roman" w:cs="Times New Roman"/>
          <w:color w:val="auto"/>
          <w:sz w:val="24"/>
          <w:szCs w:val="24"/>
          <w:highlight w:val="none"/>
          <w:lang w:eastAsia="zh-CN"/>
        </w:rPr>
        <w:t>40～70</w:t>
      </w:r>
      <w:r>
        <w:rPr>
          <w:rFonts w:hint="default" w:ascii="Times New Roman" w:hAnsi="Times New Roman" w:cs="Times New Roman"/>
          <w:color w:val="auto"/>
          <w:sz w:val="24"/>
          <w:szCs w:val="24"/>
          <w:highlight w:val="none"/>
        </w:rPr>
        <w:t>目</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根据筛分试验，其中20～40目占比5.76%，</w:t>
      </w:r>
      <w:r>
        <w:rPr>
          <w:rFonts w:hint="default" w:ascii="Times New Roman" w:hAnsi="Times New Roman" w:cs="Times New Roman"/>
          <w:color w:val="auto"/>
          <w:sz w:val="24"/>
          <w:szCs w:val="24"/>
          <w:highlight w:val="none"/>
          <w:lang w:eastAsia="zh-CN"/>
        </w:rPr>
        <w:t>40～70</w:t>
      </w:r>
      <w:r>
        <w:rPr>
          <w:rFonts w:hint="default" w:ascii="Times New Roman" w:hAnsi="Times New Roman" w:cs="Times New Roman"/>
          <w:color w:val="auto"/>
          <w:sz w:val="24"/>
          <w:szCs w:val="24"/>
          <w:highlight w:val="none"/>
        </w:rPr>
        <w:t>目</w:t>
      </w:r>
      <w:r>
        <w:rPr>
          <w:rFonts w:hint="default" w:ascii="Times New Roman" w:hAnsi="Times New Roman" w:cs="Times New Roman"/>
          <w:color w:val="auto"/>
          <w:sz w:val="24"/>
          <w:szCs w:val="24"/>
          <w:highlight w:val="none"/>
          <w:lang w:val="en-US" w:eastAsia="zh-CN"/>
        </w:rPr>
        <w:t>占比36.74%，矿石占比共计42.50%，</w:t>
      </w:r>
      <w:r>
        <w:rPr>
          <w:rFonts w:hint="default" w:ascii="Times New Roman" w:hAnsi="Times New Roman" w:cs="Times New Roman"/>
          <w:color w:val="auto"/>
          <w:sz w:val="24"/>
          <w:szCs w:val="24"/>
          <w:highlight w:val="none"/>
          <w:lang w:eastAsia="zh-CN"/>
        </w:rPr>
        <w:t>70～140</w:t>
      </w:r>
      <w:r>
        <w:rPr>
          <w:rFonts w:hint="default" w:ascii="Times New Roman" w:hAnsi="Times New Roman" w:cs="Times New Roman"/>
          <w:color w:val="auto"/>
          <w:sz w:val="24"/>
          <w:szCs w:val="24"/>
          <w:highlight w:val="none"/>
        </w:rPr>
        <w:t>目</w:t>
      </w:r>
      <w:r>
        <w:rPr>
          <w:rFonts w:hint="default" w:ascii="Times New Roman" w:hAnsi="Times New Roman" w:cs="Times New Roman"/>
          <w:color w:val="auto"/>
          <w:sz w:val="24"/>
          <w:szCs w:val="24"/>
          <w:highlight w:val="none"/>
          <w:lang w:val="en-US" w:eastAsia="zh-CN"/>
        </w:rPr>
        <w:t>废料占比44.41 %，废土量13.09%</w:t>
      </w:r>
      <w:r>
        <w:rPr>
          <w:rFonts w:hint="default" w:ascii="Times New Roman" w:hAnsi="Times New Roman" w:cs="Times New Roman"/>
          <w:color w:val="auto"/>
          <w:sz w:val="24"/>
          <w:szCs w:val="24"/>
          <w:highlight w:val="none"/>
        </w:rPr>
        <w:t>。</w:t>
      </w:r>
    </w:p>
    <w:p w14:paraId="46142C62">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本项目工艺指标表见表3.3-4；</w:t>
      </w:r>
    </w:p>
    <w:p w14:paraId="138906D3">
      <w:pPr>
        <w:spacing w:beforeLines="0" w:afterLines="0" w:line="500" w:lineRule="exact"/>
        <w:ind w:firstLine="480"/>
        <w:jc w:val="center"/>
        <w:textAlignment w:val="baseline"/>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表3.3-4</w:t>
      </w:r>
      <w:r>
        <w:rPr>
          <w:rFonts w:hint="default" w:ascii="Times New Roman" w:hAnsi="Times New Roman" w:cs="Times New Roman"/>
          <w:b/>
          <w:color w:val="auto"/>
          <w:sz w:val="24"/>
          <w:szCs w:val="24"/>
          <w:highlight w:val="none"/>
        </w:rPr>
        <w:tab/>
      </w:r>
      <w:r>
        <w:rPr>
          <w:rFonts w:hint="default" w:ascii="Times New Roman" w:hAnsi="Times New Roman" w:cs="Times New Roman"/>
          <w:b/>
          <w:color w:val="auto"/>
          <w:sz w:val="24"/>
          <w:szCs w:val="24"/>
          <w:highlight w:val="none"/>
          <w:lang w:val="en-US" w:eastAsia="zh-CN"/>
        </w:rPr>
        <w:t xml:space="preserve">   本项目</w:t>
      </w:r>
      <w:r>
        <w:rPr>
          <w:rFonts w:hint="default" w:ascii="Times New Roman" w:hAnsi="Times New Roman" w:cs="Times New Roman"/>
          <w:b/>
          <w:color w:val="auto"/>
          <w:sz w:val="24"/>
          <w:szCs w:val="24"/>
          <w:highlight w:val="none"/>
        </w:rPr>
        <w:t>筛分工艺指标表</w:t>
      </w:r>
    </w:p>
    <w:tbl>
      <w:tblPr>
        <w:tblStyle w:val="31"/>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1639"/>
        <w:gridCol w:w="2020"/>
        <w:gridCol w:w="2695"/>
        <w:gridCol w:w="2772"/>
      </w:tblGrid>
      <w:tr w14:paraId="4B6F67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7" w:hRule="atLeast"/>
          <w:tblHeader/>
          <w:jc w:val="center"/>
        </w:trPr>
        <w:tc>
          <w:tcPr>
            <w:tcW w:w="898" w:type="pct"/>
            <w:tcBorders>
              <w:top w:val="single" w:color="auto" w:sz="6" w:space="0"/>
              <w:left w:val="single" w:color="auto" w:sz="6" w:space="0"/>
              <w:bottom w:val="single" w:color="auto" w:sz="6" w:space="0"/>
              <w:right w:val="single" w:color="auto" w:sz="6" w:space="0"/>
              <w:tl2br w:val="nil"/>
              <w:tr2bl w:val="nil"/>
            </w:tcBorders>
            <w:noWrap w:val="0"/>
            <w:vAlign w:val="center"/>
          </w:tcPr>
          <w:p w14:paraId="51D2E57A">
            <w:pPr>
              <w:spacing w:beforeLines="0" w:afterLines="0" w:line="240" w:lineRule="auto"/>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产品名称</w:t>
            </w:r>
          </w:p>
        </w:tc>
        <w:tc>
          <w:tcPr>
            <w:tcW w:w="1106" w:type="pct"/>
            <w:tcBorders>
              <w:top w:val="single" w:color="auto" w:sz="6" w:space="0"/>
              <w:left w:val="single" w:color="auto" w:sz="6" w:space="0"/>
              <w:bottom w:val="single" w:color="auto" w:sz="6" w:space="0"/>
              <w:right w:val="single" w:color="auto" w:sz="6" w:space="0"/>
              <w:tl2br w:val="nil"/>
              <w:tr2bl w:val="nil"/>
            </w:tcBorders>
            <w:noWrap w:val="0"/>
            <w:vAlign w:val="center"/>
          </w:tcPr>
          <w:p w14:paraId="0F54ED65">
            <w:pPr>
              <w:spacing w:beforeLines="0" w:afterLines="0" w:line="240" w:lineRule="auto"/>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产率（％）</w:t>
            </w:r>
          </w:p>
        </w:tc>
        <w:tc>
          <w:tcPr>
            <w:tcW w:w="1476" w:type="pct"/>
            <w:tcBorders>
              <w:top w:val="single" w:color="auto" w:sz="6" w:space="0"/>
              <w:left w:val="single" w:color="auto" w:sz="6" w:space="0"/>
              <w:bottom w:val="single" w:color="auto" w:sz="6" w:space="0"/>
              <w:right w:val="single" w:color="auto" w:sz="6" w:space="0"/>
              <w:tl2br w:val="nil"/>
              <w:tr2bl w:val="nil"/>
            </w:tcBorders>
            <w:noWrap w:val="0"/>
            <w:vAlign w:val="center"/>
          </w:tcPr>
          <w:p w14:paraId="4C26F7BC">
            <w:pPr>
              <w:spacing w:beforeLines="0" w:afterLines="0" w:line="240" w:lineRule="auto"/>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产量（万t/a）</w:t>
            </w:r>
          </w:p>
        </w:tc>
        <w:tc>
          <w:tcPr>
            <w:tcW w:w="1518" w:type="pct"/>
            <w:tcBorders>
              <w:top w:val="single" w:color="auto" w:sz="6" w:space="0"/>
              <w:left w:val="single" w:color="auto" w:sz="6" w:space="0"/>
              <w:bottom w:val="single" w:color="auto" w:sz="6" w:space="0"/>
              <w:right w:val="single" w:color="auto" w:sz="6" w:space="0"/>
              <w:tl2br w:val="nil"/>
              <w:tr2bl w:val="nil"/>
            </w:tcBorders>
            <w:noWrap w:val="0"/>
            <w:vAlign w:val="center"/>
          </w:tcPr>
          <w:p w14:paraId="5A8252E5">
            <w:pPr>
              <w:spacing w:beforeLines="0" w:afterLines="0" w:line="240" w:lineRule="auto"/>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备注</w:t>
            </w:r>
          </w:p>
        </w:tc>
      </w:tr>
      <w:tr w14:paraId="3D4D5B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898" w:type="pct"/>
            <w:tcBorders>
              <w:top w:val="single" w:color="auto" w:sz="6" w:space="0"/>
              <w:left w:val="single" w:color="auto" w:sz="6" w:space="0"/>
              <w:bottom w:val="single" w:color="auto" w:sz="6" w:space="0"/>
              <w:right w:val="single" w:color="auto" w:sz="6" w:space="0"/>
              <w:tl2br w:val="nil"/>
              <w:tr2bl w:val="nil"/>
            </w:tcBorders>
            <w:noWrap w:val="0"/>
            <w:vAlign w:val="center"/>
          </w:tcPr>
          <w:p w14:paraId="03CD11F9">
            <w:pPr>
              <w:spacing w:beforeLines="0" w:afterLines="0" w:line="240" w:lineRule="auto"/>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原砂</w:t>
            </w:r>
          </w:p>
        </w:tc>
        <w:tc>
          <w:tcPr>
            <w:tcW w:w="1106" w:type="pct"/>
            <w:tcBorders>
              <w:top w:val="single" w:color="auto" w:sz="6" w:space="0"/>
              <w:left w:val="single" w:color="auto" w:sz="6" w:space="0"/>
              <w:bottom w:val="single" w:color="auto" w:sz="6" w:space="0"/>
              <w:right w:val="single" w:color="auto" w:sz="6" w:space="0"/>
              <w:tl2br w:val="nil"/>
              <w:tr2bl w:val="nil"/>
            </w:tcBorders>
            <w:noWrap w:val="0"/>
            <w:vAlign w:val="center"/>
          </w:tcPr>
          <w:p w14:paraId="24182FCA">
            <w:pPr>
              <w:spacing w:beforeLines="0" w:afterLines="0" w:line="240" w:lineRule="auto"/>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100.00</w:t>
            </w:r>
          </w:p>
        </w:tc>
        <w:tc>
          <w:tcPr>
            <w:tcW w:w="1476" w:type="pct"/>
            <w:tcBorders>
              <w:top w:val="single" w:color="auto" w:sz="6" w:space="0"/>
              <w:left w:val="single" w:color="auto" w:sz="6" w:space="0"/>
              <w:bottom w:val="single" w:color="auto" w:sz="6" w:space="0"/>
              <w:right w:val="single" w:color="auto" w:sz="6" w:space="0"/>
              <w:tl2br w:val="nil"/>
              <w:tr2bl w:val="nil"/>
            </w:tcBorders>
            <w:noWrap w:val="0"/>
            <w:vAlign w:val="center"/>
          </w:tcPr>
          <w:p w14:paraId="038D8AD6">
            <w:pPr>
              <w:spacing w:beforeLines="0" w:afterLines="0" w:line="240" w:lineRule="auto"/>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8</w:t>
            </w:r>
            <w:r>
              <w:rPr>
                <w:rFonts w:hint="default" w:ascii="Times New Roman" w:hAnsi="Times New Roman" w:cs="Times New Roman"/>
                <w:color w:val="auto"/>
                <w:sz w:val="24"/>
                <w:szCs w:val="24"/>
                <w:highlight w:val="none"/>
              </w:rPr>
              <w:t>0.00</w:t>
            </w:r>
          </w:p>
        </w:tc>
        <w:tc>
          <w:tcPr>
            <w:tcW w:w="1518" w:type="pct"/>
            <w:tcBorders>
              <w:top w:val="single" w:color="auto" w:sz="6" w:space="0"/>
              <w:left w:val="single" w:color="auto" w:sz="6" w:space="0"/>
              <w:bottom w:val="single" w:color="auto" w:sz="6" w:space="0"/>
              <w:right w:val="single" w:color="auto" w:sz="6" w:space="0"/>
              <w:tl2br w:val="nil"/>
              <w:tr2bl w:val="nil"/>
            </w:tcBorders>
            <w:noWrap w:val="0"/>
            <w:vAlign w:val="center"/>
          </w:tcPr>
          <w:p w14:paraId="7618CE24">
            <w:pPr>
              <w:spacing w:beforeLines="0" w:afterLines="0" w:line="240" w:lineRule="auto"/>
              <w:ind w:firstLine="0" w:firstLineChars="0"/>
              <w:jc w:val="center"/>
              <w:rPr>
                <w:rFonts w:hint="default" w:ascii="Times New Roman" w:hAnsi="Times New Roman" w:cs="Times New Roman"/>
                <w:color w:val="auto"/>
                <w:sz w:val="24"/>
                <w:szCs w:val="24"/>
                <w:highlight w:val="none"/>
              </w:rPr>
            </w:pPr>
          </w:p>
        </w:tc>
      </w:tr>
      <w:tr w14:paraId="49D838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898" w:type="pct"/>
            <w:tcBorders>
              <w:top w:val="single" w:color="auto" w:sz="6" w:space="0"/>
              <w:left w:val="single" w:color="auto" w:sz="6" w:space="0"/>
              <w:bottom w:val="single" w:color="auto" w:sz="6" w:space="0"/>
              <w:right w:val="single" w:color="auto" w:sz="6" w:space="0"/>
              <w:tl2br w:val="nil"/>
              <w:tr2bl w:val="nil"/>
            </w:tcBorders>
            <w:noWrap w:val="0"/>
            <w:vAlign w:val="center"/>
          </w:tcPr>
          <w:p w14:paraId="04592BF8">
            <w:pPr>
              <w:spacing w:beforeLines="0" w:afterLines="0" w:line="240" w:lineRule="auto"/>
              <w:ind w:firstLine="0" w:firstLineChars="0"/>
              <w:jc w:val="center"/>
              <w:rPr>
                <w:rFonts w:hint="default" w:ascii="Times New Roman" w:hAnsi="Times New Roman" w:cs="Times New Roman"/>
                <w:color w:val="auto"/>
                <w:sz w:val="24"/>
                <w:szCs w:val="24"/>
                <w:highlight w:val="none"/>
                <w:lang w:val="en-GB"/>
              </w:rPr>
            </w:pPr>
            <w:r>
              <w:rPr>
                <w:rFonts w:hint="default" w:ascii="Times New Roman" w:hAnsi="Times New Roman" w:cs="Times New Roman"/>
                <w:color w:val="auto"/>
                <w:sz w:val="24"/>
                <w:szCs w:val="24"/>
                <w:highlight w:val="none"/>
                <w:lang w:val="en-GB"/>
              </w:rPr>
              <w:t>成品1</w:t>
            </w:r>
          </w:p>
        </w:tc>
        <w:tc>
          <w:tcPr>
            <w:tcW w:w="1106" w:type="pct"/>
            <w:tcBorders>
              <w:top w:val="single" w:color="auto" w:sz="6" w:space="0"/>
              <w:left w:val="single" w:color="auto" w:sz="6" w:space="0"/>
              <w:bottom w:val="single" w:color="auto" w:sz="6" w:space="0"/>
              <w:right w:val="single" w:color="auto" w:sz="6" w:space="0"/>
              <w:tl2br w:val="nil"/>
              <w:tr2bl w:val="nil"/>
            </w:tcBorders>
            <w:noWrap w:val="0"/>
            <w:vAlign w:val="center"/>
          </w:tcPr>
          <w:p w14:paraId="33E47DCC">
            <w:pPr>
              <w:spacing w:beforeLines="0" w:afterLines="0" w:line="240" w:lineRule="auto"/>
              <w:ind w:firstLine="0" w:firstLineChars="0"/>
              <w:jc w:val="center"/>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5.76</w:t>
            </w:r>
          </w:p>
        </w:tc>
        <w:tc>
          <w:tcPr>
            <w:tcW w:w="1476" w:type="pct"/>
            <w:tcBorders>
              <w:top w:val="single" w:color="auto" w:sz="6" w:space="0"/>
              <w:left w:val="single" w:color="auto" w:sz="6" w:space="0"/>
              <w:bottom w:val="single" w:color="auto" w:sz="6" w:space="0"/>
              <w:right w:val="single" w:color="auto" w:sz="6" w:space="0"/>
              <w:tl2br w:val="nil"/>
              <w:tr2bl w:val="nil"/>
            </w:tcBorders>
            <w:noWrap w:val="0"/>
            <w:vAlign w:val="center"/>
          </w:tcPr>
          <w:p w14:paraId="16C1279E">
            <w:pPr>
              <w:spacing w:beforeLines="0" w:afterLines="0" w:line="240" w:lineRule="auto"/>
              <w:ind w:firstLine="0" w:firstLineChars="0"/>
              <w:jc w:val="center"/>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4.608</w:t>
            </w:r>
          </w:p>
        </w:tc>
        <w:tc>
          <w:tcPr>
            <w:tcW w:w="1518" w:type="pct"/>
            <w:tcBorders>
              <w:top w:val="single" w:color="auto" w:sz="6" w:space="0"/>
              <w:left w:val="single" w:color="auto" w:sz="6" w:space="0"/>
              <w:bottom w:val="single" w:color="auto" w:sz="6" w:space="0"/>
              <w:right w:val="single" w:color="auto" w:sz="6" w:space="0"/>
              <w:tl2br w:val="nil"/>
              <w:tr2bl w:val="nil"/>
            </w:tcBorders>
            <w:noWrap w:val="0"/>
            <w:vAlign w:val="center"/>
          </w:tcPr>
          <w:p w14:paraId="7F83BC1B">
            <w:pPr>
              <w:spacing w:beforeLines="0" w:afterLines="0" w:line="240" w:lineRule="auto"/>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1"/>
                <w:highlight w:val="none"/>
                <w:lang w:val="en-US" w:eastAsia="zh-CN"/>
              </w:rPr>
              <w:t>2</w:t>
            </w:r>
            <w:r>
              <w:rPr>
                <w:rFonts w:hint="default" w:ascii="Times New Roman" w:hAnsi="Times New Roman" w:cs="Times New Roman"/>
                <w:color w:val="auto"/>
                <w:sz w:val="24"/>
                <w:szCs w:val="21"/>
                <w:highlight w:val="none"/>
              </w:rPr>
              <w:t>0～</w:t>
            </w:r>
            <w:r>
              <w:rPr>
                <w:rFonts w:hint="default" w:ascii="Times New Roman" w:hAnsi="Times New Roman" w:cs="Times New Roman"/>
                <w:color w:val="auto"/>
                <w:sz w:val="24"/>
                <w:szCs w:val="21"/>
                <w:highlight w:val="none"/>
                <w:lang w:val="en-US" w:eastAsia="zh-CN"/>
              </w:rPr>
              <w:t>4</w:t>
            </w:r>
            <w:r>
              <w:rPr>
                <w:rFonts w:hint="default" w:ascii="Times New Roman" w:hAnsi="Times New Roman" w:cs="Times New Roman"/>
                <w:color w:val="auto"/>
                <w:sz w:val="24"/>
                <w:szCs w:val="21"/>
                <w:highlight w:val="none"/>
              </w:rPr>
              <w:t>0目</w:t>
            </w:r>
          </w:p>
        </w:tc>
      </w:tr>
      <w:tr w14:paraId="402B33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898" w:type="pct"/>
            <w:tcBorders>
              <w:top w:val="single" w:color="auto" w:sz="6" w:space="0"/>
              <w:left w:val="single" w:color="auto" w:sz="6" w:space="0"/>
              <w:bottom w:val="single" w:color="auto" w:sz="6" w:space="0"/>
              <w:right w:val="single" w:color="auto" w:sz="6" w:space="0"/>
              <w:tl2br w:val="nil"/>
              <w:tr2bl w:val="nil"/>
            </w:tcBorders>
            <w:noWrap w:val="0"/>
            <w:vAlign w:val="center"/>
          </w:tcPr>
          <w:p w14:paraId="455607C7">
            <w:pPr>
              <w:spacing w:beforeLines="0" w:afterLines="0" w:line="240" w:lineRule="auto"/>
              <w:ind w:firstLine="0" w:firstLineChars="0"/>
              <w:jc w:val="center"/>
              <w:rPr>
                <w:rFonts w:hint="default" w:ascii="Times New Roman" w:hAnsi="Times New Roman" w:cs="Times New Roman"/>
                <w:color w:val="auto"/>
                <w:sz w:val="24"/>
                <w:szCs w:val="24"/>
                <w:highlight w:val="none"/>
                <w:lang w:val="en-GB"/>
              </w:rPr>
            </w:pPr>
            <w:r>
              <w:rPr>
                <w:rFonts w:hint="default" w:ascii="Times New Roman" w:hAnsi="Times New Roman" w:cs="Times New Roman"/>
                <w:color w:val="auto"/>
                <w:sz w:val="24"/>
                <w:szCs w:val="24"/>
                <w:highlight w:val="none"/>
                <w:lang w:val="en-GB"/>
              </w:rPr>
              <w:t>成品2</w:t>
            </w:r>
          </w:p>
        </w:tc>
        <w:tc>
          <w:tcPr>
            <w:tcW w:w="1106" w:type="pct"/>
            <w:tcBorders>
              <w:top w:val="single" w:color="auto" w:sz="6" w:space="0"/>
              <w:left w:val="single" w:color="auto" w:sz="6" w:space="0"/>
              <w:bottom w:val="single" w:color="auto" w:sz="6" w:space="0"/>
              <w:right w:val="single" w:color="auto" w:sz="6" w:space="0"/>
              <w:tl2br w:val="nil"/>
              <w:tr2bl w:val="nil"/>
            </w:tcBorders>
            <w:noWrap w:val="0"/>
            <w:vAlign w:val="center"/>
          </w:tcPr>
          <w:p w14:paraId="34A9F538">
            <w:pPr>
              <w:spacing w:beforeLines="0" w:afterLines="0" w:line="240" w:lineRule="auto"/>
              <w:ind w:firstLine="0" w:firstLineChars="0"/>
              <w:jc w:val="center"/>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36.74</w:t>
            </w:r>
          </w:p>
        </w:tc>
        <w:tc>
          <w:tcPr>
            <w:tcW w:w="1476" w:type="pct"/>
            <w:tcBorders>
              <w:top w:val="single" w:color="auto" w:sz="6" w:space="0"/>
              <w:left w:val="single" w:color="auto" w:sz="6" w:space="0"/>
              <w:bottom w:val="single" w:color="auto" w:sz="6" w:space="0"/>
              <w:right w:val="single" w:color="auto" w:sz="6" w:space="0"/>
              <w:tl2br w:val="nil"/>
              <w:tr2bl w:val="nil"/>
            </w:tcBorders>
            <w:noWrap w:val="0"/>
            <w:vAlign w:val="center"/>
          </w:tcPr>
          <w:p w14:paraId="21A1225F">
            <w:pPr>
              <w:spacing w:beforeLines="0" w:afterLines="0" w:line="240" w:lineRule="auto"/>
              <w:ind w:firstLine="0" w:firstLineChars="0"/>
              <w:jc w:val="center"/>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29.392</w:t>
            </w:r>
          </w:p>
        </w:tc>
        <w:tc>
          <w:tcPr>
            <w:tcW w:w="1518" w:type="pct"/>
            <w:tcBorders>
              <w:top w:val="single" w:color="auto" w:sz="6" w:space="0"/>
              <w:left w:val="single" w:color="auto" w:sz="6" w:space="0"/>
              <w:bottom w:val="single" w:color="auto" w:sz="6" w:space="0"/>
              <w:right w:val="single" w:color="auto" w:sz="6" w:space="0"/>
              <w:tl2br w:val="nil"/>
              <w:tr2bl w:val="nil"/>
            </w:tcBorders>
            <w:noWrap w:val="0"/>
            <w:vAlign w:val="center"/>
          </w:tcPr>
          <w:p w14:paraId="0AAB628E">
            <w:pPr>
              <w:spacing w:beforeLines="0" w:afterLines="0" w:line="240" w:lineRule="auto"/>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1"/>
                <w:highlight w:val="none"/>
                <w:lang w:val="en-US" w:eastAsia="zh-CN"/>
              </w:rPr>
              <w:t>4</w:t>
            </w:r>
            <w:r>
              <w:rPr>
                <w:rFonts w:hint="default" w:ascii="Times New Roman" w:hAnsi="Times New Roman" w:cs="Times New Roman"/>
                <w:color w:val="auto"/>
                <w:sz w:val="24"/>
                <w:szCs w:val="21"/>
                <w:highlight w:val="none"/>
              </w:rPr>
              <w:t>0～</w:t>
            </w:r>
            <w:r>
              <w:rPr>
                <w:rFonts w:hint="default" w:ascii="Times New Roman" w:hAnsi="Times New Roman" w:cs="Times New Roman"/>
                <w:color w:val="auto"/>
                <w:sz w:val="24"/>
                <w:szCs w:val="21"/>
                <w:highlight w:val="none"/>
                <w:lang w:val="en-US" w:eastAsia="zh-CN"/>
              </w:rPr>
              <w:t>7</w:t>
            </w:r>
            <w:r>
              <w:rPr>
                <w:rFonts w:hint="default" w:ascii="Times New Roman" w:hAnsi="Times New Roman" w:cs="Times New Roman"/>
                <w:color w:val="auto"/>
                <w:sz w:val="24"/>
                <w:szCs w:val="21"/>
                <w:highlight w:val="none"/>
              </w:rPr>
              <w:t>0目</w:t>
            </w:r>
          </w:p>
        </w:tc>
      </w:tr>
      <w:tr w14:paraId="4B67A7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898" w:type="pct"/>
            <w:tcBorders>
              <w:top w:val="single" w:color="auto" w:sz="6" w:space="0"/>
              <w:left w:val="single" w:color="auto" w:sz="6" w:space="0"/>
              <w:bottom w:val="single" w:color="auto" w:sz="6" w:space="0"/>
              <w:right w:val="single" w:color="auto" w:sz="6" w:space="0"/>
              <w:tl2br w:val="nil"/>
              <w:tr2bl w:val="nil"/>
            </w:tcBorders>
            <w:noWrap w:val="0"/>
            <w:vAlign w:val="center"/>
          </w:tcPr>
          <w:p w14:paraId="0A7BC650">
            <w:pPr>
              <w:spacing w:beforeLines="0" w:afterLines="0" w:line="240" w:lineRule="auto"/>
              <w:ind w:firstLine="0" w:firstLineChars="0"/>
              <w:jc w:val="center"/>
              <w:rPr>
                <w:rFonts w:hint="default" w:ascii="Times New Roman" w:hAnsi="Times New Roman" w:cs="Times New Roman"/>
                <w:color w:val="auto"/>
                <w:sz w:val="24"/>
                <w:szCs w:val="21"/>
                <w:highlight w:val="none"/>
                <w:lang w:val="en-US" w:eastAsia="zh-CN"/>
              </w:rPr>
            </w:pPr>
            <w:r>
              <w:rPr>
                <w:rFonts w:hint="default" w:ascii="Times New Roman" w:hAnsi="Times New Roman" w:cs="Times New Roman"/>
                <w:color w:val="auto"/>
                <w:sz w:val="24"/>
                <w:szCs w:val="21"/>
                <w:highlight w:val="none"/>
                <w:lang w:val="en-US" w:eastAsia="zh-CN"/>
              </w:rPr>
              <w:t>废料</w:t>
            </w:r>
          </w:p>
        </w:tc>
        <w:tc>
          <w:tcPr>
            <w:tcW w:w="1106" w:type="pct"/>
            <w:tcBorders>
              <w:top w:val="single" w:color="auto" w:sz="6" w:space="0"/>
              <w:left w:val="single" w:color="auto" w:sz="6" w:space="0"/>
              <w:bottom w:val="single" w:color="auto" w:sz="6" w:space="0"/>
              <w:right w:val="single" w:color="auto" w:sz="6" w:space="0"/>
              <w:tl2br w:val="nil"/>
              <w:tr2bl w:val="nil"/>
            </w:tcBorders>
            <w:noWrap w:val="0"/>
            <w:vAlign w:val="center"/>
          </w:tcPr>
          <w:p w14:paraId="17DB393C">
            <w:pPr>
              <w:spacing w:beforeLines="0" w:afterLines="0" w:line="240" w:lineRule="auto"/>
              <w:ind w:firstLine="0" w:firstLineChars="0"/>
              <w:jc w:val="center"/>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44.41</w:t>
            </w:r>
          </w:p>
        </w:tc>
        <w:tc>
          <w:tcPr>
            <w:tcW w:w="1476" w:type="pct"/>
            <w:tcBorders>
              <w:top w:val="single" w:color="auto" w:sz="6" w:space="0"/>
              <w:left w:val="single" w:color="auto" w:sz="6" w:space="0"/>
              <w:bottom w:val="single" w:color="auto" w:sz="6" w:space="0"/>
              <w:right w:val="single" w:color="auto" w:sz="6" w:space="0"/>
              <w:tl2br w:val="nil"/>
              <w:tr2bl w:val="nil"/>
            </w:tcBorders>
            <w:noWrap w:val="0"/>
            <w:vAlign w:val="center"/>
          </w:tcPr>
          <w:p w14:paraId="0E4508BD">
            <w:pPr>
              <w:spacing w:beforeLines="0" w:afterLines="0" w:line="240" w:lineRule="auto"/>
              <w:ind w:firstLine="0" w:firstLineChars="0"/>
              <w:jc w:val="center"/>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35.528</w:t>
            </w:r>
          </w:p>
        </w:tc>
        <w:tc>
          <w:tcPr>
            <w:tcW w:w="1518" w:type="pct"/>
            <w:tcBorders>
              <w:top w:val="single" w:color="auto" w:sz="6" w:space="0"/>
              <w:left w:val="single" w:color="auto" w:sz="6" w:space="0"/>
              <w:bottom w:val="single" w:color="auto" w:sz="6" w:space="0"/>
              <w:right w:val="single" w:color="auto" w:sz="6" w:space="0"/>
              <w:tl2br w:val="nil"/>
              <w:tr2bl w:val="nil"/>
            </w:tcBorders>
            <w:noWrap w:val="0"/>
            <w:vAlign w:val="center"/>
          </w:tcPr>
          <w:p w14:paraId="2626A04D">
            <w:pPr>
              <w:spacing w:beforeLines="0" w:afterLines="0" w:line="240" w:lineRule="auto"/>
              <w:ind w:firstLine="0" w:firstLineChars="0"/>
              <w:jc w:val="center"/>
              <w:rPr>
                <w:rFonts w:hint="default" w:ascii="Times New Roman" w:hAnsi="Times New Roman" w:cs="Times New Roman"/>
                <w:color w:val="auto"/>
                <w:sz w:val="24"/>
                <w:szCs w:val="21"/>
                <w:highlight w:val="none"/>
                <w:lang w:val="en-US" w:eastAsia="zh-CN"/>
              </w:rPr>
            </w:pPr>
            <w:r>
              <w:rPr>
                <w:rFonts w:hint="default" w:ascii="Times New Roman" w:hAnsi="Times New Roman" w:cs="Times New Roman"/>
                <w:color w:val="auto"/>
                <w:sz w:val="24"/>
                <w:szCs w:val="21"/>
                <w:highlight w:val="none"/>
                <w:lang w:val="en-US" w:eastAsia="zh-CN"/>
              </w:rPr>
              <w:t>70-140目</w:t>
            </w:r>
          </w:p>
        </w:tc>
      </w:tr>
      <w:tr w14:paraId="4984E7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898" w:type="pct"/>
            <w:tcBorders>
              <w:top w:val="single" w:color="auto" w:sz="6" w:space="0"/>
              <w:left w:val="single" w:color="auto" w:sz="6" w:space="0"/>
              <w:bottom w:val="single" w:color="auto" w:sz="6" w:space="0"/>
              <w:right w:val="single" w:color="auto" w:sz="6" w:space="0"/>
              <w:tl2br w:val="nil"/>
              <w:tr2bl w:val="nil"/>
            </w:tcBorders>
            <w:noWrap w:val="0"/>
            <w:vAlign w:val="center"/>
          </w:tcPr>
          <w:p w14:paraId="0939BE87">
            <w:pPr>
              <w:spacing w:beforeLines="0" w:afterLines="0" w:line="240" w:lineRule="auto"/>
              <w:ind w:firstLine="0" w:firstLineChars="0"/>
              <w:jc w:val="center"/>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val="en-US" w:eastAsia="zh-CN"/>
              </w:rPr>
              <w:t>废土</w:t>
            </w:r>
          </w:p>
        </w:tc>
        <w:tc>
          <w:tcPr>
            <w:tcW w:w="1106" w:type="pct"/>
            <w:tcBorders>
              <w:top w:val="single" w:color="auto" w:sz="6" w:space="0"/>
              <w:left w:val="single" w:color="auto" w:sz="6" w:space="0"/>
              <w:bottom w:val="single" w:color="auto" w:sz="6" w:space="0"/>
              <w:right w:val="single" w:color="auto" w:sz="6" w:space="0"/>
              <w:tl2br w:val="nil"/>
              <w:tr2bl w:val="nil"/>
            </w:tcBorders>
            <w:noWrap w:val="0"/>
            <w:vAlign w:val="center"/>
          </w:tcPr>
          <w:p w14:paraId="347211FE">
            <w:pPr>
              <w:spacing w:beforeLines="0" w:afterLines="0" w:line="240" w:lineRule="auto"/>
              <w:ind w:firstLine="0" w:firstLineChars="0"/>
              <w:jc w:val="center"/>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13.09</w:t>
            </w:r>
          </w:p>
        </w:tc>
        <w:tc>
          <w:tcPr>
            <w:tcW w:w="1476" w:type="pct"/>
            <w:tcBorders>
              <w:top w:val="single" w:color="auto" w:sz="6" w:space="0"/>
              <w:left w:val="single" w:color="auto" w:sz="6" w:space="0"/>
              <w:bottom w:val="single" w:color="auto" w:sz="6" w:space="0"/>
              <w:right w:val="single" w:color="auto" w:sz="6" w:space="0"/>
              <w:tl2br w:val="nil"/>
              <w:tr2bl w:val="nil"/>
            </w:tcBorders>
            <w:noWrap w:val="0"/>
            <w:vAlign w:val="center"/>
          </w:tcPr>
          <w:p w14:paraId="75CAD77D">
            <w:pPr>
              <w:spacing w:beforeLines="0" w:afterLines="0" w:line="240" w:lineRule="auto"/>
              <w:ind w:firstLine="0" w:firstLineChars="0"/>
              <w:jc w:val="center"/>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10.472</w:t>
            </w:r>
          </w:p>
        </w:tc>
        <w:tc>
          <w:tcPr>
            <w:tcW w:w="1518" w:type="pct"/>
            <w:tcBorders>
              <w:top w:val="single" w:color="auto" w:sz="6" w:space="0"/>
              <w:left w:val="single" w:color="auto" w:sz="6" w:space="0"/>
              <w:bottom w:val="single" w:color="auto" w:sz="6" w:space="0"/>
              <w:right w:val="single" w:color="auto" w:sz="6" w:space="0"/>
              <w:tl2br w:val="nil"/>
              <w:tr2bl w:val="nil"/>
            </w:tcBorders>
            <w:noWrap w:val="0"/>
            <w:vAlign w:val="center"/>
          </w:tcPr>
          <w:p w14:paraId="34C82209">
            <w:pPr>
              <w:spacing w:beforeLines="0" w:afterLines="0" w:line="240" w:lineRule="auto"/>
              <w:ind w:firstLine="0" w:firstLineChars="0"/>
              <w:jc w:val="center"/>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废   土</w:t>
            </w:r>
          </w:p>
        </w:tc>
      </w:tr>
    </w:tbl>
    <w:p w14:paraId="58FC7BC9">
      <w:pPr>
        <w:pStyle w:val="45"/>
        <w:spacing w:beforeLines="0" w:afterLines="0"/>
        <w:rPr>
          <w:rFonts w:hint="default" w:ascii="Times New Roman" w:hAnsi="Times New Roman" w:cs="Times New Roman"/>
          <w:color w:val="auto"/>
          <w:sz w:val="24"/>
          <w:szCs w:val="24"/>
          <w:highlight w:val="none"/>
        </w:rPr>
      </w:pPr>
    </w:p>
    <w:p w14:paraId="0397C37B">
      <w:pPr>
        <w:pStyle w:val="4"/>
        <w:bidi w:val="0"/>
        <w:rPr>
          <w:rFonts w:hint="default"/>
        </w:rPr>
      </w:pPr>
      <w:bookmarkStart w:id="121" w:name="3.3.3开采方式、开采方法"/>
      <w:bookmarkEnd w:id="121"/>
      <w:r>
        <w:rPr>
          <w:rFonts w:hint="default"/>
        </w:rPr>
        <w:t>开采方式、开采方法</w:t>
      </w:r>
    </w:p>
    <w:p w14:paraId="0FA32BEF">
      <w:pPr>
        <w:numPr>
          <w:ilvl w:val="0"/>
          <w:numId w:val="20"/>
        </w:numPr>
        <w:spacing w:beforeLines="0" w:afterLines="0"/>
        <w:ind w:firstLine="5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开采方式</w:t>
      </w:r>
    </w:p>
    <w:p w14:paraId="3E165E4C">
      <w:pPr>
        <w:numPr>
          <w:ilvl w:val="0"/>
          <w:numId w:val="0"/>
        </w:numPr>
        <w:spacing w:beforeLines="0" w:afterLines="0"/>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矿区内各矿体出露地表，最低开采标高处于矿区最低侵蚀基准面以下，露天开采条件好。根据矿体赋存特征及地形条件，方案推荐采用山坡式露天开采方式。</w:t>
      </w:r>
    </w:p>
    <w:p w14:paraId="7D9DB037">
      <w:pPr>
        <w:numPr>
          <w:ilvl w:val="0"/>
          <w:numId w:val="20"/>
        </w:numPr>
        <w:spacing w:beforeLines="0" w:afterLines="0"/>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开采方法及工艺</w:t>
      </w:r>
    </w:p>
    <w:p w14:paraId="12196E1E">
      <w:pPr>
        <w:numPr>
          <w:ilvl w:val="0"/>
          <w:numId w:val="0"/>
        </w:numPr>
        <w:spacing w:beforeLines="0" w:afterLines="0"/>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采用自上而下水平台阶式采矿方法，无需爆破；工艺流程为挖掘机采装、自卸汽车运输开采工艺。</w:t>
      </w:r>
    </w:p>
    <w:p w14:paraId="307014A3">
      <w:pPr>
        <w:pStyle w:val="4"/>
        <w:bidi w:val="0"/>
        <w:rPr>
          <w:rFonts w:hint="default"/>
        </w:rPr>
      </w:pPr>
      <w:bookmarkStart w:id="122" w:name="3.3.4矿体特征"/>
      <w:bookmarkEnd w:id="122"/>
      <w:r>
        <w:rPr>
          <w:rFonts w:hint="default"/>
        </w:rPr>
        <w:t>矿体特征</w:t>
      </w:r>
    </w:p>
    <w:p w14:paraId="10FF1F47">
      <w:pPr>
        <w:pStyle w:val="46"/>
        <w:spacing w:before="0" w:beforeLines="0" w:after="0" w:afterLines="0" w:line="360" w:lineRule="auto"/>
        <w:ind w:firstLine="480" w:firstLineChars="200"/>
        <w:jc w:val="left"/>
        <w:outlineLvl w:val="9"/>
        <w:rPr>
          <w:rFonts w:hint="default" w:ascii="Times New Roman" w:hAnsi="Times New Roman" w:eastAsia="宋体" w:cs="Times New Roman"/>
          <w:color w:val="auto"/>
          <w:sz w:val="24"/>
          <w:szCs w:val="24"/>
          <w:highlight w:val="none"/>
        </w:rPr>
      </w:pPr>
      <w:bookmarkStart w:id="123" w:name="3.3.5开拓运输方案"/>
      <w:bookmarkEnd w:id="123"/>
      <w:r>
        <w:rPr>
          <w:rFonts w:hint="default" w:ascii="Times New Roman" w:hAnsi="Times New Roman" w:eastAsia="宋体" w:cs="Times New Roman"/>
          <w:color w:val="auto"/>
          <w:kern w:val="2"/>
          <w:sz w:val="24"/>
          <w:szCs w:val="24"/>
          <w:highlight w:val="none"/>
          <w:lang w:val="en-US" w:eastAsia="zh-CN" w:bidi="ar-SA"/>
        </w:rPr>
        <w:t>区内圈定1条压裂用天然石英砂矿体，</w:t>
      </w:r>
      <w:r>
        <w:rPr>
          <w:rFonts w:hint="default" w:ascii="Times New Roman" w:hAnsi="Times New Roman" w:eastAsia="宋体" w:cs="Times New Roman"/>
          <w:color w:val="auto"/>
          <w:sz w:val="24"/>
          <w:szCs w:val="24"/>
          <w:highlight w:val="none"/>
        </w:rPr>
        <w:t>本区内自矿体赋存最低标高</w:t>
      </w:r>
      <w:bookmarkStart w:id="124" w:name="OLE_LINK42"/>
      <w:r>
        <w:rPr>
          <w:rFonts w:hint="default" w:ascii="Times New Roman" w:hAnsi="Times New Roman" w:eastAsia="宋体" w:cs="Times New Roman"/>
          <w:color w:val="auto"/>
          <w:sz w:val="24"/>
          <w:szCs w:val="24"/>
          <w:highlight w:val="none"/>
          <w:lang w:val="en-US" w:eastAsia="zh-CN"/>
        </w:rPr>
        <w:t>573.15</w:t>
      </w:r>
      <w:bookmarkEnd w:id="124"/>
      <w:r>
        <w:rPr>
          <w:rFonts w:hint="default" w:ascii="Times New Roman" w:hAnsi="Times New Roman" w:eastAsia="宋体" w:cs="Times New Roman"/>
          <w:color w:val="auto"/>
          <w:sz w:val="24"/>
          <w:szCs w:val="24"/>
          <w:highlight w:val="none"/>
        </w:rPr>
        <w:t>米以上至地表均为天然石英砂矿体，</w:t>
      </w:r>
      <w:bookmarkStart w:id="125" w:name="OLE_LINK40"/>
      <w:r>
        <w:rPr>
          <w:rFonts w:hint="default" w:ascii="Times New Roman" w:hAnsi="Times New Roman" w:eastAsia="宋体" w:cs="Times New Roman"/>
          <w:color w:val="auto"/>
          <w:sz w:val="24"/>
          <w:szCs w:val="24"/>
          <w:highlight w:val="none"/>
        </w:rPr>
        <w:t>矿体出露南北长1852米，东西宽969米，四周及深部延出本区。</w:t>
      </w:r>
      <w:bookmarkEnd w:id="125"/>
      <w:r>
        <w:rPr>
          <w:rFonts w:hint="default" w:ascii="Times New Roman" w:hAnsi="Times New Roman" w:eastAsia="宋体" w:cs="Times New Roman"/>
          <w:color w:val="auto"/>
          <w:sz w:val="24"/>
          <w:szCs w:val="24"/>
          <w:highlight w:val="none"/>
        </w:rPr>
        <w:t>矿体总体表现为贯穿全区近南北向垄状山体，且具有中部高、四周低的地势特征。</w:t>
      </w:r>
    </w:p>
    <w:p w14:paraId="79AD47D0">
      <w:pPr>
        <w:spacing w:beforeLines="0" w:afterLines="0"/>
        <w:ind w:firstLine="560"/>
        <w:rPr>
          <w:rFonts w:hint="default" w:ascii="Times New Roman" w:hAnsi="Times New Roman" w:cs="Times New Roman"/>
          <w:color w:val="auto"/>
          <w:sz w:val="24"/>
          <w:szCs w:val="24"/>
          <w:highlight w:val="none"/>
        </w:rPr>
      </w:pPr>
      <w:r>
        <w:rPr>
          <w:rFonts w:hint="default" w:ascii="Times New Roman" w:hAnsi="Times New Roman" w:cs="Times New Roman"/>
          <w:color w:val="auto"/>
          <w:kern w:val="2"/>
          <w:sz w:val="24"/>
          <w:szCs w:val="24"/>
          <w:highlight w:val="none"/>
          <w:lang w:val="en-US" w:eastAsia="zh-CN" w:bidi="ar-SA"/>
        </w:rPr>
        <w:t>矿体赋存于第四系风成砂层中，本区内自控制最低标高</w:t>
      </w:r>
      <w:r>
        <w:rPr>
          <w:rFonts w:hint="default" w:ascii="Times New Roman" w:hAnsi="Times New Roman" w:cs="Times New Roman"/>
          <w:color w:val="auto"/>
          <w:sz w:val="24"/>
          <w:szCs w:val="24"/>
          <w:highlight w:val="none"/>
          <w:lang w:val="en-US" w:eastAsia="zh-CN"/>
        </w:rPr>
        <w:t>573.15</w:t>
      </w:r>
      <w:r>
        <w:rPr>
          <w:rFonts w:hint="default" w:ascii="Times New Roman" w:hAnsi="Times New Roman" w:cs="Times New Roman"/>
          <w:color w:val="auto"/>
          <w:kern w:val="2"/>
          <w:sz w:val="24"/>
          <w:szCs w:val="24"/>
          <w:highlight w:val="none"/>
          <w:lang w:val="en-US" w:eastAsia="zh-CN" w:bidi="ar-SA"/>
        </w:rPr>
        <w:t>米以上至地表均为天然石英砂，</w:t>
      </w:r>
      <w:r>
        <w:rPr>
          <w:rFonts w:hint="default" w:ascii="Times New Roman" w:hAnsi="Times New Roman" w:cs="Times New Roman"/>
          <w:color w:val="auto"/>
          <w:sz w:val="24"/>
          <w:szCs w:val="24"/>
          <w:highlight w:val="none"/>
        </w:rPr>
        <w:t>矿体总体具有由北至南可用粒级含矿率具有由</w:t>
      </w:r>
      <w:r>
        <w:rPr>
          <w:rFonts w:hint="default" w:ascii="Times New Roman" w:hAnsi="Times New Roman" w:cs="Times New Roman"/>
          <w:color w:val="auto"/>
          <w:sz w:val="24"/>
          <w:szCs w:val="24"/>
          <w:highlight w:val="none"/>
          <w:lang w:val="en-US" w:eastAsia="zh-CN"/>
        </w:rPr>
        <w:t>低到</w:t>
      </w:r>
      <w:r>
        <w:rPr>
          <w:rFonts w:hint="default" w:ascii="Times New Roman" w:hAnsi="Times New Roman" w:cs="Times New Roman"/>
          <w:color w:val="auto"/>
          <w:sz w:val="24"/>
          <w:szCs w:val="24"/>
          <w:highlight w:val="none"/>
        </w:rPr>
        <w:t>高</w:t>
      </w:r>
      <w:r>
        <w:rPr>
          <w:rFonts w:hint="default" w:ascii="Times New Roman" w:hAnsi="Times New Roman" w:cs="Times New Roman"/>
          <w:color w:val="auto"/>
          <w:sz w:val="24"/>
          <w:szCs w:val="24"/>
          <w:highlight w:val="none"/>
          <w:lang w:val="en-US" w:eastAsia="zh-CN"/>
        </w:rPr>
        <w:t>在</w:t>
      </w:r>
      <w:r>
        <w:rPr>
          <w:rFonts w:hint="default" w:ascii="Times New Roman" w:hAnsi="Times New Roman" w:cs="Times New Roman"/>
          <w:color w:val="auto"/>
          <w:sz w:val="24"/>
          <w:szCs w:val="24"/>
          <w:highlight w:val="none"/>
        </w:rPr>
        <w:t>到</w:t>
      </w:r>
      <w:r>
        <w:rPr>
          <w:rFonts w:hint="default" w:ascii="Times New Roman" w:hAnsi="Times New Roman" w:cs="Times New Roman"/>
          <w:color w:val="auto"/>
          <w:sz w:val="24"/>
          <w:szCs w:val="24"/>
          <w:highlight w:val="none"/>
          <w:lang w:val="en-US" w:eastAsia="zh-CN"/>
        </w:rPr>
        <w:t>低</w:t>
      </w:r>
      <w:r>
        <w:rPr>
          <w:rFonts w:hint="default" w:ascii="Times New Roman" w:hAnsi="Times New Roman" w:cs="Times New Roman"/>
          <w:color w:val="auto"/>
          <w:sz w:val="24"/>
          <w:szCs w:val="24"/>
          <w:highlight w:val="none"/>
        </w:rPr>
        <w:t>的变化特征，由东向西可用粒级含矿率具有由低到高在减低的变化特征，由地表向深部可用粒级</w:t>
      </w:r>
      <w:r>
        <w:rPr>
          <w:rFonts w:hint="default" w:ascii="Times New Roman" w:hAnsi="Times New Roman" w:cs="Times New Roman"/>
          <w:color w:val="auto"/>
          <w:sz w:val="24"/>
          <w:szCs w:val="24"/>
          <w:highlight w:val="none"/>
          <w:lang w:val="en-US" w:eastAsia="zh-CN"/>
        </w:rPr>
        <w:t>随</w:t>
      </w:r>
      <w:r>
        <w:rPr>
          <w:rFonts w:hint="default" w:ascii="Times New Roman" w:hAnsi="Times New Roman" w:cs="Times New Roman"/>
          <w:color w:val="auto"/>
          <w:sz w:val="24"/>
          <w:szCs w:val="24"/>
          <w:highlight w:val="none"/>
        </w:rPr>
        <w:t>深度</w:t>
      </w:r>
      <w:r>
        <w:rPr>
          <w:rFonts w:hint="default" w:ascii="Times New Roman" w:hAnsi="Times New Roman" w:cs="Times New Roman"/>
          <w:color w:val="auto"/>
          <w:sz w:val="24"/>
          <w:szCs w:val="24"/>
          <w:highlight w:val="none"/>
          <w:lang w:val="en-US" w:eastAsia="zh-CN"/>
        </w:rPr>
        <w:t>增加</w:t>
      </w:r>
      <w:r>
        <w:rPr>
          <w:rFonts w:hint="default" w:ascii="Times New Roman" w:hAnsi="Times New Roman" w:cs="Times New Roman"/>
          <w:color w:val="auto"/>
          <w:sz w:val="24"/>
          <w:szCs w:val="24"/>
          <w:highlight w:val="none"/>
        </w:rPr>
        <w:t>，含矿率具有由高-低的变化的特征，</w:t>
      </w:r>
      <w:r>
        <w:rPr>
          <w:rFonts w:hint="default" w:ascii="Times New Roman" w:hAnsi="Times New Roman" w:cs="Times New Roman"/>
          <w:color w:val="auto"/>
          <w:sz w:val="24"/>
          <w:szCs w:val="24"/>
          <w:highlight w:val="none"/>
          <w:lang w:val="en-US" w:eastAsia="zh-CN"/>
        </w:rPr>
        <w:t>局部工程存在地表到深部从低-高的变化，</w:t>
      </w:r>
      <w:r>
        <w:rPr>
          <w:rFonts w:hint="default" w:ascii="Times New Roman" w:hAnsi="Times New Roman" w:cs="Times New Roman"/>
          <w:color w:val="auto"/>
          <w:sz w:val="24"/>
          <w:szCs w:val="24"/>
          <w:highlight w:val="none"/>
        </w:rPr>
        <w:t>总体呈现由高到低的变化。</w:t>
      </w:r>
    </w:p>
    <w:p w14:paraId="7C0363B3">
      <w:pPr>
        <w:pStyle w:val="4"/>
        <w:bidi w:val="0"/>
        <w:rPr>
          <w:rFonts w:hint="default"/>
        </w:rPr>
      </w:pPr>
      <w:r>
        <w:rPr>
          <w:rFonts w:hint="default"/>
        </w:rPr>
        <w:t>开拓运输方案</w:t>
      </w:r>
    </w:p>
    <w:p w14:paraId="24601A77">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根据矿区地形地质和工程地质条件，矿体赋存条件，设计采用公路开拓汽车运输方案。</w:t>
      </w:r>
    </w:p>
    <w:p w14:paraId="6D7FA6BB">
      <w:pPr>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rPr>
        <w:t>设计矿山运输道路布置在露天开采最终境界东侧至北侧；矿山道路沿山坡布置主要干线及各水平支线，从支线进入各水平工作面。采矿场向东连接</w:t>
      </w:r>
      <w:r>
        <w:rPr>
          <w:rFonts w:hint="default" w:ascii="Times New Roman" w:hAnsi="Times New Roman" w:cs="Times New Roman"/>
          <w:color w:val="auto"/>
          <w:sz w:val="24"/>
          <w:szCs w:val="24"/>
          <w:highlight w:val="none"/>
          <w:lang w:val="en-US" w:eastAsia="zh-CN"/>
        </w:rPr>
        <w:t>排土场</w:t>
      </w:r>
      <w:r>
        <w:rPr>
          <w:rFonts w:hint="default" w:ascii="Times New Roman" w:hAnsi="Times New Roman" w:cs="Times New Roman"/>
          <w:color w:val="auto"/>
          <w:sz w:val="24"/>
          <w:szCs w:val="24"/>
          <w:highlight w:val="none"/>
        </w:rPr>
        <w:t>、表土堆场</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向西南角连接工业广场</w:t>
      </w:r>
      <w:r>
        <w:rPr>
          <w:rFonts w:hint="default" w:ascii="Times New Roman" w:hAnsi="Times New Roman" w:cs="Times New Roman"/>
          <w:color w:val="auto"/>
          <w:sz w:val="24"/>
          <w:szCs w:val="24"/>
          <w:highlight w:val="none"/>
        </w:rPr>
        <w:t>等，长度约</w:t>
      </w:r>
      <w:r>
        <w:rPr>
          <w:rFonts w:hint="default" w:ascii="Times New Roman" w:hAnsi="Times New Roman" w:cs="Times New Roman"/>
          <w:color w:val="auto"/>
          <w:sz w:val="24"/>
          <w:szCs w:val="24"/>
          <w:highlight w:val="none"/>
          <w:lang w:eastAsia="zh-CN"/>
        </w:rPr>
        <w:t>3km</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外部道路依托现有位于项目区北侧穿越矿区的简易道路，向西可直达柏油公路。</w:t>
      </w:r>
    </w:p>
    <w:p w14:paraId="6B5D7626">
      <w:pPr>
        <w:pStyle w:val="4"/>
        <w:bidi w:val="0"/>
        <w:rPr>
          <w:rFonts w:hint="default"/>
        </w:rPr>
      </w:pPr>
      <w:bookmarkStart w:id="126" w:name="3.3.6矿石洗选"/>
      <w:bookmarkEnd w:id="126"/>
      <w:r>
        <w:rPr>
          <w:rFonts w:hint="default"/>
        </w:rPr>
        <w:t>矿石洗选</w:t>
      </w:r>
    </w:p>
    <w:p w14:paraId="5FA4851F">
      <w:pPr>
        <w:pStyle w:val="14"/>
        <w:kinsoku w:val="0"/>
        <w:overflowPunct w:val="0"/>
        <w:spacing w:beforeLines="0" w:afterLines="0" w:line="396" w:lineRule="auto"/>
        <w:ind w:right="233" w:firstLine="48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本项目设置工业广场，</w:t>
      </w:r>
      <w:r>
        <w:rPr>
          <w:rFonts w:hint="default" w:ascii="Times New Roman" w:hAnsi="Times New Roman" w:cs="Times New Roman"/>
          <w:color w:val="auto"/>
          <w:sz w:val="24"/>
          <w:szCs w:val="24"/>
          <w:highlight w:val="none"/>
        </w:rPr>
        <w:t>矿石由自卸汽车</w:t>
      </w:r>
      <w:r>
        <w:rPr>
          <w:rFonts w:hint="default" w:ascii="Times New Roman" w:hAnsi="Times New Roman" w:cs="Times New Roman"/>
          <w:color w:val="auto"/>
          <w:sz w:val="24"/>
          <w:szCs w:val="24"/>
          <w:highlight w:val="none"/>
          <w:lang w:val="en-US" w:eastAsia="zh-CN"/>
        </w:rPr>
        <w:t>运输至工业广场</w:t>
      </w:r>
      <w:r>
        <w:rPr>
          <w:rFonts w:hint="eastAsia" w:ascii="Times New Roman" w:hAnsi="Times New Roman" w:cs="Times New Roman"/>
          <w:color w:val="auto"/>
          <w:sz w:val="24"/>
          <w:szCs w:val="24"/>
          <w:highlight w:val="none"/>
          <w:lang w:val="en-US" w:eastAsia="zh-CN"/>
        </w:rPr>
        <w:t>堆场</w:t>
      </w: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由铲车铲装进入</w:t>
      </w:r>
      <w:r>
        <w:rPr>
          <w:rFonts w:hint="default" w:ascii="Times New Roman" w:hAnsi="Times New Roman" w:cs="Times New Roman"/>
          <w:color w:val="auto"/>
          <w:sz w:val="24"/>
          <w:szCs w:val="24"/>
          <w:highlight w:val="none"/>
        </w:rPr>
        <w:t>振动给料机经皮带运输机进入振动</w:t>
      </w:r>
      <w:r>
        <w:rPr>
          <w:rFonts w:hint="default" w:ascii="Times New Roman" w:hAnsi="Times New Roman" w:cs="Times New Roman"/>
          <w:color w:val="auto"/>
          <w:sz w:val="24"/>
          <w:szCs w:val="24"/>
          <w:highlight w:val="none"/>
          <w:lang w:val="en-US" w:eastAsia="zh-CN"/>
        </w:rPr>
        <w:t>摇摆筛进行</w:t>
      </w:r>
      <w:r>
        <w:rPr>
          <w:rFonts w:hint="default" w:ascii="Times New Roman" w:hAnsi="Times New Roman" w:cs="Times New Roman"/>
          <w:color w:val="auto"/>
          <w:sz w:val="24"/>
          <w:szCs w:val="24"/>
          <w:highlight w:val="none"/>
        </w:rPr>
        <w:t>筛分，再由</w:t>
      </w:r>
      <w:r>
        <w:rPr>
          <w:rFonts w:hint="default" w:ascii="Times New Roman" w:hAnsi="Times New Roman" w:cs="Times New Roman"/>
          <w:color w:val="auto"/>
          <w:sz w:val="24"/>
          <w:szCs w:val="24"/>
          <w:highlight w:val="none"/>
          <w:lang w:val="en-US" w:eastAsia="zh-CN"/>
        </w:rPr>
        <w:t>皮带输送至水洗设备进行</w:t>
      </w:r>
      <w:r>
        <w:rPr>
          <w:rFonts w:hint="default" w:ascii="Times New Roman" w:hAnsi="Times New Roman" w:cs="Times New Roman"/>
          <w:color w:val="auto"/>
          <w:sz w:val="24"/>
          <w:szCs w:val="24"/>
          <w:highlight w:val="none"/>
        </w:rPr>
        <w:t>水洗，</w:t>
      </w:r>
      <w:r>
        <w:rPr>
          <w:rFonts w:hint="default" w:ascii="Times New Roman" w:hAnsi="Times New Roman" w:cs="Times New Roman"/>
          <w:color w:val="auto"/>
          <w:sz w:val="24"/>
          <w:szCs w:val="24"/>
          <w:highlight w:val="none"/>
          <w:lang w:val="en-US" w:eastAsia="zh-CN"/>
        </w:rPr>
        <w:t>堆放至水洗砂堆场晾晒，再进行烘干后</w:t>
      </w:r>
      <w:r>
        <w:rPr>
          <w:rFonts w:hint="eastAsia" w:ascii="Times New Roman" w:hAnsi="Times New Roman" w:cs="Times New Roman"/>
          <w:color w:val="auto"/>
          <w:sz w:val="24"/>
          <w:szCs w:val="24"/>
          <w:highlight w:val="none"/>
          <w:lang w:val="en-US" w:eastAsia="zh-CN"/>
        </w:rPr>
        <w:t>进入方形摇摆筛</w:t>
      </w:r>
      <w:r>
        <w:rPr>
          <w:rFonts w:hint="default" w:ascii="Times New Roman" w:hAnsi="Times New Roman" w:cs="Times New Roman"/>
          <w:color w:val="auto"/>
          <w:sz w:val="24"/>
          <w:szCs w:val="24"/>
          <w:highlight w:val="none"/>
          <w:lang w:val="en-US" w:eastAsia="zh-CN"/>
        </w:rPr>
        <w:t>分级，</w:t>
      </w:r>
      <w:r>
        <w:rPr>
          <w:rFonts w:hint="eastAsia" w:ascii="Times New Roman" w:hAnsi="Times New Roman" w:cs="Times New Roman"/>
          <w:color w:val="auto"/>
          <w:sz w:val="24"/>
          <w:szCs w:val="24"/>
          <w:highlight w:val="none"/>
          <w:lang w:val="en-US" w:eastAsia="zh-CN"/>
        </w:rPr>
        <w:t>进入产品料罐，</w:t>
      </w:r>
      <w:r>
        <w:rPr>
          <w:rFonts w:hint="default" w:ascii="Times New Roman" w:hAnsi="Times New Roman" w:cs="Times New Roman"/>
          <w:color w:val="auto"/>
          <w:sz w:val="24"/>
          <w:szCs w:val="24"/>
          <w:highlight w:val="none"/>
          <w:lang w:val="en-US" w:eastAsia="zh-CN"/>
        </w:rPr>
        <w:t>最后装袋外售。根据项目备案证（编号：2504211185652300000060），拟投资建设160</w:t>
      </w:r>
      <w:r>
        <w:rPr>
          <w:rFonts w:hint="default" w:ascii="Times New Roman" w:hAnsi="Times New Roman" w:cs="Times New Roman"/>
          <w:color w:val="auto"/>
          <w:sz w:val="24"/>
          <w:szCs w:val="24"/>
          <w:highlight w:val="none"/>
          <w:lang w:eastAsia="zh-CN"/>
        </w:rPr>
        <w:t>万吨</w:t>
      </w:r>
      <w:r>
        <w:rPr>
          <w:rFonts w:hint="default" w:ascii="Times New Roman" w:hAnsi="Times New Roman" w:cs="Times New Roman"/>
          <w:color w:val="auto"/>
          <w:sz w:val="24"/>
          <w:szCs w:val="24"/>
          <w:highlight w:val="none"/>
          <w:lang w:val="en-US" w:eastAsia="zh-CN"/>
        </w:rPr>
        <w:t>石英砂</w:t>
      </w:r>
      <w:r>
        <w:rPr>
          <w:rFonts w:hint="default" w:ascii="Times New Roman" w:hAnsi="Times New Roman" w:cs="Times New Roman"/>
          <w:color w:val="auto"/>
          <w:sz w:val="24"/>
          <w:szCs w:val="24"/>
          <w:highlight w:val="none"/>
          <w:lang w:eastAsia="zh-CN"/>
        </w:rPr>
        <w:t>生产流水线一条，</w:t>
      </w:r>
      <w:r>
        <w:rPr>
          <w:rFonts w:hint="default" w:ascii="Times New Roman" w:hAnsi="Times New Roman" w:cs="Times New Roman"/>
          <w:color w:val="auto"/>
          <w:sz w:val="24"/>
          <w:szCs w:val="24"/>
          <w:highlight w:val="none"/>
          <w:lang w:val="en-US" w:eastAsia="zh-CN"/>
        </w:rPr>
        <w:t>本次环评依据矿山开采规模，按照</w:t>
      </w:r>
      <w:r>
        <w:rPr>
          <w:rFonts w:hint="default" w:ascii="Times New Roman" w:hAnsi="Times New Roman" w:cs="Times New Roman"/>
          <w:color w:val="auto"/>
          <w:sz w:val="24"/>
          <w:szCs w:val="24"/>
          <w:highlight w:val="none"/>
          <w:lang w:eastAsia="zh-CN"/>
        </w:rPr>
        <w:t>建设</w:t>
      </w:r>
      <w:r>
        <w:rPr>
          <w:rFonts w:hint="default" w:ascii="Times New Roman" w:hAnsi="Times New Roman" w:cs="Times New Roman"/>
          <w:color w:val="auto"/>
          <w:sz w:val="24"/>
          <w:szCs w:val="24"/>
          <w:highlight w:val="none"/>
          <w:lang w:val="en-US" w:eastAsia="zh-CN"/>
        </w:rPr>
        <w:t>80</w:t>
      </w:r>
      <w:r>
        <w:rPr>
          <w:rFonts w:hint="default" w:ascii="Times New Roman" w:hAnsi="Times New Roman" w:cs="Times New Roman"/>
          <w:color w:val="auto"/>
          <w:sz w:val="24"/>
          <w:szCs w:val="24"/>
          <w:highlight w:val="none"/>
          <w:lang w:eastAsia="zh-CN"/>
        </w:rPr>
        <w:t>万吨</w:t>
      </w:r>
      <w:r>
        <w:rPr>
          <w:rFonts w:hint="default" w:ascii="Times New Roman" w:hAnsi="Times New Roman" w:cs="Times New Roman"/>
          <w:color w:val="auto"/>
          <w:sz w:val="24"/>
          <w:szCs w:val="24"/>
          <w:highlight w:val="none"/>
          <w:lang w:val="en-US" w:eastAsia="zh-CN"/>
        </w:rPr>
        <w:t>石英砂</w:t>
      </w:r>
      <w:r>
        <w:rPr>
          <w:rFonts w:hint="default" w:ascii="Times New Roman" w:hAnsi="Times New Roman" w:cs="Times New Roman"/>
          <w:color w:val="auto"/>
          <w:sz w:val="24"/>
          <w:szCs w:val="24"/>
          <w:highlight w:val="none"/>
          <w:lang w:eastAsia="zh-CN"/>
        </w:rPr>
        <w:t>生产流水线一条(</w:t>
      </w:r>
      <w:r>
        <w:rPr>
          <w:rFonts w:hint="default" w:ascii="Times New Roman" w:hAnsi="Times New Roman" w:cs="Times New Roman"/>
          <w:color w:val="auto"/>
          <w:sz w:val="24"/>
          <w:szCs w:val="24"/>
          <w:highlight w:val="none"/>
          <w:lang w:val="en-US" w:eastAsia="zh-CN"/>
        </w:rPr>
        <w:t>初筛</w:t>
      </w:r>
      <w:r>
        <w:rPr>
          <w:rFonts w:hint="default" w:ascii="Times New Roman" w:hAnsi="Times New Roman" w:cs="Times New Roman"/>
          <w:color w:val="auto"/>
          <w:sz w:val="24"/>
          <w:szCs w:val="24"/>
          <w:highlight w:val="none"/>
          <w:lang w:eastAsia="zh-CN"/>
        </w:rPr>
        <w:t>、水洗、烘</w:t>
      </w:r>
      <w:r>
        <w:rPr>
          <w:rFonts w:hint="default" w:ascii="Times New Roman" w:hAnsi="Times New Roman" w:cs="Times New Roman"/>
          <w:color w:val="auto"/>
          <w:sz w:val="24"/>
          <w:szCs w:val="24"/>
          <w:highlight w:val="none"/>
          <w:lang w:val="en-US" w:eastAsia="zh-CN"/>
        </w:rPr>
        <w:t>干</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分级</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进行环评</w:t>
      </w:r>
      <w:r>
        <w:rPr>
          <w:rFonts w:hint="default" w:ascii="Times New Roman" w:hAnsi="Times New Roman" w:cs="Times New Roman"/>
          <w:color w:val="auto"/>
          <w:sz w:val="24"/>
          <w:szCs w:val="24"/>
          <w:highlight w:val="none"/>
          <w:lang w:eastAsia="zh-CN"/>
        </w:rPr>
        <w:t>。</w:t>
      </w:r>
    </w:p>
    <w:p w14:paraId="2968373C">
      <w:pPr>
        <w:pStyle w:val="4"/>
        <w:bidi w:val="0"/>
        <w:rPr>
          <w:rFonts w:hint="default"/>
        </w:rPr>
      </w:pPr>
      <w:bookmarkStart w:id="127" w:name="3.3.7回填方案"/>
      <w:bookmarkEnd w:id="127"/>
      <w:r>
        <w:rPr>
          <w:rFonts w:hint="default"/>
        </w:rPr>
        <w:t>回填方案</w:t>
      </w:r>
    </w:p>
    <w:p w14:paraId="5C1AC8B5">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本项目生产规模为</w:t>
      </w:r>
      <w:r>
        <w:rPr>
          <w:rFonts w:hint="default" w:ascii="Times New Roman" w:hAnsi="Times New Roman" w:cs="Times New Roman"/>
          <w:color w:val="auto"/>
          <w:sz w:val="24"/>
          <w:szCs w:val="24"/>
          <w:highlight w:val="none"/>
          <w:lang w:val="en-US" w:eastAsia="zh-CN"/>
        </w:rPr>
        <w:t>80</w:t>
      </w:r>
      <w:r>
        <w:rPr>
          <w:rFonts w:hint="default" w:ascii="Times New Roman" w:hAnsi="Times New Roman" w:cs="Times New Roman"/>
          <w:color w:val="auto"/>
          <w:sz w:val="24"/>
          <w:szCs w:val="24"/>
          <w:highlight w:val="none"/>
        </w:rPr>
        <w:t>万t/a，</w:t>
      </w:r>
      <w:r>
        <w:rPr>
          <w:rFonts w:hint="default" w:ascii="Times New Roman" w:hAnsi="Times New Roman" w:cs="Times New Roman"/>
          <w:color w:val="auto"/>
          <w:sz w:val="24"/>
          <w:szCs w:val="24"/>
          <w:highlight w:val="none"/>
          <w:lang w:val="en-US" w:eastAsia="zh-CN"/>
        </w:rPr>
        <w:t>按照产品方案，废土10.472万t，废料35.528万t，合计</w:t>
      </w:r>
      <w:r>
        <w:rPr>
          <w:rFonts w:hint="default" w:ascii="Times New Roman" w:hAnsi="Times New Roman" w:cs="Times New Roman"/>
          <w:color w:val="auto"/>
          <w:sz w:val="24"/>
          <w:szCs w:val="24"/>
          <w:highlight w:val="none"/>
        </w:rPr>
        <w:t>年产废料量</w:t>
      </w:r>
      <w:r>
        <w:rPr>
          <w:rFonts w:hint="default" w:ascii="Times New Roman" w:hAnsi="Times New Roman" w:cs="Times New Roman"/>
          <w:color w:val="auto"/>
          <w:sz w:val="24"/>
          <w:szCs w:val="24"/>
          <w:highlight w:val="none"/>
          <w:lang w:val="en-US" w:eastAsia="zh-CN"/>
        </w:rPr>
        <w:t>46万</w:t>
      </w:r>
      <w:r>
        <w:rPr>
          <w:rFonts w:hint="default" w:ascii="Times New Roman" w:hAnsi="Times New Roman" w:cs="Times New Roman"/>
          <w:color w:val="auto"/>
          <w:sz w:val="24"/>
          <w:szCs w:val="24"/>
          <w:highlight w:val="none"/>
        </w:rPr>
        <w:t>t</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根据《新疆采虹矿业投资有限公司新疆阜康市北部沙漠天然石英砂矿（压裂用）外围矿产资源开发利用与生态保护修复方案》，由于筛分的废土和</w:t>
      </w:r>
      <w:r>
        <w:rPr>
          <w:rFonts w:hint="default" w:ascii="Times New Roman" w:hAnsi="Times New Roman" w:eastAsia="宋体" w:cs="Times New Roman"/>
          <w:color w:val="auto"/>
          <w:sz w:val="24"/>
          <w:szCs w:val="24"/>
          <w:highlight w:val="none"/>
          <w:lang w:val="en-US" w:eastAsia="zh-CN"/>
        </w:rPr>
        <w:t>废料量较大，结合开发剖面，矿体开采至595台阶时，可实现废土和废料内排，矿体开采至595台阶时筛分废土量为8.26万m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vertAlign w:val="baseline"/>
          <w:lang w:val="en-US" w:eastAsia="zh-CN"/>
        </w:rPr>
        <w:t>，</w:t>
      </w:r>
      <w:r>
        <w:rPr>
          <w:rFonts w:hint="default" w:ascii="Times New Roman" w:hAnsi="Times New Roman" w:eastAsia="宋体" w:cs="Times New Roman"/>
          <w:color w:val="auto"/>
          <w:sz w:val="24"/>
          <w:szCs w:val="24"/>
          <w:highlight w:val="none"/>
          <w:lang w:val="en-US" w:eastAsia="zh-CN"/>
        </w:rPr>
        <w:t>筛分废料量为</w:t>
      </w:r>
      <w:r>
        <w:rPr>
          <w:rFonts w:hint="default" w:ascii="Times New Roman" w:hAnsi="Times New Roman" w:cs="Times New Roman"/>
          <w:color w:val="auto"/>
          <w:sz w:val="24"/>
          <w:highlight w:val="none"/>
          <w:lang w:val="en-US" w:eastAsia="zh-CN"/>
        </w:rPr>
        <w:t>31.52</w:t>
      </w:r>
      <w:r>
        <w:rPr>
          <w:rFonts w:hint="default" w:ascii="Times New Roman" w:hAnsi="Times New Roman" w:eastAsia="宋体" w:cs="Times New Roman"/>
          <w:color w:val="auto"/>
          <w:sz w:val="24"/>
          <w:szCs w:val="24"/>
          <w:highlight w:val="none"/>
          <w:lang w:val="en-US" w:eastAsia="zh-CN"/>
        </w:rPr>
        <w:t>万m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vertAlign w:val="baseline"/>
          <w:lang w:val="en-US" w:eastAsia="zh-CN"/>
        </w:rPr>
        <w:t>，合计</w:t>
      </w:r>
      <w:r>
        <w:rPr>
          <w:rFonts w:hint="default" w:ascii="Times New Roman" w:hAnsi="Times New Roman" w:cs="Times New Roman"/>
          <w:color w:val="auto"/>
          <w:sz w:val="24"/>
          <w:highlight w:val="none"/>
          <w:lang w:val="en-US" w:eastAsia="zh-CN"/>
        </w:rPr>
        <w:t>39.78</w:t>
      </w:r>
      <w:r>
        <w:rPr>
          <w:rFonts w:hint="default" w:ascii="Times New Roman" w:hAnsi="Times New Roman" w:eastAsia="宋体" w:cs="Times New Roman"/>
          <w:color w:val="auto"/>
          <w:sz w:val="24"/>
          <w:szCs w:val="24"/>
          <w:highlight w:val="none"/>
          <w:lang w:val="en-US" w:eastAsia="zh-CN"/>
        </w:rPr>
        <w:t>万m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为满足废料外排需要，需建设一座废料堆场，堆场最大堆置高度</w:t>
      </w:r>
      <w:r>
        <w:rPr>
          <w:rFonts w:hint="default" w:ascii="Times New Roman" w:hAnsi="Times New Roman" w:cs="Times New Roman"/>
          <w:color w:val="auto"/>
          <w:sz w:val="24"/>
          <w:szCs w:val="24"/>
          <w:highlight w:val="none"/>
          <w:lang w:val="en-US" w:eastAsia="zh-CN"/>
        </w:rPr>
        <w:t>10</w:t>
      </w:r>
      <w:r>
        <w:rPr>
          <w:rFonts w:hint="default" w:ascii="Times New Roman" w:hAnsi="Times New Roman" w:cs="Times New Roman"/>
          <w:color w:val="auto"/>
          <w:sz w:val="24"/>
          <w:szCs w:val="24"/>
          <w:highlight w:val="none"/>
        </w:rPr>
        <w:t>m，</w:t>
      </w:r>
      <w:r>
        <w:rPr>
          <w:rFonts w:hint="default" w:ascii="Times New Roman" w:hAnsi="Times New Roman" w:eastAsia="宋体" w:cs="Times New Roman"/>
          <w:color w:val="auto"/>
          <w:sz w:val="24"/>
          <w:szCs w:val="24"/>
          <w:highlight w:val="none"/>
          <w:lang w:val="en-US" w:eastAsia="zh-CN"/>
        </w:rPr>
        <w:t>容积约</w:t>
      </w:r>
      <w:r>
        <w:rPr>
          <w:rFonts w:hint="default" w:ascii="Times New Roman" w:hAnsi="Times New Roman" w:cs="Times New Roman"/>
          <w:color w:val="auto"/>
          <w:sz w:val="24"/>
          <w:highlight w:val="none"/>
          <w:lang w:val="en-US" w:eastAsia="zh-CN"/>
        </w:rPr>
        <w:t>40.63</w:t>
      </w:r>
      <w:r>
        <w:rPr>
          <w:rFonts w:hint="default" w:ascii="Times New Roman" w:hAnsi="Times New Roman" w:eastAsia="宋体" w:cs="Times New Roman"/>
          <w:color w:val="auto"/>
          <w:sz w:val="24"/>
          <w:szCs w:val="24"/>
          <w:highlight w:val="none"/>
          <w:lang w:val="en-US" w:eastAsia="zh-CN"/>
        </w:rPr>
        <w:t>万m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rPr>
        <w:t>单层排放，边坡角不大于30°，所需占地面积为</w:t>
      </w:r>
      <w:r>
        <w:rPr>
          <w:rFonts w:hint="default" w:ascii="Times New Roman" w:hAnsi="Times New Roman" w:cs="Times New Roman"/>
          <w:color w:val="auto"/>
          <w:sz w:val="24"/>
          <w:szCs w:val="24"/>
          <w:highlight w:val="none"/>
          <w:lang w:val="en-US" w:eastAsia="zh-CN"/>
        </w:rPr>
        <w:t>45800</w:t>
      </w:r>
      <w:r>
        <w:rPr>
          <w:rFonts w:hint="default" w:ascii="Times New Roman" w:hAnsi="Times New Roman" w:cs="Times New Roman"/>
          <w:color w:val="auto"/>
          <w:sz w:val="24"/>
          <w:szCs w:val="24"/>
          <w:highlight w:val="none"/>
        </w:rPr>
        <w:t>hm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。闭矿后，</w:t>
      </w:r>
      <w:r>
        <w:rPr>
          <w:rFonts w:hint="default" w:ascii="Times New Roman" w:hAnsi="Times New Roman" w:cs="Times New Roman"/>
          <w:color w:val="auto"/>
          <w:sz w:val="24"/>
          <w:szCs w:val="24"/>
          <w:highlight w:val="none"/>
          <w:lang w:val="en-US" w:eastAsia="zh-CN"/>
        </w:rPr>
        <w:t>排土场的</w:t>
      </w:r>
      <w:r>
        <w:rPr>
          <w:rFonts w:hint="default" w:ascii="Times New Roman" w:hAnsi="Times New Roman" w:cs="Times New Roman"/>
          <w:color w:val="auto"/>
          <w:sz w:val="24"/>
          <w:szCs w:val="24"/>
          <w:highlight w:val="none"/>
        </w:rPr>
        <w:t>废料</w:t>
      </w:r>
      <w:r>
        <w:rPr>
          <w:rFonts w:hint="default" w:ascii="Times New Roman" w:hAnsi="Times New Roman" w:cs="Times New Roman"/>
          <w:color w:val="auto"/>
          <w:sz w:val="24"/>
          <w:szCs w:val="24"/>
          <w:highlight w:val="none"/>
          <w:lang w:val="en-US" w:eastAsia="zh-CN"/>
        </w:rPr>
        <w:t>废土</w:t>
      </w:r>
      <w:r>
        <w:rPr>
          <w:rFonts w:hint="default" w:ascii="Times New Roman" w:hAnsi="Times New Roman" w:cs="Times New Roman"/>
          <w:color w:val="auto"/>
          <w:sz w:val="24"/>
          <w:szCs w:val="24"/>
          <w:highlight w:val="none"/>
        </w:rPr>
        <w:t>全部回填</w:t>
      </w:r>
      <w:r>
        <w:rPr>
          <w:rFonts w:hint="default" w:ascii="Times New Roman" w:hAnsi="Times New Roman" w:cs="Times New Roman"/>
          <w:color w:val="auto"/>
          <w:sz w:val="24"/>
          <w:szCs w:val="24"/>
          <w:highlight w:val="none"/>
          <w:lang w:val="en-US" w:eastAsia="zh-CN"/>
        </w:rPr>
        <w:t>与采坑</w:t>
      </w:r>
      <w:r>
        <w:rPr>
          <w:rFonts w:hint="default" w:ascii="Times New Roman" w:hAnsi="Times New Roman" w:cs="Times New Roman"/>
          <w:color w:val="auto"/>
          <w:sz w:val="24"/>
          <w:szCs w:val="24"/>
          <w:highlight w:val="none"/>
        </w:rPr>
        <w:t>。</w:t>
      </w:r>
    </w:p>
    <w:p w14:paraId="790E0C88">
      <w:pPr>
        <w:pStyle w:val="4"/>
        <w:bidi w:val="0"/>
        <w:rPr>
          <w:rFonts w:hint="default"/>
        </w:rPr>
      </w:pPr>
      <w:bookmarkStart w:id="128" w:name="3.3.7生产设备"/>
      <w:bookmarkEnd w:id="128"/>
      <w:r>
        <w:rPr>
          <w:rFonts w:hint="default"/>
        </w:rPr>
        <w:t>生产设备</w:t>
      </w:r>
    </w:p>
    <w:p w14:paraId="1B59953A">
      <w:pPr>
        <w:pStyle w:val="14"/>
        <w:kinsoku w:val="0"/>
        <w:overflowPunct w:val="0"/>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本项目开采设备及筛分设备详见表</w:t>
      </w:r>
      <w:r>
        <w:rPr>
          <w:rFonts w:hint="default" w:ascii="Times New Roman" w:hAnsi="Times New Roman" w:cs="Times New Roman"/>
          <w:color w:val="auto"/>
          <w:spacing w:val="-61"/>
          <w:sz w:val="24"/>
          <w:szCs w:val="24"/>
          <w:highlight w:val="none"/>
        </w:rPr>
        <w:t xml:space="preserve"> </w:t>
      </w:r>
      <w:r>
        <w:rPr>
          <w:rFonts w:hint="default" w:ascii="Times New Roman" w:hAnsi="Times New Roman" w:eastAsia="Times New Roman" w:cs="Times New Roman"/>
          <w:color w:val="auto"/>
          <w:sz w:val="24"/>
          <w:szCs w:val="24"/>
          <w:highlight w:val="none"/>
        </w:rPr>
        <w:t>3.3-5</w:t>
      </w:r>
      <w:r>
        <w:rPr>
          <w:rFonts w:hint="default" w:ascii="Times New Roman" w:hAnsi="Times New Roman" w:cs="Times New Roman"/>
          <w:color w:val="auto"/>
          <w:sz w:val="24"/>
          <w:szCs w:val="24"/>
          <w:highlight w:val="none"/>
        </w:rPr>
        <w:t>。</w:t>
      </w:r>
    </w:p>
    <w:p w14:paraId="4FF7EFFC">
      <w:pPr>
        <w:pStyle w:val="45"/>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表 3.3-5</w:t>
      </w:r>
      <w:r>
        <w:rPr>
          <w:rFonts w:hint="default" w:ascii="Times New Roman" w:hAnsi="Times New Roman" w:cs="Times New Roman"/>
          <w:color w:val="auto"/>
          <w:sz w:val="24"/>
          <w:szCs w:val="24"/>
          <w:highlight w:val="none"/>
        </w:rPr>
        <w:tab/>
      </w:r>
      <w:r>
        <w:rPr>
          <w:rFonts w:hint="default" w:ascii="Times New Roman" w:hAnsi="Times New Roman" w:cs="Times New Roman"/>
          <w:color w:val="auto"/>
          <w:sz w:val="24"/>
          <w:szCs w:val="24"/>
          <w:highlight w:val="none"/>
        </w:rPr>
        <w:t>开采</w:t>
      </w:r>
      <w:r>
        <w:rPr>
          <w:rFonts w:hint="default" w:ascii="Times New Roman" w:hAnsi="Times New Roman" w:cs="Times New Roman"/>
          <w:color w:val="auto"/>
          <w:sz w:val="24"/>
          <w:szCs w:val="24"/>
          <w:highlight w:val="none"/>
          <w:lang w:val="en-US" w:eastAsia="zh-CN"/>
        </w:rPr>
        <w:t>及筛分</w:t>
      </w:r>
      <w:r>
        <w:rPr>
          <w:rFonts w:hint="default" w:ascii="Times New Roman" w:hAnsi="Times New Roman" w:cs="Times New Roman"/>
          <w:color w:val="auto"/>
          <w:sz w:val="24"/>
          <w:szCs w:val="24"/>
          <w:highlight w:val="none"/>
        </w:rPr>
        <w:t>主要设备</w:t>
      </w:r>
    </w:p>
    <w:tbl>
      <w:tblPr>
        <w:tblStyle w:val="31"/>
        <w:tblW w:w="522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682"/>
        <w:gridCol w:w="8"/>
        <w:gridCol w:w="1779"/>
        <w:gridCol w:w="15"/>
        <w:gridCol w:w="3637"/>
        <w:gridCol w:w="751"/>
        <w:gridCol w:w="640"/>
        <w:gridCol w:w="1973"/>
        <w:gridCol w:w="15"/>
      </w:tblGrid>
      <w:tr w14:paraId="4BE1E4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After w:val="1"/>
          <w:wAfter w:w="8" w:type="pct"/>
          <w:trHeight w:val="397" w:hRule="atLeast"/>
          <w:tblHeader/>
          <w:jc w:val="center"/>
        </w:trPr>
        <w:tc>
          <w:tcPr>
            <w:tcW w:w="359" w:type="pct"/>
            <w:tcBorders>
              <w:top w:val="single" w:color="auto" w:sz="6" w:space="0"/>
              <w:left w:val="single" w:color="auto" w:sz="6" w:space="0"/>
              <w:bottom w:val="single" w:color="auto" w:sz="6" w:space="0"/>
              <w:right w:val="single" w:color="auto" w:sz="6" w:space="0"/>
              <w:tl2br w:val="nil"/>
              <w:tr2bl w:val="nil"/>
            </w:tcBorders>
            <w:noWrap w:val="0"/>
            <w:vAlign w:val="center"/>
          </w:tcPr>
          <w:p w14:paraId="08C5FD7B">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序号</w:t>
            </w:r>
          </w:p>
        </w:tc>
        <w:tc>
          <w:tcPr>
            <w:tcW w:w="940" w:type="pct"/>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61CF6BA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设备名称</w:t>
            </w:r>
          </w:p>
        </w:tc>
        <w:tc>
          <w:tcPr>
            <w:tcW w:w="1922" w:type="pct"/>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7335BF0C">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型号规格</w:t>
            </w:r>
          </w:p>
        </w:tc>
        <w:tc>
          <w:tcPr>
            <w:tcW w:w="395" w:type="pct"/>
            <w:tcBorders>
              <w:top w:val="single" w:color="auto" w:sz="6" w:space="0"/>
              <w:left w:val="single" w:color="auto" w:sz="6" w:space="0"/>
              <w:bottom w:val="single" w:color="auto" w:sz="6" w:space="0"/>
              <w:right w:val="single" w:color="auto" w:sz="6" w:space="0"/>
              <w:tl2br w:val="nil"/>
              <w:tr2bl w:val="nil"/>
            </w:tcBorders>
            <w:noWrap w:val="0"/>
            <w:vAlign w:val="center"/>
          </w:tcPr>
          <w:p w14:paraId="61FA21A3">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单位</w:t>
            </w:r>
          </w:p>
        </w:tc>
        <w:tc>
          <w:tcPr>
            <w:tcW w:w="337" w:type="pct"/>
            <w:tcBorders>
              <w:top w:val="single" w:color="auto" w:sz="6" w:space="0"/>
              <w:left w:val="single" w:color="auto" w:sz="6" w:space="0"/>
              <w:bottom w:val="single" w:color="auto" w:sz="6" w:space="0"/>
              <w:right w:val="single" w:color="auto" w:sz="6" w:space="0"/>
              <w:tl2br w:val="nil"/>
              <w:tr2bl w:val="nil"/>
            </w:tcBorders>
            <w:noWrap w:val="0"/>
            <w:vAlign w:val="center"/>
          </w:tcPr>
          <w:p w14:paraId="6A857F36">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数量</w:t>
            </w:r>
          </w:p>
        </w:tc>
        <w:tc>
          <w:tcPr>
            <w:tcW w:w="1035" w:type="pct"/>
            <w:tcBorders>
              <w:top w:val="single" w:color="auto" w:sz="6" w:space="0"/>
              <w:left w:val="single" w:color="auto" w:sz="6" w:space="0"/>
              <w:bottom w:val="single" w:color="auto" w:sz="6" w:space="0"/>
              <w:right w:val="single" w:color="auto" w:sz="6" w:space="0"/>
              <w:tl2br w:val="nil"/>
              <w:tr2bl w:val="nil"/>
            </w:tcBorders>
            <w:noWrap w:val="0"/>
            <w:vAlign w:val="center"/>
          </w:tcPr>
          <w:p w14:paraId="3B83CA9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备注</w:t>
            </w:r>
          </w:p>
        </w:tc>
      </w:tr>
      <w:tr w14:paraId="150FAE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After w:val="1"/>
          <w:wAfter w:w="8" w:type="pct"/>
          <w:trHeight w:val="397" w:hRule="atLeast"/>
          <w:tblHeader/>
          <w:jc w:val="center"/>
        </w:trPr>
        <w:tc>
          <w:tcPr>
            <w:tcW w:w="4991" w:type="pct"/>
            <w:gridSpan w:val="8"/>
            <w:tcBorders>
              <w:top w:val="single" w:color="auto" w:sz="6" w:space="0"/>
              <w:left w:val="single" w:color="auto" w:sz="6" w:space="0"/>
              <w:bottom w:val="single" w:color="auto" w:sz="6" w:space="0"/>
              <w:right w:val="single" w:color="auto" w:sz="6" w:space="0"/>
              <w:tl2br w:val="nil"/>
              <w:tr2bl w:val="nil"/>
            </w:tcBorders>
            <w:noWrap w:val="0"/>
            <w:vAlign w:val="center"/>
          </w:tcPr>
          <w:p w14:paraId="03B2127A">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开采</w:t>
            </w:r>
          </w:p>
        </w:tc>
      </w:tr>
      <w:tr w14:paraId="541A3C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After w:val="1"/>
          <w:wAfter w:w="8" w:type="pct"/>
          <w:trHeight w:val="397" w:hRule="atLeast"/>
          <w:jc w:val="center"/>
        </w:trPr>
        <w:tc>
          <w:tcPr>
            <w:tcW w:w="359" w:type="pct"/>
            <w:tcBorders>
              <w:top w:val="single" w:color="auto" w:sz="6" w:space="0"/>
              <w:left w:val="single" w:color="auto" w:sz="6" w:space="0"/>
              <w:bottom w:val="single" w:color="auto" w:sz="6" w:space="0"/>
              <w:right w:val="single" w:color="auto" w:sz="6" w:space="0"/>
              <w:tl2br w:val="nil"/>
              <w:tr2bl w:val="nil"/>
            </w:tcBorders>
            <w:noWrap w:val="0"/>
            <w:vAlign w:val="center"/>
          </w:tcPr>
          <w:p w14:paraId="4F3A6A4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w:t>
            </w:r>
          </w:p>
        </w:tc>
        <w:tc>
          <w:tcPr>
            <w:tcW w:w="940" w:type="pct"/>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166B8DE3">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全液压挖掘机</w:t>
            </w:r>
          </w:p>
        </w:tc>
        <w:tc>
          <w:tcPr>
            <w:tcW w:w="1922" w:type="pct"/>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520887F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SY305H，斗容1.</w:t>
            </w:r>
            <w:r>
              <w:rPr>
                <w:rFonts w:hint="default"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，功率212kW。</w:t>
            </w:r>
          </w:p>
        </w:tc>
        <w:tc>
          <w:tcPr>
            <w:tcW w:w="395" w:type="pct"/>
            <w:tcBorders>
              <w:top w:val="single" w:color="auto" w:sz="6" w:space="0"/>
              <w:left w:val="single" w:color="auto" w:sz="6" w:space="0"/>
              <w:bottom w:val="single" w:color="auto" w:sz="6" w:space="0"/>
              <w:right w:val="single" w:color="auto" w:sz="6" w:space="0"/>
              <w:tl2br w:val="nil"/>
              <w:tr2bl w:val="nil"/>
            </w:tcBorders>
            <w:noWrap w:val="0"/>
            <w:vAlign w:val="center"/>
          </w:tcPr>
          <w:p w14:paraId="0A698E2A">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台</w:t>
            </w:r>
          </w:p>
        </w:tc>
        <w:tc>
          <w:tcPr>
            <w:tcW w:w="337" w:type="pct"/>
            <w:tcBorders>
              <w:top w:val="single" w:color="auto" w:sz="6" w:space="0"/>
              <w:left w:val="single" w:color="auto" w:sz="6" w:space="0"/>
              <w:bottom w:val="single" w:color="auto" w:sz="6" w:space="0"/>
              <w:right w:val="single" w:color="auto" w:sz="6" w:space="0"/>
              <w:tl2br w:val="nil"/>
              <w:tr2bl w:val="nil"/>
            </w:tcBorders>
            <w:noWrap w:val="0"/>
            <w:vAlign w:val="center"/>
          </w:tcPr>
          <w:p w14:paraId="518F3BB5">
            <w:pPr>
              <w:pStyle w:val="48"/>
              <w:spacing w:beforeLines="0" w:afterLines="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val="en-US" w:eastAsia="zh-CN"/>
              </w:rPr>
              <w:t>4</w:t>
            </w:r>
          </w:p>
        </w:tc>
        <w:tc>
          <w:tcPr>
            <w:tcW w:w="1035" w:type="pct"/>
            <w:tcBorders>
              <w:top w:val="single" w:color="auto" w:sz="6" w:space="0"/>
              <w:left w:val="single" w:color="auto" w:sz="6" w:space="0"/>
              <w:bottom w:val="single" w:color="auto" w:sz="6" w:space="0"/>
              <w:right w:val="single" w:color="auto" w:sz="6" w:space="0"/>
              <w:tl2br w:val="nil"/>
              <w:tr2bl w:val="nil"/>
            </w:tcBorders>
            <w:noWrap w:val="0"/>
            <w:vAlign w:val="center"/>
          </w:tcPr>
          <w:p w14:paraId="3F3255F4">
            <w:pPr>
              <w:pStyle w:val="48"/>
              <w:spacing w:beforeLines="0" w:afterLines="0"/>
              <w:rPr>
                <w:rFonts w:hint="default" w:ascii="Times New Roman" w:hAnsi="Times New Roman" w:cs="Times New Roman"/>
                <w:color w:val="auto"/>
                <w:sz w:val="24"/>
                <w:szCs w:val="24"/>
                <w:highlight w:val="none"/>
              </w:rPr>
            </w:pPr>
          </w:p>
        </w:tc>
      </w:tr>
      <w:tr w14:paraId="2F3530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After w:val="1"/>
          <w:wAfter w:w="8" w:type="pct"/>
          <w:trHeight w:val="397" w:hRule="atLeast"/>
          <w:jc w:val="center"/>
        </w:trPr>
        <w:tc>
          <w:tcPr>
            <w:tcW w:w="359" w:type="pct"/>
            <w:tcBorders>
              <w:top w:val="single" w:color="auto" w:sz="6" w:space="0"/>
              <w:left w:val="single" w:color="auto" w:sz="6" w:space="0"/>
              <w:bottom w:val="single" w:color="auto" w:sz="6" w:space="0"/>
              <w:right w:val="single" w:color="auto" w:sz="6" w:space="0"/>
              <w:tl2br w:val="nil"/>
              <w:tr2bl w:val="nil"/>
            </w:tcBorders>
            <w:noWrap w:val="0"/>
            <w:vAlign w:val="center"/>
          </w:tcPr>
          <w:p w14:paraId="266CA656">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w:t>
            </w:r>
          </w:p>
        </w:tc>
        <w:tc>
          <w:tcPr>
            <w:tcW w:w="940" w:type="pct"/>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0DA0C03C">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装载机</w:t>
            </w:r>
          </w:p>
        </w:tc>
        <w:tc>
          <w:tcPr>
            <w:tcW w:w="1922" w:type="pct"/>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41214BFA">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ZL50，功率162kW。</w:t>
            </w:r>
          </w:p>
        </w:tc>
        <w:tc>
          <w:tcPr>
            <w:tcW w:w="395" w:type="pct"/>
            <w:tcBorders>
              <w:top w:val="single" w:color="auto" w:sz="6" w:space="0"/>
              <w:left w:val="single" w:color="auto" w:sz="6" w:space="0"/>
              <w:bottom w:val="single" w:color="auto" w:sz="6" w:space="0"/>
              <w:right w:val="single" w:color="auto" w:sz="6" w:space="0"/>
              <w:tl2br w:val="nil"/>
              <w:tr2bl w:val="nil"/>
            </w:tcBorders>
            <w:noWrap w:val="0"/>
            <w:vAlign w:val="center"/>
          </w:tcPr>
          <w:p w14:paraId="03B4EDDD">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台</w:t>
            </w:r>
          </w:p>
        </w:tc>
        <w:tc>
          <w:tcPr>
            <w:tcW w:w="337" w:type="pct"/>
            <w:tcBorders>
              <w:top w:val="single" w:color="auto" w:sz="6" w:space="0"/>
              <w:left w:val="single" w:color="auto" w:sz="6" w:space="0"/>
              <w:bottom w:val="single" w:color="auto" w:sz="6" w:space="0"/>
              <w:right w:val="single" w:color="auto" w:sz="6" w:space="0"/>
              <w:tl2br w:val="nil"/>
              <w:tr2bl w:val="nil"/>
            </w:tcBorders>
            <w:noWrap w:val="0"/>
            <w:vAlign w:val="center"/>
          </w:tcPr>
          <w:p w14:paraId="6BFC81E0">
            <w:pPr>
              <w:pStyle w:val="48"/>
              <w:spacing w:beforeLines="0" w:afterLines="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val="en-US" w:eastAsia="zh-CN"/>
              </w:rPr>
              <w:t>4</w:t>
            </w:r>
          </w:p>
        </w:tc>
        <w:tc>
          <w:tcPr>
            <w:tcW w:w="1035" w:type="pct"/>
            <w:tcBorders>
              <w:top w:val="single" w:color="auto" w:sz="6" w:space="0"/>
              <w:left w:val="single" w:color="auto" w:sz="6" w:space="0"/>
              <w:bottom w:val="single" w:color="auto" w:sz="6" w:space="0"/>
              <w:right w:val="single" w:color="auto" w:sz="6" w:space="0"/>
              <w:tl2br w:val="nil"/>
              <w:tr2bl w:val="nil"/>
            </w:tcBorders>
            <w:noWrap w:val="0"/>
            <w:vAlign w:val="center"/>
          </w:tcPr>
          <w:p w14:paraId="507AF7AF">
            <w:pPr>
              <w:pStyle w:val="48"/>
              <w:spacing w:beforeLines="0" w:afterLines="0"/>
              <w:rPr>
                <w:rFonts w:hint="default" w:ascii="Times New Roman" w:hAnsi="Times New Roman" w:cs="Times New Roman"/>
                <w:color w:val="auto"/>
                <w:sz w:val="24"/>
                <w:szCs w:val="24"/>
                <w:highlight w:val="none"/>
              </w:rPr>
            </w:pPr>
          </w:p>
        </w:tc>
      </w:tr>
      <w:tr w14:paraId="66256F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After w:val="1"/>
          <w:wAfter w:w="8" w:type="pct"/>
          <w:trHeight w:val="397" w:hRule="atLeast"/>
          <w:jc w:val="center"/>
        </w:trPr>
        <w:tc>
          <w:tcPr>
            <w:tcW w:w="359" w:type="pct"/>
            <w:tcBorders>
              <w:top w:val="single" w:color="auto" w:sz="6" w:space="0"/>
              <w:left w:val="single" w:color="auto" w:sz="6" w:space="0"/>
              <w:bottom w:val="single" w:color="auto" w:sz="6" w:space="0"/>
              <w:right w:val="single" w:color="auto" w:sz="6" w:space="0"/>
              <w:tl2br w:val="nil"/>
              <w:tr2bl w:val="nil"/>
            </w:tcBorders>
            <w:noWrap w:val="0"/>
            <w:vAlign w:val="center"/>
          </w:tcPr>
          <w:p w14:paraId="54A9F2EE">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w:t>
            </w:r>
          </w:p>
        </w:tc>
        <w:tc>
          <w:tcPr>
            <w:tcW w:w="940" w:type="pct"/>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5B653367">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自卸汽车</w:t>
            </w:r>
          </w:p>
        </w:tc>
        <w:tc>
          <w:tcPr>
            <w:tcW w:w="1922" w:type="pct"/>
            <w:gridSpan w:val="2"/>
            <w:tcBorders>
              <w:top w:val="single" w:color="auto" w:sz="6" w:space="0"/>
              <w:left w:val="single" w:color="auto" w:sz="6" w:space="0"/>
              <w:bottom w:val="single" w:color="auto" w:sz="6" w:space="0"/>
              <w:right w:val="single" w:color="auto" w:sz="6" w:space="0"/>
              <w:tl2br w:val="nil"/>
              <w:tr2bl w:val="nil"/>
            </w:tcBorders>
            <w:noWrap w:val="0"/>
            <w:vAlign w:val="center"/>
          </w:tcPr>
          <w:p w14:paraId="63C4A447">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载重</w:t>
            </w:r>
            <w:r>
              <w:rPr>
                <w:rFonts w:hint="default" w:ascii="Times New Roman" w:hAnsi="Times New Roman" w:cs="Times New Roman"/>
                <w:color w:val="auto"/>
                <w:sz w:val="24"/>
                <w:szCs w:val="24"/>
                <w:highlight w:val="none"/>
                <w:lang w:val="en-US" w:eastAsia="zh-CN"/>
              </w:rPr>
              <w:t>20</w:t>
            </w:r>
            <w:r>
              <w:rPr>
                <w:rFonts w:hint="default" w:ascii="Times New Roman" w:hAnsi="Times New Roman" w:cs="Times New Roman"/>
                <w:color w:val="auto"/>
                <w:sz w:val="24"/>
                <w:szCs w:val="24"/>
                <w:highlight w:val="none"/>
              </w:rPr>
              <w:t>t，功率257kW</w:t>
            </w:r>
          </w:p>
        </w:tc>
        <w:tc>
          <w:tcPr>
            <w:tcW w:w="395" w:type="pct"/>
            <w:tcBorders>
              <w:top w:val="single" w:color="auto" w:sz="6" w:space="0"/>
              <w:left w:val="single" w:color="auto" w:sz="6" w:space="0"/>
              <w:bottom w:val="single" w:color="auto" w:sz="6" w:space="0"/>
              <w:right w:val="single" w:color="auto" w:sz="6" w:space="0"/>
              <w:tl2br w:val="nil"/>
              <w:tr2bl w:val="nil"/>
            </w:tcBorders>
            <w:noWrap w:val="0"/>
            <w:vAlign w:val="center"/>
          </w:tcPr>
          <w:p w14:paraId="30FA491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台</w:t>
            </w:r>
          </w:p>
        </w:tc>
        <w:tc>
          <w:tcPr>
            <w:tcW w:w="337" w:type="pct"/>
            <w:tcBorders>
              <w:top w:val="single" w:color="auto" w:sz="6" w:space="0"/>
              <w:left w:val="single" w:color="auto" w:sz="6" w:space="0"/>
              <w:bottom w:val="single" w:color="auto" w:sz="6" w:space="0"/>
              <w:right w:val="single" w:color="auto" w:sz="6" w:space="0"/>
              <w:tl2br w:val="nil"/>
              <w:tr2bl w:val="nil"/>
            </w:tcBorders>
            <w:noWrap w:val="0"/>
            <w:vAlign w:val="center"/>
          </w:tcPr>
          <w:p w14:paraId="03F3FF8B">
            <w:pPr>
              <w:pStyle w:val="48"/>
              <w:spacing w:beforeLines="0" w:afterLines="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val="en-US" w:eastAsia="zh-CN"/>
              </w:rPr>
              <w:t>6</w:t>
            </w:r>
          </w:p>
        </w:tc>
        <w:tc>
          <w:tcPr>
            <w:tcW w:w="1035" w:type="pct"/>
            <w:tcBorders>
              <w:top w:val="single" w:color="auto" w:sz="6" w:space="0"/>
              <w:left w:val="single" w:color="auto" w:sz="6" w:space="0"/>
              <w:bottom w:val="single" w:color="auto" w:sz="6" w:space="0"/>
              <w:right w:val="single" w:color="auto" w:sz="6" w:space="0"/>
              <w:tl2br w:val="nil"/>
              <w:tr2bl w:val="nil"/>
            </w:tcBorders>
            <w:noWrap w:val="0"/>
            <w:vAlign w:val="center"/>
          </w:tcPr>
          <w:p w14:paraId="56D068FE">
            <w:pPr>
              <w:pStyle w:val="48"/>
              <w:spacing w:beforeLines="0" w:afterLines="0"/>
              <w:rPr>
                <w:rFonts w:hint="default" w:ascii="Times New Roman" w:hAnsi="Times New Roman" w:cs="Times New Roman"/>
                <w:color w:val="auto"/>
                <w:sz w:val="24"/>
                <w:szCs w:val="24"/>
                <w:highlight w:val="none"/>
              </w:rPr>
            </w:pPr>
          </w:p>
        </w:tc>
      </w:tr>
      <w:tr w14:paraId="17BC84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After w:val="1"/>
          <w:wAfter w:w="8" w:type="pct"/>
          <w:trHeight w:val="397" w:hRule="atLeast"/>
          <w:jc w:val="center"/>
        </w:trPr>
        <w:tc>
          <w:tcPr>
            <w:tcW w:w="4991" w:type="pct"/>
            <w:gridSpan w:val="8"/>
            <w:tcBorders>
              <w:top w:val="single" w:color="auto" w:sz="6" w:space="0"/>
              <w:left w:val="single" w:color="auto" w:sz="6" w:space="0"/>
              <w:bottom w:val="single" w:color="auto" w:sz="6" w:space="0"/>
              <w:right w:val="single" w:color="auto" w:sz="6" w:space="0"/>
              <w:tl2br w:val="nil"/>
              <w:tr2bl w:val="nil"/>
            </w:tcBorders>
            <w:noWrap w:val="0"/>
            <w:vAlign w:val="center"/>
          </w:tcPr>
          <w:p w14:paraId="433105EE">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洗选</w:t>
            </w:r>
          </w:p>
        </w:tc>
      </w:tr>
      <w:tr w14:paraId="4CABE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3"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44BA8E63">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w:t>
            </w:r>
          </w:p>
        </w:tc>
        <w:tc>
          <w:tcPr>
            <w:tcW w:w="944"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147DA93E">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振动给料机</w:t>
            </w:r>
          </w:p>
        </w:tc>
        <w:tc>
          <w:tcPr>
            <w:tcW w:w="191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EAF3817">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ZSW1350，处理能力280-500t/h，功率45kW</w:t>
            </w:r>
          </w:p>
        </w:tc>
        <w:tc>
          <w:tcPr>
            <w:tcW w:w="39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BA41C0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台</w:t>
            </w:r>
          </w:p>
        </w:tc>
        <w:tc>
          <w:tcPr>
            <w:tcW w:w="33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D687FBD">
            <w:pPr>
              <w:pStyle w:val="48"/>
              <w:spacing w:beforeLines="0" w:afterLines="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val="en-US" w:eastAsia="zh-CN"/>
              </w:rPr>
              <w:t>1</w:t>
            </w:r>
          </w:p>
        </w:tc>
        <w:tc>
          <w:tcPr>
            <w:tcW w:w="1043"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7C0F9916">
            <w:pPr>
              <w:pStyle w:val="48"/>
              <w:spacing w:beforeLines="0" w:afterLines="0"/>
              <w:rPr>
                <w:rFonts w:hint="default" w:ascii="Times New Roman" w:hAnsi="Times New Roman" w:cs="Times New Roman"/>
                <w:color w:val="auto"/>
                <w:sz w:val="24"/>
                <w:szCs w:val="24"/>
                <w:highlight w:val="none"/>
              </w:rPr>
            </w:pPr>
          </w:p>
        </w:tc>
      </w:tr>
      <w:tr w14:paraId="7329F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3"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1660097B">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2</w:t>
            </w:r>
          </w:p>
        </w:tc>
        <w:tc>
          <w:tcPr>
            <w:tcW w:w="944"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23A293A0">
            <w:pPr>
              <w:pStyle w:val="48"/>
              <w:spacing w:beforeLines="0" w:afterLines="0"/>
              <w:rPr>
                <w:rFonts w:hint="default" w:ascii="Times New Roman" w:hAnsi="Times New Roman" w:cs="Times New Roman"/>
                <w:color w:val="auto"/>
                <w:sz w:val="24"/>
                <w:szCs w:val="24"/>
                <w:highlight w:val="none"/>
                <w:lang w:val="en-US"/>
              </w:rPr>
            </w:pPr>
            <w:r>
              <w:rPr>
                <w:rFonts w:hint="default" w:ascii="Times New Roman" w:hAnsi="Times New Roman" w:cs="Times New Roman"/>
                <w:color w:val="auto"/>
                <w:sz w:val="24"/>
                <w:szCs w:val="24"/>
                <w:highlight w:val="none"/>
                <w:lang w:val="en-US" w:eastAsia="zh-CN"/>
              </w:rPr>
              <w:t>振动摇摆筛</w:t>
            </w:r>
          </w:p>
        </w:tc>
        <w:tc>
          <w:tcPr>
            <w:tcW w:w="191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84CDDAC">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YTHZS-1280</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功率</w:t>
            </w:r>
            <w:r>
              <w:rPr>
                <w:rFonts w:hint="default" w:ascii="Times New Roman" w:hAnsi="Times New Roman" w:cs="Times New Roman"/>
                <w:color w:val="auto"/>
                <w:sz w:val="24"/>
                <w:szCs w:val="24"/>
                <w:highlight w:val="none"/>
                <w:lang w:eastAsia="zh-CN"/>
              </w:rPr>
              <w:t>5.5KW</w:t>
            </w:r>
          </w:p>
        </w:tc>
        <w:tc>
          <w:tcPr>
            <w:tcW w:w="39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1E80B3E">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台</w:t>
            </w:r>
          </w:p>
        </w:tc>
        <w:tc>
          <w:tcPr>
            <w:tcW w:w="33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F0B3ADB">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6</w:t>
            </w:r>
          </w:p>
        </w:tc>
        <w:tc>
          <w:tcPr>
            <w:tcW w:w="1043"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795752A6">
            <w:pPr>
              <w:pStyle w:val="48"/>
              <w:spacing w:beforeLines="0" w:afterLines="0"/>
              <w:rPr>
                <w:rFonts w:hint="default" w:ascii="Times New Roman" w:hAnsi="Times New Roman" w:cs="Times New Roman"/>
                <w:color w:val="auto"/>
                <w:sz w:val="24"/>
                <w:szCs w:val="24"/>
                <w:highlight w:val="none"/>
              </w:rPr>
            </w:pPr>
          </w:p>
        </w:tc>
      </w:tr>
      <w:tr w14:paraId="31B87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3"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302C1CF5">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3</w:t>
            </w:r>
          </w:p>
        </w:tc>
        <w:tc>
          <w:tcPr>
            <w:tcW w:w="944"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76AC796F">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洗砂机</w:t>
            </w:r>
          </w:p>
        </w:tc>
        <w:tc>
          <w:tcPr>
            <w:tcW w:w="191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838D117">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100KW</w:t>
            </w:r>
          </w:p>
        </w:tc>
        <w:tc>
          <w:tcPr>
            <w:tcW w:w="39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7DBC6DF">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台</w:t>
            </w:r>
          </w:p>
        </w:tc>
        <w:tc>
          <w:tcPr>
            <w:tcW w:w="33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CA693B0">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1</w:t>
            </w:r>
          </w:p>
        </w:tc>
        <w:tc>
          <w:tcPr>
            <w:tcW w:w="1043"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424A32BB">
            <w:pPr>
              <w:pStyle w:val="48"/>
              <w:spacing w:beforeLines="0" w:afterLines="0"/>
              <w:rPr>
                <w:rFonts w:hint="default" w:ascii="Times New Roman" w:hAnsi="Times New Roman" w:cs="Times New Roman"/>
                <w:color w:val="auto"/>
                <w:sz w:val="24"/>
                <w:szCs w:val="24"/>
                <w:highlight w:val="none"/>
              </w:rPr>
            </w:pPr>
          </w:p>
        </w:tc>
      </w:tr>
      <w:tr w14:paraId="4BAB6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3"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6FF3CF89">
            <w:pPr>
              <w:pStyle w:val="48"/>
              <w:spacing w:beforeLines="0" w:afterLines="0"/>
              <w:rPr>
                <w:rFonts w:hint="default" w:ascii="Times New Roman" w:hAnsi="Times New Roman" w:cs="Times New Roman"/>
                <w:color w:val="00B050"/>
                <w:sz w:val="24"/>
                <w:szCs w:val="24"/>
                <w:highlight w:val="none"/>
                <w:lang w:val="en-US" w:eastAsia="zh-CN"/>
              </w:rPr>
            </w:pPr>
            <w:r>
              <w:rPr>
                <w:rFonts w:hint="default" w:ascii="Times New Roman" w:hAnsi="Times New Roman" w:cs="Times New Roman"/>
                <w:color w:val="00B050"/>
                <w:sz w:val="24"/>
                <w:szCs w:val="24"/>
                <w:highlight w:val="none"/>
                <w:lang w:val="en-US" w:eastAsia="zh-CN"/>
              </w:rPr>
              <w:t>4</w:t>
            </w:r>
          </w:p>
        </w:tc>
        <w:tc>
          <w:tcPr>
            <w:tcW w:w="944"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359B8019">
            <w:pPr>
              <w:pStyle w:val="48"/>
              <w:spacing w:beforeLines="0" w:afterLines="0"/>
              <w:rPr>
                <w:rFonts w:hint="eastAsia" w:ascii="Times New Roman" w:hAnsi="Times New Roman" w:eastAsia="宋体" w:cs="Times New Roman"/>
                <w:color w:val="00B050"/>
                <w:sz w:val="24"/>
                <w:szCs w:val="24"/>
                <w:highlight w:val="none"/>
                <w:lang w:val="en-US" w:eastAsia="zh-CN"/>
              </w:rPr>
            </w:pPr>
            <w:r>
              <w:rPr>
                <w:rFonts w:hint="eastAsia" w:ascii="Times New Roman" w:hAnsi="Times New Roman" w:cs="Times New Roman"/>
                <w:color w:val="00B050"/>
                <w:sz w:val="24"/>
                <w:szCs w:val="24"/>
                <w:highlight w:val="none"/>
                <w:lang w:val="en-US" w:eastAsia="zh-CN"/>
              </w:rPr>
              <w:t>气力</w:t>
            </w:r>
            <w:r>
              <w:rPr>
                <w:rFonts w:hint="default" w:ascii="Times New Roman" w:hAnsi="Times New Roman" w:cs="Times New Roman"/>
                <w:color w:val="00B050"/>
                <w:sz w:val="24"/>
                <w:szCs w:val="24"/>
                <w:highlight w:val="none"/>
              </w:rPr>
              <w:t>烘干</w:t>
            </w:r>
            <w:r>
              <w:rPr>
                <w:rFonts w:hint="eastAsia" w:ascii="Times New Roman" w:hAnsi="Times New Roman" w:cs="Times New Roman"/>
                <w:color w:val="00B050"/>
                <w:sz w:val="24"/>
                <w:szCs w:val="24"/>
                <w:highlight w:val="none"/>
                <w:lang w:val="en-US" w:eastAsia="zh-CN"/>
              </w:rPr>
              <w:t>机</w:t>
            </w:r>
          </w:p>
        </w:tc>
        <w:tc>
          <w:tcPr>
            <w:tcW w:w="191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50D509B">
            <w:pPr>
              <w:pStyle w:val="48"/>
              <w:spacing w:beforeLines="0" w:afterLines="0"/>
              <w:rPr>
                <w:rFonts w:hint="default"/>
                <w:lang w:val="en-US"/>
              </w:rPr>
            </w:pPr>
            <w:r>
              <w:rPr>
                <w:rFonts w:hint="eastAsia" w:ascii="Times New Roman" w:hAnsi="Times New Roman" w:cs="Times New Roman"/>
                <w:color w:val="00B050"/>
                <w:sz w:val="24"/>
                <w:szCs w:val="24"/>
                <w:highlight w:val="none"/>
                <w:lang w:val="en-US" w:eastAsia="zh-CN"/>
              </w:rPr>
              <w:t>SF-1200×5000-4×2F，58kPa</w:t>
            </w:r>
          </w:p>
        </w:tc>
        <w:tc>
          <w:tcPr>
            <w:tcW w:w="39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BBBE913">
            <w:pPr>
              <w:pStyle w:val="48"/>
              <w:spacing w:beforeLines="0" w:afterLines="0"/>
              <w:rPr>
                <w:rFonts w:hint="default" w:ascii="Times New Roman" w:hAnsi="Times New Roman" w:cs="Times New Roman"/>
                <w:color w:val="00B050"/>
                <w:sz w:val="24"/>
                <w:szCs w:val="24"/>
                <w:highlight w:val="none"/>
                <w:lang w:val="en-US" w:eastAsia="zh-CN"/>
              </w:rPr>
            </w:pPr>
            <w:r>
              <w:rPr>
                <w:rFonts w:hint="default" w:ascii="Times New Roman" w:hAnsi="Times New Roman" w:cs="Times New Roman"/>
                <w:color w:val="00B050"/>
                <w:sz w:val="24"/>
                <w:szCs w:val="24"/>
                <w:highlight w:val="none"/>
                <w:lang w:val="en-US" w:eastAsia="zh-CN"/>
              </w:rPr>
              <w:t>台</w:t>
            </w:r>
          </w:p>
        </w:tc>
        <w:tc>
          <w:tcPr>
            <w:tcW w:w="33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B9F3F1A">
            <w:pPr>
              <w:pStyle w:val="48"/>
              <w:spacing w:beforeLines="0" w:afterLines="0"/>
              <w:rPr>
                <w:rFonts w:hint="default" w:ascii="Times New Roman" w:hAnsi="Times New Roman" w:cs="Times New Roman"/>
                <w:color w:val="00B050"/>
                <w:sz w:val="24"/>
                <w:szCs w:val="24"/>
                <w:highlight w:val="none"/>
                <w:lang w:val="en-US" w:eastAsia="zh-CN"/>
              </w:rPr>
            </w:pPr>
            <w:r>
              <w:rPr>
                <w:rFonts w:hint="default" w:ascii="Times New Roman" w:hAnsi="Times New Roman" w:cs="Times New Roman"/>
                <w:color w:val="00B050"/>
                <w:sz w:val="24"/>
                <w:szCs w:val="24"/>
                <w:highlight w:val="none"/>
                <w:lang w:val="en-US" w:eastAsia="zh-CN"/>
              </w:rPr>
              <w:t>1</w:t>
            </w:r>
          </w:p>
        </w:tc>
        <w:tc>
          <w:tcPr>
            <w:tcW w:w="1043"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454EA648">
            <w:pPr>
              <w:pStyle w:val="48"/>
              <w:spacing w:beforeLines="0" w:afterLines="0"/>
              <w:rPr>
                <w:rFonts w:hint="default" w:ascii="Times New Roman" w:hAnsi="Times New Roman" w:cs="Times New Roman"/>
                <w:color w:val="00B050"/>
                <w:sz w:val="24"/>
                <w:szCs w:val="24"/>
                <w:highlight w:val="none"/>
                <w:lang w:val="en-US" w:eastAsia="zh-CN"/>
              </w:rPr>
            </w:pPr>
            <w:r>
              <w:rPr>
                <w:rFonts w:hint="eastAsia" w:ascii="Times New Roman" w:hAnsi="Times New Roman" w:cs="Times New Roman"/>
                <w:color w:val="00B050"/>
                <w:sz w:val="24"/>
                <w:szCs w:val="24"/>
                <w:highlight w:val="none"/>
                <w:lang w:val="en-US" w:eastAsia="zh-CN"/>
              </w:rPr>
              <w:t xml:space="preserve"> </w:t>
            </w:r>
          </w:p>
        </w:tc>
      </w:tr>
      <w:tr w14:paraId="70E07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3"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7B741DE5">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5</w:t>
            </w:r>
          </w:p>
        </w:tc>
        <w:tc>
          <w:tcPr>
            <w:tcW w:w="944"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71BEE4C1">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方型摇摆筛</w:t>
            </w:r>
          </w:p>
        </w:tc>
        <w:tc>
          <w:tcPr>
            <w:tcW w:w="191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54A534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zh-CN"/>
              </w:rPr>
              <w:t>FXYBS2036-8S，</w:t>
            </w:r>
            <w:r>
              <w:rPr>
                <w:rFonts w:hint="default" w:ascii="Times New Roman" w:hAnsi="Times New Roman" w:cs="Times New Roman"/>
                <w:color w:val="auto"/>
                <w:sz w:val="24"/>
                <w:szCs w:val="24"/>
                <w:highlight w:val="none"/>
                <w:lang w:val="en-US" w:eastAsia="zh-CN"/>
              </w:rPr>
              <w:t>功率7</w:t>
            </w:r>
            <w:r>
              <w:rPr>
                <w:rFonts w:hint="default" w:ascii="Times New Roman" w:hAnsi="Times New Roman" w:cs="Times New Roman"/>
                <w:color w:val="auto"/>
                <w:sz w:val="24"/>
                <w:szCs w:val="24"/>
                <w:highlight w:val="none"/>
                <w:lang w:eastAsia="zh-CN"/>
              </w:rPr>
              <w:t>.5KW</w:t>
            </w:r>
          </w:p>
        </w:tc>
        <w:tc>
          <w:tcPr>
            <w:tcW w:w="39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83A491A">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台</w:t>
            </w:r>
          </w:p>
        </w:tc>
        <w:tc>
          <w:tcPr>
            <w:tcW w:w="33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FE8CC01">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16</w:t>
            </w:r>
          </w:p>
        </w:tc>
        <w:tc>
          <w:tcPr>
            <w:tcW w:w="1043"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111461B9">
            <w:pPr>
              <w:pStyle w:val="48"/>
              <w:spacing w:beforeLines="0" w:afterLines="0"/>
              <w:rPr>
                <w:rFonts w:hint="default" w:ascii="Times New Roman" w:hAnsi="Times New Roman" w:cs="Times New Roman"/>
                <w:color w:val="auto"/>
                <w:sz w:val="24"/>
                <w:szCs w:val="24"/>
                <w:highlight w:val="none"/>
                <w:lang w:val="en-US" w:eastAsia="zh-CN"/>
              </w:rPr>
            </w:pPr>
          </w:p>
        </w:tc>
      </w:tr>
      <w:tr w14:paraId="0A3B2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3"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36899E9B">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6</w:t>
            </w:r>
          </w:p>
        </w:tc>
        <w:tc>
          <w:tcPr>
            <w:tcW w:w="944"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2C71296B">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皮带输送机</w:t>
            </w:r>
          </w:p>
        </w:tc>
        <w:tc>
          <w:tcPr>
            <w:tcW w:w="191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24DE9D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宽度1</w:t>
            </w:r>
            <w:r>
              <w:rPr>
                <w:rFonts w:hint="default" w:ascii="Times New Roman" w:hAnsi="Times New Roman" w:cs="Times New Roman"/>
                <w:color w:val="auto"/>
                <w:sz w:val="24"/>
                <w:szCs w:val="24"/>
                <w:highlight w:val="none"/>
                <w:lang w:val="en-US" w:eastAsia="zh-CN"/>
              </w:rPr>
              <w:t>0</w:t>
            </w:r>
            <w:r>
              <w:rPr>
                <w:rFonts w:hint="default" w:ascii="Times New Roman" w:hAnsi="Times New Roman" w:cs="Times New Roman"/>
                <w:color w:val="auto"/>
                <w:sz w:val="24"/>
                <w:szCs w:val="24"/>
                <w:highlight w:val="none"/>
              </w:rPr>
              <w:t>00m</w:t>
            </w:r>
          </w:p>
        </w:tc>
        <w:tc>
          <w:tcPr>
            <w:tcW w:w="39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88FEB34">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台</w:t>
            </w:r>
          </w:p>
        </w:tc>
        <w:tc>
          <w:tcPr>
            <w:tcW w:w="33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CD8AB09">
            <w:pPr>
              <w:pStyle w:val="48"/>
              <w:spacing w:beforeLines="0" w:afterLines="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val="en-US" w:eastAsia="zh-CN"/>
              </w:rPr>
              <w:t>5</w:t>
            </w:r>
          </w:p>
        </w:tc>
        <w:tc>
          <w:tcPr>
            <w:tcW w:w="1043"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1B1F82AE">
            <w:pPr>
              <w:pStyle w:val="48"/>
              <w:spacing w:beforeLines="0" w:afterLines="0"/>
              <w:rPr>
                <w:rFonts w:hint="default" w:ascii="Times New Roman" w:hAnsi="Times New Roman" w:cs="Times New Roman"/>
                <w:color w:val="auto"/>
                <w:sz w:val="24"/>
                <w:szCs w:val="24"/>
                <w:highlight w:val="none"/>
              </w:rPr>
            </w:pPr>
          </w:p>
        </w:tc>
      </w:tr>
      <w:tr w14:paraId="2A6A7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3"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62420207">
            <w:pPr>
              <w:pStyle w:val="48"/>
              <w:spacing w:beforeLines="0" w:afterLines="0"/>
              <w:rPr>
                <w:rFonts w:hint="default" w:ascii="Times New Roman" w:hAnsi="Times New Roman" w:cs="Times New Roman"/>
                <w:color w:val="00B050"/>
                <w:sz w:val="24"/>
                <w:szCs w:val="24"/>
                <w:highlight w:val="none"/>
                <w:lang w:val="en-US" w:eastAsia="zh-CN"/>
              </w:rPr>
            </w:pPr>
            <w:r>
              <w:rPr>
                <w:rFonts w:hint="default" w:ascii="Times New Roman" w:hAnsi="Times New Roman" w:cs="Times New Roman"/>
                <w:color w:val="00B050"/>
                <w:sz w:val="24"/>
                <w:szCs w:val="24"/>
                <w:highlight w:val="none"/>
                <w:lang w:val="en-US" w:eastAsia="zh-CN"/>
              </w:rPr>
              <w:t>7</w:t>
            </w:r>
          </w:p>
        </w:tc>
        <w:tc>
          <w:tcPr>
            <w:tcW w:w="944"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70FE22A4">
            <w:pPr>
              <w:pStyle w:val="48"/>
              <w:spacing w:beforeLines="0" w:afterLines="0"/>
              <w:rPr>
                <w:rFonts w:hint="default" w:ascii="Times New Roman" w:hAnsi="Times New Roman" w:cs="Times New Roman"/>
                <w:color w:val="00B050"/>
                <w:sz w:val="24"/>
                <w:szCs w:val="24"/>
                <w:highlight w:val="none"/>
                <w:lang w:val="en-US" w:eastAsia="zh-CN"/>
              </w:rPr>
            </w:pPr>
            <w:r>
              <w:rPr>
                <w:rFonts w:hint="default" w:ascii="Times New Roman" w:hAnsi="Times New Roman" w:cs="Times New Roman"/>
                <w:color w:val="00B050"/>
                <w:sz w:val="24"/>
                <w:szCs w:val="24"/>
                <w:highlight w:val="none"/>
              </w:rPr>
              <w:t>除尘引风机</w:t>
            </w:r>
          </w:p>
        </w:tc>
        <w:tc>
          <w:tcPr>
            <w:tcW w:w="191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0B7AB09">
            <w:pPr>
              <w:pStyle w:val="48"/>
              <w:spacing w:beforeLines="0" w:afterLines="0"/>
              <w:rPr>
                <w:rFonts w:hint="default" w:ascii="Times New Roman" w:hAnsi="Times New Roman" w:cs="Times New Roman"/>
                <w:color w:val="00B050"/>
                <w:sz w:val="24"/>
                <w:szCs w:val="24"/>
                <w:highlight w:val="none"/>
                <w:lang w:val="en-US"/>
              </w:rPr>
            </w:pPr>
            <w:r>
              <w:rPr>
                <w:rFonts w:hint="default" w:ascii="Times New Roman" w:hAnsi="Times New Roman" w:cs="Times New Roman"/>
                <w:color w:val="00B050"/>
                <w:sz w:val="24"/>
                <w:szCs w:val="24"/>
                <w:highlight w:val="none"/>
                <w:lang w:val="en-US" w:eastAsia="zh-CN"/>
              </w:rPr>
              <w:t>功率70</w:t>
            </w:r>
            <w:r>
              <w:rPr>
                <w:rFonts w:hint="default" w:ascii="Times New Roman" w:hAnsi="Times New Roman" w:cs="Times New Roman"/>
                <w:color w:val="00B050"/>
                <w:sz w:val="24"/>
                <w:szCs w:val="24"/>
                <w:highlight w:val="none"/>
                <w:lang w:eastAsia="zh-CN"/>
              </w:rPr>
              <w:t>KW，</w:t>
            </w:r>
            <w:r>
              <w:rPr>
                <w:rFonts w:hint="default" w:ascii="Times New Roman" w:hAnsi="Times New Roman" w:cs="Times New Roman"/>
                <w:color w:val="00B050"/>
                <w:sz w:val="24"/>
                <w:szCs w:val="24"/>
                <w:highlight w:val="none"/>
                <w:lang w:val="en-US" w:eastAsia="zh-CN"/>
              </w:rPr>
              <w:t>12000m</w:t>
            </w:r>
            <w:r>
              <w:rPr>
                <w:rFonts w:hint="default" w:ascii="Times New Roman" w:hAnsi="Times New Roman" w:cs="Times New Roman"/>
                <w:color w:val="00B050"/>
                <w:sz w:val="24"/>
                <w:szCs w:val="24"/>
                <w:highlight w:val="none"/>
                <w:vertAlign w:val="superscript"/>
                <w:lang w:val="en-US" w:eastAsia="zh-CN"/>
              </w:rPr>
              <w:t>3</w:t>
            </w:r>
            <w:r>
              <w:rPr>
                <w:rFonts w:hint="default" w:ascii="Times New Roman" w:hAnsi="Times New Roman" w:cs="Times New Roman"/>
                <w:color w:val="00B050"/>
                <w:sz w:val="24"/>
                <w:szCs w:val="24"/>
                <w:highlight w:val="none"/>
                <w:lang w:val="en-US" w:eastAsia="zh-CN"/>
              </w:rPr>
              <w:t>/h</w:t>
            </w:r>
          </w:p>
        </w:tc>
        <w:tc>
          <w:tcPr>
            <w:tcW w:w="39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ACFB835">
            <w:pPr>
              <w:pStyle w:val="48"/>
              <w:spacing w:beforeLines="0" w:afterLines="0"/>
              <w:rPr>
                <w:rFonts w:hint="default" w:ascii="Times New Roman" w:hAnsi="Times New Roman" w:cs="Times New Roman"/>
                <w:color w:val="00B050"/>
                <w:sz w:val="24"/>
                <w:szCs w:val="24"/>
                <w:highlight w:val="none"/>
                <w:lang w:val="en-US" w:eastAsia="zh-CN"/>
              </w:rPr>
            </w:pPr>
            <w:r>
              <w:rPr>
                <w:rFonts w:hint="default" w:ascii="Times New Roman" w:hAnsi="Times New Roman" w:cs="Times New Roman"/>
                <w:color w:val="00B050"/>
                <w:sz w:val="24"/>
                <w:szCs w:val="24"/>
                <w:highlight w:val="none"/>
                <w:lang w:val="en-US" w:eastAsia="zh-CN"/>
              </w:rPr>
              <w:t>台</w:t>
            </w:r>
          </w:p>
        </w:tc>
        <w:tc>
          <w:tcPr>
            <w:tcW w:w="33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FC75D52">
            <w:pPr>
              <w:pStyle w:val="48"/>
              <w:spacing w:beforeLines="0" w:afterLines="0"/>
              <w:rPr>
                <w:rFonts w:hint="default" w:ascii="Times New Roman" w:hAnsi="Times New Roman" w:cs="Times New Roman"/>
                <w:color w:val="00B050"/>
                <w:sz w:val="24"/>
                <w:szCs w:val="24"/>
                <w:highlight w:val="none"/>
                <w:lang w:val="en-US" w:eastAsia="zh-CN"/>
              </w:rPr>
            </w:pPr>
            <w:r>
              <w:rPr>
                <w:rFonts w:hint="default" w:ascii="Times New Roman" w:hAnsi="Times New Roman" w:cs="Times New Roman"/>
                <w:color w:val="00B050"/>
                <w:sz w:val="24"/>
                <w:szCs w:val="24"/>
                <w:highlight w:val="none"/>
                <w:lang w:val="en-US" w:eastAsia="zh-CN"/>
              </w:rPr>
              <w:t>2</w:t>
            </w:r>
          </w:p>
        </w:tc>
        <w:tc>
          <w:tcPr>
            <w:tcW w:w="1043"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2373B687">
            <w:pPr>
              <w:pStyle w:val="48"/>
              <w:spacing w:beforeLines="0" w:afterLines="0"/>
              <w:rPr>
                <w:rFonts w:hint="default" w:ascii="Times New Roman" w:hAnsi="Times New Roman" w:cs="Times New Roman"/>
                <w:color w:val="00B050"/>
                <w:sz w:val="24"/>
                <w:szCs w:val="24"/>
                <w:highlight w:val="none"/>
              </w:rPr>
            </w:pPr>
          </w:p>
        </w:tc>
      </w:tr>
    </w:tbl>
    <w:p w14:paraId="731B2931">
      <w:pPr>
        <w:pStyle w:val="45"/>
        <w:spacing w:beforeLines="0" w:afterLines="0"/>
        <w:rPr>
          <w:rFonts w:hint="default" w:ascii="Times New Roman" w:hAnsi="Times New Roman" w:cs="Times New Roman"/>
          <w:color w:val="auto"/>
          <w:sz w:val="24"/>
          <w:szCs w:val="24"/>
          <w:highlight w:val="none"/>
        </w:rPr>
      </w:pPr>
    </w:p>
    <w:p w14:paraId="6C901893">
      <w:pPr>
        <w:pStyle w:val="4"/>
        <w:bidi w:val="0"/>
        <w:rPr>
          <w:rFonts w:hint="default"/>
        </w:rPr>
      </w:pPr>
      <w:bookmarkStart w:id="129" w:name="3.3.8材料消耗"/>
      <w:bookmarkEnd w:id="129"/>
      <w:r>
        <w:rPr>
          <w:rFonts w:hint="default"/>
        </w:rPr>
        <w:t>材料消耗</w:t>
      </w:r>
    </w:p>
    <w:p w14:paraId="3550B426">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本项目机械设备添加燃油在附近加油站或者使用加油车加油，矿区内不贮存。本项目主要材料消耗情况详见表3.3-6。</w:t>
      </w:r>
    </w:p>
    <w:p w14:paraId="72804C2F">
      <w:pPr>
        <w:pStyle w:val="45"/>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表3.3-6</w:t>
      </w:r>
      <w:r>
        <w:rPr>
          <w:rFonts w:hint="default" w:ascii="Times New Roman" w:hAnsi="Times New Roman" w:cs="Times New Roman"/>
          <w:color w:val="auto"/>
          <w:sz w:val="24"/>
          <w:szCs w:val="24"/>
          <w:highlight w:val="none"/>
        </w:rPr>
        <w:tab/>
      </w:r>
      <w:r>
        <w:rPr>
          <w:rFonts w:hint="default" w:ascii="Times New Roman" w:hAnsi="Times New Roman" w:cs="Times New Roman"/>
          <w:color w:val="auto"/>
          <w:sz w:val="24"/>
          <w:szCs w:val="24"/>
          <w:highlight w:val="none"/>
        </w:rPr>
        <w:t>项目主要材料消耗一览表</w:t>
      </w:r>
    </w:p>
    <w:tbl>
      <w:tblPr>
        <w:tblStyle w:val="31"/>
        <w:tblW w:w="5028"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0" w:type="dxa"/>
          <w:bottom w:w="0" w:type="dxa"/>
          <w:right w:w="0" w:type="dxa"/>
        </w:tblCellMar>
      </w:tblPr>
      <w:tblGrid>
        <w:gridCol w:w="1423"/>
        <w:gridCol w:w="2900"/>
        <w:gridCol w:w="2171"/>
        <w:gridCol w:w="2637"/>
      </w:tblGrid>
      <w:tr w14:paraId="4F69993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02" w:hRule="atLeast"/>
          <w:tblHeader/>
        </w:trPr>
        <w:tc>
          <w:tcPr>
            <w:tcW w:w="779" w:type="pct"/>
            <w:tcBorders>
              <w:top w:val="single" w:color="auto" w:sz="4" w:space="0"/>
              <w:left w:val="single" w:color="auto" w:sz="4" w:space="0"/>
              <w:bottom w:val="single" w:color="auto" w:sz="6" w:space="0"/>
              <w:right w:val="single" w:color="auto" w:sz="6" w:space="0"/>
              <w:tl2br w:val="nil"/>
              <w:tr2bl w:val="nil"/>
            </w:tcBorders>
            <w:noWrap/>
            <w:vAlign w:val="center"/>
          </w:tcPr>
          <w:p w14:paraId="0FA29AFA">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序号</w:t>
            </w:r>
          </w:p>
        </w:tc>
        <w:tc>
          <w:tcPr>
            <w:tcW w:w="1587" w:type="pct"/>
            <w:tcBorders>
              <w:top w:val="single" w:color="auto" w:sz="4" w:space="0"/>
              <w:left w:val="single" w:color="auto" w:sz="6" w:space="0"/>
              <w:bottom w:val="single" w:color="auto" w:sz="6" w:space="0"/>
              <w:right w:val="single" w:color="auto" w:sz="6" w:space="0"/>
              <w:tl2br w:val="nil"/>
              <w:tr2bl w:val="nil"/>
            </w:tcBorders>
            <w:noWrap/>
            <w:vAlign w:val="center"/>
          </w:tcPr>
          <w:p w14:paraId="685EEB07">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w:t>
            </w:r>
          </w:p>
        </w:tc>
        <w:tc>
          <w:tcPr>
            <w:tcW w:w="1188" w:type="pct"/>
            <w:tcBorders>
              <w:top w:val="single" w:color="auto" w:sz="4" w:space="0"/>
              <w:left w:val="single" w:color="auto" w:sz="6" w:space="0"/>
              <w:bottom w:val="single" w:color="auto" w:sz="6" w:space="0"/>
              <w:right w:val="single" w:color="auto" w:sz="6" w:space="0"/>
              <w:tl2br w:val="nil"/>
              <w:tr2bl w:val="nil"/>
            </w:tcBorders>
            <w:noWrap/>
            <w:vAlign w:val="center"/>
          </w:tcPr>
          <w:p w14:paraId="6B10F488">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单位</w:t>
            </w:r>
          </w:p>
        </w:tc>
        <w:tc>
          <w:tcPr>
            <w:tcW w:w="1443" w:type="pct"/>
            <w:tcBorders>
              <w:top w:val="single" w:color="auto" w:sz="4" w:space="0"/>
              <w:left w:val="single" w:color="auto" w:sz="6" w:space="0"/>
              <w:bottom w:val="single" w:color="auto" w:sz="6" w:space="0"/>
              <w:right w:val="single" w:color="auto" w:sz="4" w:space="0"/>
              <w:tl2br w:val="nil"/>
              <w:tr2bl w:val="nil"/>
            </w:tcBorders>
            <w:noWrap w:val="0"/>
            <w:vAlign w:val="center"/>
          </w:tcPr>
          <w:p w14:paraId="37319F1A">
            <w:pPr>
              <w:pStyle w:val="48"/>
              <w:spacing w:beforeLines="0" w:afterLines="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rPr>
              <w:t>年消耗量</w:t>
            </w:r>
          </w:p>
        </w:tc>
      </w:tr>
      <w:tr w14:paraId="06DD58B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02" w:hRule="atLeast"/>
        </w:trPr>
        <w:tc>
          <w:tcPr>
            <w:tcW w:w="779" w:type="pct"/>
            <w:tcBorders>
              <w:top w:val="single" w:color="auto" w:sz="6" w:space="0"/>
              <w:left w:val="single" w:color="auto" w:sz="4" w:space="0"/>
              <w:bottom w:val="single" w:color="auto" w:sz="6" w:space="0"/>
              <w:right w:val="single" w:color="auto" w:sz="6" w:space="0"/>
              <w:tl2br w:val="nil"/>
              <w:tr2bl w:val="nil"/>
            </w:tcBorders>
            <w:noWrap/>
            <w:vAlign w:val="center"/>
          </w:tcPr>
          <w:p w14:paraId="1970F5C8">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w:t>
            </w:r>
          </w:p>
        </w:tc>
        <w:tc>
          <w:tcPr>
            <w:tcW w:w="1587" w:type="pct"/>
            <w:tcBorders>
              <w:top w:val="single" w:color="auto" w:sz="6" w:space="0"/>
              <w:left w:val="single" w:color="auto" w:sz="6" w:space="0"/>
              <w:bottom w:val="single" w:color="auto" w:sz="6" w:space="0"/>
              <w:right w:val="single" w:color="auto" w:sz="6" w:space="0"/>
              <w:tl2br w:val="nil"/>
              <w:tr2bl w:val="nil"/>
            </w:tcBorders>
            <w:noWrap/>
            <w:vAlign w:val="center"/>
          </w:tcPr>
          <w:p w14:paraId="472738A6">
            <w:pPr>
              <w:pStyle w:val="48"/>
              <w:spacing w:beforeLines="0" w:afterLines="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铲齿</w:t>
            </w:r>
          </w:p>
        </w:tc>
        <w:tc>
          <w:tcPr>
            <w:tcW w:w="1188" w:type="pct"/>
            <w:tcBorders>
              <w:top w:val="single" w:color="auto" w:sz="6" w:space="0"/>
              <w:left w:val="single" w:color="auto" w:sz="6" w:space="0"/>
              <w:bottom w:val="single" w:color="auto" w:sz="6" w:space="0"/>
              <w:right w:val="single" w:color="auto" w:sz="6" w:space="0"/>
              <w:tl2br w:val="nil"/>
              <w:tr2bl w:val="nil"/>
            </w:tcBorders>
            <w:noWrap/>
            <w:vAlign w:val="center"/>
          </w:tcPr>
          <w:p w14:paraId="40151E29">
            <w:pPr>
              <w:pStyle w:val="48"/>
              <w:spacing w:beforeLines="0" w:afterLines="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个</w:t>
            </w:r>
          </w:p>
        </w:tc>
        <w:tc>
          <w:tcPr>
            <w:tcW w:w="1443" w:type="pct"/>
            <w:tcBorders>
              <w:top w:val="single" w:color="auto" w:sz="6" w:space="0"/>
              <w:left w:val="single" w:color="auto" w:sz="6" w:space="0"/>
              <w:bottom w:val="single" w:color="auto" w:sz="6" w:space="0"/>
              <w:right w:val="single" w:color="auto" w:sz="4" w:space="0"/>
              <w:tl2br w:val="nil"/>
              <w:tr2bl w:val="nil"/>
            </w:tcBorders>
            <w:noWrap w:val="0"/>
            <w:vAlign w:val="center"/>
          </w:tcPr>
          <w:p w14:paraId="24030A19">
            <w:pPr>
              <w:pStyle w:val="48"/>
              <w:spacing w:beforeLines="0" w:afterLines="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80</w:t>
            </w:r>
          </w:p>
        </w:tc>
      </w:tr>
      <w:tr w14:paraId="2E4C3BB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02" w:hRule="atLeast"/>
        </w:trPr>
        <w:tc>
          <w:tcPr>
            <w:tcW w:w="779" w:type="pct"/>
            <w:tcBorders>
              <w:top w:val="single" w:color="auto" w:sz="6" w:space="0"/>
              <w:left w:val="single" w:color="auto" w:sz="4" w:space="0"/>
              <w:bottom w:val="single" w:color="auto" w:sz="6" w:space="0"/>
              <w:right w:val="single" w:color="auto" w:sz="6" w:space="0"/>
              <w:tl2br w:val="nil"/>
              <w:tr2bl w:val="nil"/>
            </w:tcBorders>
            <w:noWrap/>
            <w:vAlign w:val="center"/>
          </w:tcPr>
          <w:p w14:paraId="6B21D7EC">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w:t>
            </w:r>
          </w:p>
        </w:tc>
        <w:tc>
          <w:tcPr>
            <w:tcW w:w="1587" w:type="pct"/>
            <w:tcBorders>
              <w:top w:val="single" w:color="auto" w:sz="6" w:space="0"/>
              <w:left w:val="single" w:color="auto" w:sz="6" w:space="0"/>
              <w:bottom w:val="single" w:color="auto" w:sz="6" w:space="0"/>
              <w:right w:val="single" w:color="auto" w:sz="6" w:space="0"/>
              <w:tl2br w:val="nil"/>
              <w:tr2bl w:val="nil"/>
            </w:tcBorders>
            <w:shd w:val="clear" w:color="auto" w:fill="auto"/>
            <w:noWrap/>
            <w:vAlign w:val="center"/>
          </w:tcPr>
          <w:p w14:paraId="36C0F9E1">
            <w:pPr>
              <w:pStyle w:val="48"/>
              <w:spacing w:beforeLines="0" w:afterLines="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机油</w:t>
            </w:r>
          </w:p>
        </w:tc>
        <w:tc>
          <w:tcPr>
            <w:tcW w:w="1188" w:type="pct"/>
            <w:tcBorders>
              <w:top w:val="single" w:color="auto" w:sz="6" w:space="0"/>
              <w:left w:val="single" w:color="auto" w:sz="6" w:space="0"/>
              <w:bottom w:val="single" w:color="auto" w:sz="6" w:space="0"/>
              <w:right w:val="single" w:color="auto" w:sz="6" w:space="0"/>
              <w:tl2br w:val="nil"/>
              <w:tr2bl w:val="nil"/>
            </w:tcBorders>
            <w:shd w:val="clear" w:color="auto" w:fill="auto"/>
            <w:noWrap w:val="0"/>
            <w:vAlign w:val="center"/>
          </w:tcPr>
          <w:p w14:paraId="1EDDF103">
            <w:pPr>
              <w:pStyle w:val="48"/>
              <w:spacing w:beforeLines="0" w:afterLines="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kg</w:t>
            </w:r>
          </w:p>
        </w:tc>
        <w:tc>
          <w:tcPr>
            <w:tcW w:w="1443" w:type="pct"/>
            <w:tcBorders>
              <w:top w:val="single" w:color="auto" w:sz="6" w:space="0"/>
              <w:left w:val="single" w:color="auto" w:sz="6" w:space="0"/>
              <w:bottom w:val="single" w:color="auto" w:sz="6" w:space="0"/>
              <w:right w:val="single" w:color="auto" w:sz="4" w:space="0"/>
              <w:tl2br w:val="nil"/>
              <w:tr2bl w:val="nil"/>
            </w:tcBorders>
            <w:shd w:val="clear" w:color="auto" w:fill="auto"/>
            <w:noWrap w:val="0"/>
            <w:vAlign w:val="center"/>
          </w:tcPr>
          <w:p w14:paraId="36FA8685">
            <w:pPr>
              <w:pStyle w:val="48"/>
              <w:spacing w:beforeLines="0" w:afterLines="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1600</w:t>
            </w:r>
          </w:p>
        </w:tc>
      </w:tr>
      <w:tr w14:paraId="21134A2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02" w:hRule="atLeast"/>
        </w:trPr>
        <w:tc>
          <w:tcPr>
            <w:tcW w:w="779" w:type="pct"/>
            <w:tcBorders>
              <w:top w:val="single" w:color="auto" w:sz="6" w:space="0"/>
              <w:left w:val="single" w:color="auto" w:sz="4" w:space="0"/>
              <w:bottom w:val="single" w:color="auto" w:sz="6" w:space="0"/>
              <w:right w:val="single" w:color="auto" w:sz="6" w:space="0"/>
              <w:tl2br w:val="nil"/>
              <w:tr2bl w:val="nil"/>
            </w:tcBorders>
            <w:noWrap/>
            <w:vAlign w:val="center"/>
          </w:tcPr>
          <w:p w14:paraId="3C8943BC">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w:t>
            </w:r>
          </w:p>
        </w:tc>
        <w:tc>
          <w:tcPr>
            <w:tcW w:w="1587" w:type="pct"/>
            <w:tcBorders>
              <w:top w:val="single" w:color="auto" w:sz="6" w:space="0"/>
              <w:left w:val="single" w:color="auto" w:sz="6" w:space="0"/>
              <w:bottom w:val="single" w:color="auto" w:sz="6" w:space="0"/>
              <w:right w:val="single" w:color="auto" w:sz="6" w:space="0"/>
              <w:tl2br w:val="nil"/>
              <w:tr2bl w:val="nil"/>
            </w:tcBorders>
            <w:shd w:val="clear" w:color="auto" w:fill="auto"/>
            <w:noWrap/>
            <w:vAlign w:val="center"/>
          </w:tcPr>
          <w:p w14:paraId="7774AAE2">
            <w:pPr>
              <w:pStyle w:val="48"/>
              <w:spacing w:beforeLines="0" w:afterLines="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柴油</w:t>
            </w:r>
          </w:p>
        </w:tc>
        <w:tc>
          <w:tcPr>
            <w:tcW w:w="1188" w:type="pct"/>
            <w:tcBorders>
              <w:top w:val="single" w:color="auto" w:sz="6" w:space="0"/>
              <w:left w:val="single" w:color="auto" w:sz="6" w:space="0"/>
              <w:bottom w:val="single" w:color="auto" w:sz="6" w:space="0"/>
              <w:right w:val="single" w:color="auto" w:sz="6" w:space="0"/>
              <w:tl2br w:val="nil"/>
              <w:tr2bl w:val="nil"/>
            </w:tcBorders>
            <w:shd w:val="clear" w:color="auto" w:fill="auto"/>
            <w:noWrap/>
            <w:vAlign w:val="center"/>
          </w:tcPr>
          <w:p w14:paraId="68FAB555">
            <w:pPr>
              <w:pStyle w:val="48"/>
              <w:spacing w:beforeLines="0" w:afterLines="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kg</w:t>
            </w:r>
          </w:p>
        </w:tc>
        <w:tc>
          <w:tcPr>
            <w:tcW w:w="1443" w:type="pct"/>
            <w:tcBorders>
              <w:top w:val="single" w:color="auto" w:sz="6" w:space="0"/>
              <w:left w:val="single" w:color="auto" w:sz="6" w:space="0"/>
              <w:bottom w:val="single" w:color="auto" w:sz="6" w:space="0"/>
              <w:right w:val="single" w:color="auto" w:sz="4" w:space="0"/>
              <w:tl2br w:val="nil"/>
              <w:tr2bl w:val="nil"/>
            </w:tcBorders>
            <w:shd w:val="clear" w:color="auto" w:fill="auto"/>
            <w:noWrap w:val="0"/>
            <w:vAlign w:val="center"/>
          </w:tcPr>
          <w:p w14:paraId="773479E2">
            <w:pPr>
              <w:pStyle w:val="48"/>
              <w:spacing w:beforeLines="0" w:afterLines="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256000</w:t>
            </w:r>
          </w:p>
        </w:tc>
      </w:tr>
      <w:tr w14:paraId="41616ED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02" w:hRule="atLeast"/>
        </w:trPr>
        <w:tc>
          <w:tcPr>
            <w:tcW w:w="779" w:type="pct"/>
            <w:tcBorders>
              <w:top w:val="single" w:color="auto" w:sz="6" w:space="0"/>
              <w:left w:val="single" w:color="auto" w:sz="4" w:space="0"/>
              <w:bottom w:val="single" w:color="auto" w:sz="6" w:space="0"/>
              <w:right w:val="single" w:color="auto" w:sz="6" w:space="0"/>
              <w:tl2br w:val="nil"/>
              <w:tr2bl w:val="nil"/>
            </w:tcBorders>
            <w:noWrap/>
            <w:vAlign w:val="center"/>
          </w:tcPr>
          <w:p w14:paraId="6F28E17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w:t>
            </w:r>
          </w:p>
        </w:tc>
        <w:tc>
          <w:tcPr>
            <w:tcW w:w="1587" w:type="pct"/>
            <w:tcBorders>
              <w:top w:val="single" w:color="auto" w:sz="6" w:space="0"/>
              <w:left w:val="single" w:color="auto" w:sz="6" w:space="0"/>
              <w:bottom w:val="single" w:color="auto" w:sz="6" w:space="0"/>
              <w:right w:val="single" w:color="auto" w:sz="6" w:space="0"/>
              <w:tl2br w:val="nil"/>
              <w:tr2bl w:val="nil"/>
            </w:tcBorders>
            <w:shd w:val="clear" w:color="auto" w:fill="auto"/>
            <w:noWrap/>
            <w:vAlign w:val="center"/>
          </w:tcPr>
          <w:p w14:paraId="2EFFA06A">
            <w:pPr>
              <w:pStyle w:val="48"/>
              <w:spacing w:beforeLines="0" w:afterLines="0"/>
              <w:ind w:left="0" w:leftChars="0" w:firstLine="0" w:firstLineChars="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水</w:t>
            </w:r>
          </w:p>
        </w:tc>
        <w:tc>
          <w:tcPr>
            <w:tcW w:w="1188" w:type="pct"/>
            <w:tcBorders>
              <w:top w:val="single" w:color="auto" w:sz="6" w:space="0"/>
              <w:left w:val="single" w:color="auto" w:sz="6" w:space="0"/>
              <w:bottom w:val="single" w:color="auto" w:sz="6" w:space="0"/>
              <w:right w:val="single" w:color="auto" w:sz="6" w:space="0"/>
              <w:tl2br w:val="nil"/>
              <w:tr2bl w:val="nil"/>
            </w:tcBorders>
            <w:shd w:val="clear" w:color="auto" w:fill="auto"/>
            <w:noWrap w:val="0"/>
            <w:vAlign w:val="center"/>
          </w:tcPr>
          <w:p w14:paraId="02EB5E25">
            <w:pPr>
              <w:pStyle w:val="48"/>
              <w:spacing w:beforeLines="0" w:afterLines="0"/>
              <w:ind w:left="0" w:leftChars="0" w:firstLine="0" w:firstLineChars="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t</w:t>
            </w:r>
          </w:p>
        </w:tc>
        <w:tc>
          <w:tcPr>
            <w:tcW w:w="1443" w:type="pct"/>
            <w:tcBorders>
              <w:top w:val="single" w:color="auto" w:sz="6" w:space="0"/>
              <w:left w:val="single" w:color="auto" w:sz="6" w:space="0"/>
              <w:bottom w:val="single" w:color="auto" w:sz="6" w:space="0"/>
              <w:right w:val="single" w:color="auto" w:sz="4" w:space="0"/>
              <w:tl2br w:val="nil"/>
              <w:tr2bl w:val="nil"/>
            </w:tcBorders>
            <w:shd w:val="clear" w:color="auto" w:fill="auto"/>
            <w:noWrap w:val="0"/>
            <w:vAlign w:val="center"/>
          </w:tcPr>
          <w:p w14:paraId="2147D1BB">
            <w:pPr>
              <w:pStyle w:val="48"/>
              <w:spacing w:beforeLines="0" w:afterLines="0"/>
              <w:ind w:left="0" w:leftChars="0" w:firstLine="0" w:firstLineChars="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57192</w:t>
            </w:r>
          </w:p>
        </w:tc>
      </w:tr>
      <w:tr w14:paraId="77240B5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02" w:hRule="atLeast"/>
        </w:trPr>
        <w:tc>
          <w:tcPr>
            <w:tcW w:w="779" w:type="pct"/>
            <w:tcBorders>
              <w:top w:val="single" w:color="auto" w:sz="6" w:space="0"/>
              <w:left w:val="single" w:color="auto" w:sz="4" w:space="0"/>
              <w:bottom w:val="single" w:color="auto" w:sz="6" w:space="0"/>
              <w:right w:val="single" w:color="auto" w:sz="6" w:space="0"/>
              <w:tl2br w:val="nil"/>
              <w:tr2bl w:val="nil"/>
            </w:tcBorders>
            <w:noWrap/>
            <w:vAlign w:val="center"/>
          </w:tcPr>
          <w:p w14:paraId="0CE10A4E">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5</w:t>
            </w:r>
          </w:p>
        </w:tc>
        <w:tc>
          <w:tcPr>
            <w:tcW w:w="1587" w:type="pct"/>
            <w:tcBorders>
              <w:top w:val="single" w:color="auto" w:sz="6" w:space="0"/>
              <w:left w:val="single" w:color="auto" w:sz="6" w:space="0"/>
              <w:bottom w:val="single" w:color="auto" w:sz="6" w:space="0"/>
              <w:right w:val="single" w:color="auto" w:sz="6" w:space="0"/>
              <w:tl2br w:val="nil"/>
              <w:tr2bl w:val="nil"/>
            </w:tcBorders>
            <w:shd w:val="clear" w:color="auto" w:fill="auto"/>
            <w:noWrap/>
            <w:vAlign w:val="center"/>
          </w:tcPr>
          <w:p w14:paraId="52B419BF">
            <w:pPr>
              <w:pStyle w:val="48"/>
              <w:spacing w:beforeLines="0" w:afterLines="0"/>
              <w:ind w:left="0" w:leftChars="0" w:firstLine="0" w:firstLineChars="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电</w:t>
            </w:r>
          </w:p>
        </w:tc>
        <w:tc>
          <w:tcPr>
            <w:tcW w:w="1188" w:type="pct"/>
            <w:tcBorders>
              <w:top w:val="single" w:color="auto" w:sz="6" w:space="0"/>
              <w:left w:val="single" w:color="auto" w:sz="6" w:space="0"/>
              <w:bottom w:val="single" w:color="auto" w:sz="6" w:space="0"/>
              <w:right w:val="single" w:color="auto" w:sz="6" w:space="0"/>
              <w:tl2br w:val="nil"/>
              <w:tr2bl w:val="nil"/>
            </w:tcBorders>
            <w:shd w:val="clear" w:color="auto" w:fill="auto"/>
            <w:noWrap w:val="0"/>
            <w:vAlign w:val="center"/>
          </w:tcPr>
          <w:p w14:paraId="380EC753">
            <w:pPr>
              <w:pStyle w:val="48"/>
              <w:spacing w:beforeLines="0" w:afterLines="0"/>
              <w:ind w:left="0" w:leftChars="0" w:firstLine="0" w:firstLineChars="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万kWh</w:t>
            </w:r>
          </w:p>
        </w:tc>
        <w:tc>
          <w:tcPr>
            <w:tcW w:w="1443" w:type="pct"/>
            <w:tcBorders>
              <w:top w:val="single" w:color="auto" w:sz="6" w:space="0"/>
              <w:left w:val="single" w:color="auto" w:sz="6" w:space="0"/>
              <w:bottom w:val="single" w:color="auto" w:sz="6" w:space="0"/>
              <w:right w:val="single" w:color="auto" w:sz="4" w:space="0"/>
              <w:tl2br w:val="nil"/>
              <w:tr2bl w:val="nil"/>
            </w:tcBorders>
            <w:shd w:val="clear" w:color="auto" w:fill="auto"/>
            <w:noWrap w:val="0"/>
            <w:vAlign w:val="center"/>
          </w:tcPr>
          <w:p w14:paraId="1973F4B8">
            <w:pPr>
              <w:pStyle w:val="48"/>
              <w:spacing w:beforeLines="0" w:afterLines="0"/>
              <w:ind w:left="0" w:leftChars="0" w:firstLine="0" w:firstLineChars="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82.02</w:t>
            </w:r>
          </w:p>
        </w:tc>
      </w:tr>
    </w:tbl>
    <w:p w14:paraId="33832584">
      <w:pPr>
        <w:pStyle w:val="3"/>
        <w:bidi w:val="0"/>
        <w:rPr>
          <w:rFonts w:hint="default"/>
        </w:rPr>
      </w:pPr>
      <w:bookmarkStart w:id="130" w:name="3.4矿山总平面布置"/>
      <w:bookmarkEnd w:id="130"/>
      <w:bookmarkStart w:id="131" w:name="bookmark18"/>
      <w:bookmarkEnd w:id="131"/>
      <w:bookmarkStart w:id="132" w:name="_Toc28045"/>
      <w:bookmarkStart w:id="133" w:name="_Toc20187"/>
      <w:r>
        <w:rPr>
          <w:rFonts w:hint="eastAsia" w:eastAsia="宋体"/>
          <w:lang w:val="en-US" w:eastAsia="zh-CN"/>
        </w:rPr>
        <w:t>土石方平衡</w:t>
      </w:r>
    </w:p>
    <w:p w14:paraId="09886332">
      <w:pPr>
        <w:rPr>
          <w:rFonts w:hint="eastAsia" w:eastAsia="宋体"/>
          <w:lang w:val="en-US" w:eastAsia="zh-CN"/>
        </w:rPr>
      </w:pPr>
      <w:r>
        <w:rPr>
          <w:rFonts w:hint="eastAsia" w:eastAsia="宋体"/>
          <w:lang w:val="en-US" w:eastAsia="zh-CN"/>
        </w:rPr>
        <w:t>本项目为露天开采石英砂矿，施工期主要为露天采场表土的剥离，采矿初期剥离的表土全部排至表土堆场，采取边开采，边复垦的原则用作露天采矿的复垦表土使用。本项目土石方平衡如下所示。</w:t>
      </w:r>
    </w:p>
    <w:p w14:paraId="7303A2E2">
      <w:pPr>
        <w:spacing w:line="240" w:lineRule="auto"/>
        <w:ind w:left="0" w:leftChars="0" w:firstLine="0" w:firstLineChars="0"/>
        <w:jc w:val="center"/>
        <w:rPr>
          <w:rFonts w:hint="default" w:eastAsia="宋体"/>
          <w:b/>
          <w:bCs/>
          <w:lang w:val="en-US" w:eastAsia="zh-CN"/>
        </w:rPr>
      </w:pPr>
      <w:r>
        <w:rPr>
          <w:rFonts w:hint="eastAsia" w:eastAsia="宋体"/>
          <w:b/>
          <w:bCs/>
          <w:lang w:val="en-US" w:eastAsia="zh-CN"/>
        </w:rPr>
        <w:t>表3.4-1   土石方平衡一览表</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43"/>
        <w:gridCol w:w="4643"/>
      </w:tblGrid>
      <w:tr w14:paraId="00641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00" w:type="pct"/>
          </w:tcPr>
          <w:p w14:paraId="23B676DF">
            <w:pPr>
              <w:spacing w:line="240" w:lineRule="auto"/>
              <w:ind w:left="0" w:leftChars="0" w:firstLine="0" w:firstLineChars="0"/>
              <w:jc w:val="center"/>
              <w:rPr>
                <w:rFonts w:hint="default" w:eastAsia="宋体"/>
                <w:vertAlign w:val="baseline"/>
                <w:lang w:val="en-US" w:eastAsia="zh-CN"/>
              </w:rPr>
            </w:pPr>
            <w:r>
              <w:rPr>
                <w:rFonts w:hint="eastAsia" w:eastAsia="宋体"/>
                <w:vertAlign w:val="baseline"/>
                <w:lang w:val="en-US" w:eastAsia="zh-CN"/>
              </w:rPr>
              <w:t>挖方（m</w:t>
            </w:r>
            <w:r>
              <w:rPr>
                <w:rFonts w:hint="eastAsia" w:eastAsia="宋体"/>
                <w:vertAlign w:val="superscript"/>
                <w:lang w:val="en-US" w:eastAsia="zh-CN"/>
              </w:rPr>
              <w:t>3</w:t>
            </w:r>
            <w:r>
              <w:rPr>
                <w:rFonts w:hint="eastAsia" w:eastAsia="宋体"/>
                <w:vertAlign w:val="baseline"/>
                <w:lang w:val="en-US" w:eastAsia="zh-CN"/>
              </w:rPr>
              <w:t>）</w:t>
            </w:r>
          </w:p>
        </w:tc>
        <w:tc>
          <w:tcPr>
            <w:tcW w:w="2500" w:type="pct"/>
          </w:tcPr>
          <w:p w14:paraId="46920FF5">
            <w:pPr>
              <w:spacing w:line="240" w:lineRule="auto"/>
              <w:jc w:val="center"/>
              <w:rPr>
                <w:rFonts w:hint="default" w:eastAsia="宋体"/>
                <w:vertAlign w:val="baseline"/>
                <w:lang w:val="en-US" w:eastAsia="zh-CN"/>
              </w:rPr>
            </w:pPr>
            <w:r>
              <w:rPr>
                <w:rFonts w:hint="eastAsia" w:eastAsia="宋体"/>
                <w:vertAlign w:val="baseline"/>
                <w:lang w:val="en-US" w:eastAsia="zh-CN"/>
              </w:rPr>
              <w:t>填方（m</w:t>
            </w:r>
            <w:r>
              <w:rPr>
                <w:rFonts w:hint="eastAsia" w:eastAsia="宋体"/>
                <w:vertAlign w:val="superscript"/>
                <w:lang w:val="en-US" w:eastAsia="zh-CN"/>
              </w:rPr>
              <w:t>3</w:t>
            </w:r>
            <w:r>
              <w:rPr>
                <w:rFonts w:hint="eastAsia" w:eastAsia="宋体"/>
                <w:vertAlign w:val="baseline"/>
                <w:lang w:val="en-US" w:eastAsia="zh-CN"/>
              </w:rPr>
              <w:t>）</w:t>
            </w:r>
          </w:p>
        </w:tc>
      </w:tr>
      <w:tr w14:paraId="1BC37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14:paraId="78EF8A17">
            <w:pPr>
              <w:spacing w:line="240" w:lineRule="auto"/>
              <w:jc w:val="center"/>
              <w:rPr>
                <w:rFonts w:hint="default" w:eastAsia="宋体"/>
                <w:vertAlign w:val="baseline"/>
                <w:lang w:val="en-US" w:eastAsia="zh-CN"/>
              </w:rPr>
            </w:pPr>
            <w:r>
              <w:rPr>
                <w:rFonts w:hint="default" w:ascii="Times New Roman" w:hAnsi="Times New Roman" w:cs="Times New Roman"/>
                <w:color w:val="auto"/>
                <w:highlight w:val="none"/>
                <w:lang w:val="en-US" w:eastAsia="zh-CN"/>
              </w:rPr>
              <w:t>12.9356万</w:t>
            </w:r>
          </w:p>
        </w:tc>
        <w:tc>
          <w:tcPr>
            <w:tcW w:w="2500" w:type="pct"/>
          </w:tcPr>
          <w:p w14:paraId="28E1ADD2">
            <w:pPr>
              <w:spacing w:line="240" w:lineRule="auto"/>
              <w:jc w:val="center"/>
              <w:rPr>
                <w:rFonts w:hint="default" w:eastAsia="宋体"/>
                <w:vertAlign w:val="baseline"/>
                <w:lang w:val="en-US" w:eastAsia="zh-CN"/>
              </w:rPr>
            </w:pPr>
            <w:r>
              <w:rPr>
                <w:rFonts w:hint="default" w:ascii="Times New Roman" w:hAnsi="Times New Roman" w:cs="Times New Roman"/>
                <w:color w:val="auto"/>
                <w:highlight w:val="none"/>
                <w:lang w:val="en-US" w:eastAsia="zh-CN"/>
              </w:rPr>
              <w:t>12.9356万</w:t>
            </w:r>
          </w:p>
        </w:tc>
      </w:tr>
    </w:tbl>
    <w:p w14:paraId="77BEC421">
      <w:pPr>
        <w:pStyle w:val="3"/>
        <w:bidi w:val="0"/>
        <w:rPr>
          <w:rFonts w:hint="default" w:ascii="宋体" w:hAnsi="宋体" w:eastAsia="宋体" w:cs="Times New Roman"/>
          <w:lang w:val="en-US" w:eastAsia="zh-CN"/>
        </w:rPr>
      </w:pPr>
      <w:r>
        <w:rPr>
          <w:rFonts w:hint="eastAsia" w:ascii="宋体" w:hAnsi="宋体" w:eastAsia="宋体" w:cs="Times New Roman"/>
          <w:lang w:val="en-US" w:eastAsia="zh-CN"/>
        </w:rPr>
        <w:t>物料平衡</w:t>
      </w:r>
    </w:p>
    <w:p w14:paraId="7B4D20AC">
      <w:pPr>
        <w:rPr>
          <w:rFonts w:hint="eastAsia" w:ascii="宋体" w:hAnsi="宋体" w:eastAsia="宋体" w:cs="Times New Roman"/>
          <w:lang w:val="en-US" w:eastAsia="zh-CN"/>
        </w:rPr>
      </w:pPr>
      <w:r>
        <w:rPr>
          <w:rFonts w:hint="eastAsia" w:ascii="宋体" w:hAnsi="宋体" w:eastAsia="宋体" w:cs="Times New Roman"/>
          <w:lang w:val="en-US" w:eastAsia="zh-CN"/>
        </w:rPr>
        <w:t>本项目物料平衡一览表如下：</w:t>
      </w:r>
    </w:p>
    <w:p w14:paraId="7C07D9AF">
      <w:pPr>
        <w:spacing w:line="240" w:lineRule="auto"/>
        <w:ind w:left="0" w:leftChars="0" w:firstLine="0" w:firstLineChars="0"/>
        <w:jc w:val="center"/>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表3.5-1   项目物料平衡一览表</w:t>
      </w:r>
    </w:p>
    <w:tbl>
      <w:tblPr>
        <w:tblStyle w:val="31"/>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117"/>
        <w:gridCol w:w="1890"/>
        <w:gridCol w:w="3308"/>
        <w:gridCol w:w="1964"/>
      </w:tblGrid>
      <w:tr w14:paraId="5D1BC1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trPr>
        <w:tc>
          <w:tcPr>
            <w:tcW w:w="215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82320">
            <w:pPr>
              <w:keepNext w:val="0"/>
              <w:keepLines w:val="0"/>
              <w:pageBreakBefore w:val="0"/>
              <w:widowControl/>
              <w:suppressLineNumbers w:val="0"/>
              <w:kinsoku/>
              <w:wordWrap/>
              <w:overflowPunct/>
              <w:topLinePunct w:val="0"/>
              <w:bidi w:val="0"/>
              <w:snapToGrid/>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进方（万t）</w:t>
            </w:r>
          </w:p>
        </w:tc>
        <w:tc>
          <w:tcPr>
            <w:tcW w:w="284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B01AC">
            <w:pPr>
              <w:keepNext w:val="0"/>
              <w:keepLines w:val="0"/>
              <w:pageBreakBefore w:val="0"/>
              <w:widowControl/>
              <w:suppressLineNumbers w:val="0"/>
              <w:kinsoku/>
              <w:wordWrap/>
              <w:overflowPunct/>
              <w:topLinePunct w:val="0"/>
              <w:bidi w:val="0"/>
              <w:snapToGrid/>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出方（万t）</w:t>
            </w:r>
          </w:p>
        </w:tc>
      </w:tr>
      <w:tr w14:paraId="5325B1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11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A73D2">
            <w:pPr>
              <w:keepNext w:val="0"/>
              <w:keepLines w:val="0"/>
              <w:pageBreakBefore w:val="0"/>
              <w:widowControl/>
              <w:suppressLineNumbers w:val="0"/>
              <w:kinsoku/>
              <w:wordWrap/>
              <w:overflowPunct/>
              <w:topLinePunct w:val="0"/>
              <w:bidi w:val="0"/>
              <w:snapToGrid/>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采矿总量</w:t>
            </w:r>
          </w:p>
        </w:tc>
        <w:tc>
          <w:tcPr>
            <w:tcW w:w="10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A9E80">
            <w:pPr>
              <w:keepNext w:val="0"/>
              <w:keepLines w:val="0"/>
              <w:pageBreakBefore w:val="0"/>
              <w:widowControl/>
              <w:suppressLineNumbers w:val="0"/>
              <w:kinsoku/>
              <w:wordWrap/>
              <w:overflowPunct/>
              <w:topLinePunct w:val="0"/>
              <w:bidi w:val="0"/>
              <w:snapToGrid/>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c>
          <w:tcPr>
            <w:tcW w:w="17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22D2E">
            <w:pPr>
              <w:keepNext w:val="0"/>
              <w:keepLines w:val="0"/>
              <w:pageBreakBefore w:val="0"/>
              <w:widowControl/>
              <w:suppressLineNumbers w:val="0"/>
              <w:kinsoku/>
              <w:wordWrap/>
              <w:overflowPunct/>
              <w:topLinePunct w:val="0"/>
              <w:bidi w:val="0"/>
              <w:snapToGrid/>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20-40目（产品）</w:t>
            </w:r>
          </w:p>
        </w:tc>
        <w:tc>
          <w:tcPr>
            <w:tcW w:w="10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A6846">
            <w:pPr>
              <w:keepNext w:val="0"/>
              <w:keepLines w:val="0"/>
              <w:pageBreakBefore w:val="0"/>
              <w:widowControl/>
              <w:suppressLineNumbers w:val="0"/>
              <w:kinsoku/>
              <w:wordWrap/>
              <w:overflowPunct/>
              <w:topLinePunct w:val="0"/>
              <w:bidi w:val="0"/>
              <w:snapToGrid/>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4.608</w:t>
            </w:r>
          </w:p>
        </w:tc>
      </w:tr>
      <w:tr w14:paraId="04168E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11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1902B">
            <w:pPr>
              <w:keepNext w:val="0"/>
              <w:keepLines w:val="0"/>
              <w:pageBreakBefore w:val="0"/>
              <w:widowControl/>
              <w:kinsoku/>
              <w:wordWrap/>
              <w:overflowPunct/>
              <w:topLinePunct w:val="0"/>
              <w:bidi w:val="0"/>
              <w:snapToGrid/>
              <w:spacing w:line="240" w:lineRule="auto"/>
              <w:ind w:firstLine="0" w:firstLineChars="0"/>
              <w:jc w:val="center"/>
              <w:rPr>
                <w:rFonts w:hint="eastAsia" w:ascii="宋体" w:hAnsi="宋体" w:eastAsia="宋体" w:cs="宋体"/>
                <w:i w:val="0"/>
                <w:iCs w:val="0"/>
                <w:color w:val="000000"/>
                <w:sz w:val="22"/>
                <w:szCs w:val="22"/>
                <w:u w:val="none"/>
              </w:rPr>
            </w:pPr>
          </w:p>
        </w:tc>
        <w:tc>
          <w:tcPr>
            <w:tcW w:w="10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DA492">
            <w:pPr>
              <w:keepNext w:val="0"/>
              <w:keepLines w:val="0"/>
              <w:pageBreakBefore w:val="0"/>
              <w:widowControl/>
              <w:kinsoku/>
              <w:wordWrap/>
              <w:overflowPunct/>
              <w:topLinePunct w:val="0"/>
              <w:bidi w:val="0"/>
              <w:snapToGrid/>
              <w:spacing w:line="240" w:lineRule="auto"/>
              <w:ind w:firstLine="0" w:firstLineChars="0"/>
              <w:jc w:val="center"/>
              <w:rPr>
                <w:rFonts w:hint="eastAsia" w:ascii="宋体" w:hAnsi="宋体" w:eastAsia="宋体" w:cs="宋体"/>
                <w:i w:val="0"/>
                <w:iCs w:val="0"/>
                <w:color w:val="000000"/>
                <w:sz w:val="22"/>
                <w:szCs w:val="22"/>
                <w:u w:val="none"/>
              </w:rPr>
            </w:pPr>
          </w:p>
        </w:tc>
        <w:tc>
          <w:tcPr>
            <w:tcW w:w="17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C073F">
            <w:pPr>
              <w:keepNext w:val="0"/>
              <w:keepLines w:val="0"/>
              <w:pageBreakBefore w:val="0"/>
              <w:widowControl/>
              <w:suppressLineNumbers w:val="0"/>
              <w:kinsoku/>
              <w:wordWrap/>
              <w:overflowPunct/>
              <w:topLinePunct w:val="0"/>
              <w:bidi w:val="0"/>
              <w:snapToGrid/>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40-70目（产品）</w:t>
            </w:r>
          </w:p>
        </w:tc>
        <w:tc>
          <w:tcPr>
            <w:tcW w:w="10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8B2EE">
            <w:pPr>
              <w:keepNext w:val="0"/>
              <w:keepLines w:val="0"/>
              <w:pageBreakBefore w:val="0"/>
              <w:widowControl/>
              <w:suppressLineNumbers w:val="0"/>
              <w:kinsoku/>
              <w:wordWrap/>
              <w:overflowPunct/>
              <w:topLinePunct w:val="0"/>
              <w:bidi w:val="0"/>
              <w:snapToGrid/>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29.392</w:t>
            </w:r>
          </w:p>
        </w:tc>
      </w:tr>
      <w:tr w14:paraId="44D652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11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89BA4">
            <w:pPr>
              <w:keepNext w:val="0"/>
              <w:keepLines w:val="0"/>
              <w:pageBreakBefore w:val="0"/>
              <w:widowControl/>
              <w:kinsoku/>
              <w:wordWrap/>
              <w:overflowPunct/>
              <w:topLinePunct w:val="0"/>
              <w:bidi w:val="0"/>
              <w:snapToGrid/>
              <w:spacing w:line="240" w:lineRule="auto"/>
              <w:ind w:firstLine="0" w:firstLineChars="0"/>
              <w:jc w:val="center"/>
              <w:rPr>
                <w:rFonts w:hint="eastAsia" w:ascii="宋体" w:hAnsi="宋体" w:eastAsia="宋体" w:cs="宋体"/>
                <w:i w:val="0"/>
                <w:iCs w:val="0"/>
                <w:color w:val="000000"/>
                <w:sz w:val="22"/>
                <w:szCs w:val="22"/>
                <w:u w:val="none"/>
              </w:rPr>
            </w:pPr>
          </w:p>
        </w:tc>
        <w:tc>
          <w:tcPr>
            <w:tcW w:w="10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83FDC">
            <w:pPr>
              <w:keepNext w:val="0"/>
              <w:keepLines w:val="0"/>
              <w:pageBreakBefore w:val="0"/>
              <w:widowControl/>
              <w:kinsoku/>
              <w:wordWrap/>
              <w:overflowPunct/>
              <w:topLinePunct w:val="0"/>
              <w:bidi w:val="0"/>
              <w:snapToGrid/>
              <w:spacing w:line="240" w:lineRule="auto"/>
              <w:ind w:firstLine="0" w:firstLineChars="0"/>
              <w:jc w:val="center"/>
              <w:rPr>
                <w:rFonts w:hint="eastAsia" w:ascii="宋体" w:hAnsi="宋体" w:eastAsia="宋体" w:cs="宋体"/>
                <w:i w:val="0"/>
                <w:iCs w:val="0"/>
                <w:color w:val="000000"/>
                <w:sz w:val="22"/>
                <w:szCs w:val="22"/>
                <w:u w:val="none"/>
              </w:rPr>
            </w:pPr>
          </w:p>
        </w:tc>
        <w:tc>
          <w:tcPr>
            <w:tcW w:w="17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B7BDC">
            <w:pPr>
              <w:keepNext w:val="0"/>
              <w:keepLines w:val="0"/>
              <w:pageBreakBefore w:val="0"/>
              <w:widowControl/>
              <w:suppressLineNumbers w:val="0"/>
              <w:kinsoku/>
              <w:wordWrap/>
              <w:overflowPunct/>
              <w:topLinePunct w:val="0"/>
              <w:bidi w:val="0"/>
              <w:snapToGrid/>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70-140目（废料）</w:t>
            </w:r>
          </w:p>
        </w:tc>
        <w:tc>
          <w:tcPr>
            <w:tcW w:w="10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B77A7">
            <w:pPr>
              <w:keepNext w:val="0"/>
              <w:keepLines w:val="0"/>
              <w:pageBreakBefore w:val="0"/>
              <w:widowControl/>
              <w:suppressLineNumbers w:val="0"/>
              <w:kinsoku/>
              <w:wordWrap/>
              <w:overflowPunct/>
              <w:topLinePunct w:val="0"/>
              <w:bidi w:val="0"/>
              <w:snapToGrid/>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35.528</w:t>
            </w:r>
          </w:p>
        </w:tc>
      </w:tr>
      <w:tr w14:paraId="3890EC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11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2335B">
            <w:pPr>
              <w:keepNext w:val="0"/>
              <w:keepLines w:val="0"/>
              <w:pageBreakBefore w:val="0"/>
              <w:widowControl/>
              <w:kinsoku/>
              <w:wordWrap/>
              <w:overflowPunct/>
              <w:topLinePunct w:val="0"/>
              <w:bidi w:val="0"/>
              <w:snapToGrid/>
              <w:spacing w:line="240" w:lineRule="auto"/>
              <w:ind w:firstLine="0" w:firstLineChars="0"/>
              <w:jc w:val="center"/>
              <w:rPr>
                <w:rFonts w:hint="eastAsia" w:ascii="宋体" w:hAnsi="宋体" w:eastAsia="宋体" w:cs="宋体"/>
                <w:i w:val="0"/>
                <w:iCs w:val="0"/>
                <w:color w:val="000000"/>
                <w:sz w:val="22"/>
                <w:szCs w:val="22"/>
                <w:u w:val="none"/>
              </w:rPr>
            </w:pPr>
          </w:p>
        </w:tc>
        <w:tc>
          <w:tcPr>
            <w:tcW w:w="10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B3623">
            <w:pPr>
              <w:keepNext w:val="0"/>
              <w:keepLines w:val="0"/>
              <w:pageBreakBefore w:val="0"/>
              <w:widowControl/>
              <w:kinsoku/>
              <w:wordWrap/>
              <w:overflowPunct/>
              <w:topLinePunct w:val="0"/>
              <w:bidi w:val="0"/>
              <w:snapToGrid/>
              <w:spacing w:line="240" w:lineRule="auto"/>
              <w:ind w:firstLine="0" w:firstLineChars="0"/>
              <w:jc w:val="center"/>
              <w:rPr>
                <w:rFonts w:hint="eastAsia" w:ascii="宋体" w:hAnsi="宋体" w:eastAsia="宋体" w:cs="宋体"/>
                <w:i w:val="0"/>
                <w:iCs w:val="0"/>
                <w:color w:val="000000"/>
                <w:sz w:val="22"/>
                <w:szCs w:val="22"/>
                <w:u w:val="none"/>
              </w:rPr>
            </w:pPr>
          </w:p>
        </w:tc>
        <w:tc>
          <w:tcPr>
            <w:tcW w:w="17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5A470">
            <w:pPr>
              <w:keepNext w:val="0"/>
              <w:keepLines w:val="0"/>
              <w:pageBreakBefore w:val="0"/>
              <w:widowControl/>
              <w:suppressLineNumbers w:val="0"/>
              <w:kinsoku/>
              <w:wordWrap/>
              <w:overflowPunct/>
              <w:topLinePunct w:val="0"/>
              <w:bidi w:val="0"/>
              <w:snapToGrid/>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废土</w:t>
            </w:r>
          </w:p>
        </w:tc>
        <w:tc>
          <w:tcPr>
            <w:tcW w:w="10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ECF70">
            <w:pPr>
              <w:keepNext w:val="0"/>
              <w:keepLines w:val="0"/>
              <w:pageBreakBefore w:val="0"/>
              <w:widowControl/>
              <w:suppressLineNumbers w:val="0"/>
              <w:kinsoku/>
              <w:wordWrap/>
              <w:overflowPunct/>
              <w:topLinePunct w:val="0"/>
              <w:bidi w:val="0"/>
              <w:snapToGrid/>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10.472</w:t>
            </w:r>
          </w:p>
        </w:tc>
      </w:tr>
      <w:tr w14:paraId="1860E1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11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D07F3">
            <w:pPr>
              <w:keepNext w:val="0"/>
              <w:keepLines w:val="0"/>
              <w:pageBreakBefore w:val="0"/>
              <w:widowControl/>
              <w:kinsoku/>
              <w:wordWrap/>
              <w:overflowPunct/>
              <w:topLinePunct w:val="0"/>
              <w:bidi w:val="0"/>
              <w:snapToGrid/>
              <w:spacing w:line="240" w:lineRule="auto"/>
              <w:ind w:firstLine="0" w:firstLineChars="0"/>
              <w:jc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合计</w:t>
            </w:r>
          </w:p>
        </w:tc>
        <w:tc>
          <w:tcPr>
            <w:tcW w:w="10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A1948">
            <w:pPr>
              <w:keepNext w:val="0"/>
              <w:keepLines w:val="0"/>
              <w:pageBreakBefore w:val="0"/>
              <w:widowControl/>
              <w:kinsoku/>
              <w:wordWrap/>
              <w:overflowPunct/>
              <w:topLinePunct w:val="0"/>
              <w:bidi w:val="0"/>
              <w:snapToGrid/>
              <w:spacing w:line="240" w:lineRule="auto"/>
              <w:ind w:firstLine="0" w:firstLineChars="0"/>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80</w:t>
            </w:r>
          </w:p>
        </w:tc>
        <w:tc>
          <w:tcPr>
            <w:tcW w:w="17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BB85C">
            <w:pPr>
              <w:keepNext w:val="0"/>
              <w:keepLines w:val="0"/>
              <w:pageBreakBefore w:val="0"/>
              <w:widowControl/>
              <w:suppressLineNumbers w:val="0"/>
              <w:kinsoku/>
              <w:wordWrap/>
              <w:overflowPunct/>
              <w:topLinePunct w:val="0"/>
              <w:bidi w:val="0"/>
              <w:snapToGrid/>
              <w:spacing w:line="240" w:lineRule="auto"/>
              <w:ind w:firstLine="0" w:firstLineChars="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0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A8574">
            <w:pPr>
              <w:keepNext w:val="0"/>
              <w:keepLines w:val="0"/>
              <w:pageBreakBefore w:val="0"/>
              <w:widowControl/>
              <w:suppressLineNumbers w:val="0"/>
              <w:kinsoku/>
              <w:wordWrap/>
              <w:overflowPunct/>
              <w:topLinePunct w:val="0"/>
              <w:bidi w:val="0"/>
              <w:snapToGrid/>
              <w:spacing w:line="240" w:lineRule="auto"/>
              <w:ind w:firstLine="0" w:firstLineChars="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w:t>
            </w:r>
          </w:p>
        </w:tc>
      </w:tr>
    </w:tbl>
    <w:p w14:paraId="20C4BEBF">
      <w:pPr>
        <w:rPr>
          <w:rFonts w:hint="default"/>
          <w:lang w:val="en-US" w:eastAsia="zh-CN"/>
        </w:rPr>
      </w:pPr>
    </w:p>
    <w:p w14:paraId="789BDCCA">
      <w:pPr>
        <w:pStyle w:val="3"/>
        <w:bidi w:val="0"/>
        <w:rPr>
          <w:rFonts w:hint="default"/>
        </w:rPr>
      </w:pPr>
      <w:r>
        <w:rPr>
          <w:rFonts w:hint="default"/>
        </w:rPr>
        <w:t>矿山总平面布置</w:t>
      </w:r>
      <w:bookmarkEnd w:id="132"/>
      <w:bookmarkEnd w:id="133"/>
    </w:p>
    <w:p w14:paraId="0E1C0547">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矿区设置有露天采矿场、</w:t>
      </w:r>
      <w:r>
        <w:rPr>
          <w:rFonts w:hint="default" w:ascii="Times New Roman" w:hAnsi="Times New Roman" w:cs="Times New Roman"/>
          <w:color w:val="auto"/>
          <w:sz w:val="24"/>
          <w:szCs w:val="24"/>
          <w:highlight w:val="none"/>
          <w:lang w:val="en-US" w:eastAsia="zh-CN"/>
        </w:rPr>
        <w:t>排土场（</w:t>
      </w:r>
      <w:r>
        <w:rPr>
          <w:rFonts w:hint="default" w:ascii="Times New Roman" w:hAnsi="Times New Roman" w:cs="Times New Roman"/>
          <w:color w:val="auto"/>
          <w:sz w:val="24"/>
          <w:szCs w:val="24"/>
          <w:highlight w:val="none"/>
        </w:rPr>
        <w:t>废料堆场</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、筛分工业场地、表土堆场、办公生活区及矿山道路等。本项目平面布置见图3.</w:t>
      </w:r>
      <w:r>
        <w:rPr>
          <w:rFonts w:hint="eastAsia" w:cs="Times New Roman"/>
          <w:color w:val="auto"/>
          <w:sz w:val="24"/>
          <w:szCs w:val="24"/>
          <w:highlight w:val="none"/>
          <w:lang w:val="en-US" w:eastAsia="zh-CN"/>
        </w:rPr>
        <w:t>6</w:t>
      </w:r>
      <w:r>
        <w:rPr>
          <w:rFonts w:hint="default" w:ascii="Times New Roman" w:hAnsi="Times New Roman" w:cs="Times New Roman"/>
          <w:color w:val="auto"/>
          <w:sz w:val="24"/>
          <w:szCs w:val="24"/>
          <w:highlight w:val="none"/>
        </w:rPr>
        <w:t>-1。</w:t>
      </w:r>
    </w:p>
    <w:p w14:paraId="593913AE">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（1）露天采矿场</w:t>
      </w:r>
    </w:p>
    <w:p w14:paraId="461E5FBE">
      <w:pPr>
        <w:spacing w:beforeLines="0" w:afterLines="0"/>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1）露天采场</w:t>
      </w:r>
    </w:p>
    <w:p w14:paraId="2854672B">
      <w:pPr>
        <w:autoSpaceDE/>
        <w:autoSpaceDN/>
        <w:adjustRightInd/>
        <w:spacing w:beforeLines="0" w:afterLines="0"/>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全矿设置1个露天采场。</w:t>
      </w:r>
      <w:r>
        <w:rPr>
          <w:rFonts w:hint="default" w:ascii="Times New Roman" w:hAnsi="Times New Roman" w:cs="Times New Roman"/>
          <w:color w:val="auto"/>
          <w:sz w:val="24"/>
          <w:szCs w:val="24"/>
          <w:highlight w:val="none"/>
          <w:lang w:val="en-US" w:eastAsia="zh-CN"/>
        </w:rPr>
        <w:t>露天采场共有4</w:t>
      </w:r>
      <w:r>
        <w:rPr>
          <w:rFonts w:hint="default" w:ascii="Times New Roman" w:hAnsi="Times New Roman" w:cs="Times New Roman"/>
          <w:color w:val="auto"/>
          <w:sz w:val="24"/>
          <w:szCs w:val="24"/>
          <w:highlight w:val="none"/>
        </w:rPr>
        <w:t>个最终台段，台阶高度</w:t>
      </w:r>
      <w:r>
        <w:rPr>
          <w:rFonts w:hint="default" w:ascii="Times New Roman" w:hAnsi="Times New Roman" w:cs="Times New Roman"/>
          <w:color w:val="auto"/>
          <w:sz w:val="24"/>
          <w:szCs w:val="24"/>
          <w:highlight w:val="none"/>
          <w:lang w:val="en-US" w:eastAsia="zh-CN"/>
        </w:rPr>
        <w:t>10</w:t>
      </w:r>
      <w:r>
        <w:rPr>
          <w:rFonts w:hint="default" w:ascii="Times New Roman" w:hAnsi="Times New Roman" w:cs="Times New Roman"/>
          <w:color w:val="auto"/>
          <w:sz w:val="24"/>
          <w:szCs w:val="24"/>
          <w:highlight w:val="none"/>
        </w:rPr>
        <w:t>m，台阶标高为</w:t>
      </w:r>
      <w:r>
        <w:rPr>
          <w:rFonts w:hint="default" w:ascii="Times New Roman" w:hAnsi="Times New Roman" w:cs="Times New Roman"/>
          <w:color w:val="auto"/>
          <w:sz w:val="24"/>
          <w:szCs w:val="24"/>
          <w:highlight w:val="none"/>
          <w:lang w:val="en-US" w:eastAsia="zh-CN"/>
        </w:rPr>
        <w:t>615m，605m，595</w:t>
      </w:r>
      <w:r>
        <w:rPr>
          <w:rFonts w:hint="default" w:ascii="Times New Roman" w:hAnsi="Times New Roman" w:cs="Times New Roman"/>
          <w:color w:val="auto"/>
          <w:sz w:val="24"/>
          <w:szCs w:val="24"/>
          <w:highlight w:val="none"/>
          <w:lang w:eastAsia="zh-CN"/>
        </w:rPr>
        <w:t>m，585m，</w:t>
      </w:r>
      <w:r>
        <w:rPr>
          <w:rFonts w:hint="default" w:ascii="Times New Roman" w:hAnsi="Times New Roman" w:cs="Times New Roman"/>
          <w:color w:val="auto"/>
          <w:sz w:val="24"/>
          <w:szCs w:val="24"/>
          <w:highlight w:val="none"/>
          <w:lang w:val="en-US" w:eastAsia="zh-CN"/>
        </w:rPr>
        <w:t>采场占地</w:t>
      </w:r>
      <w:r>
        <w:rPr>
          <w:rFonts w:hint="default" w:ascii="Times New Roman" w:hAnsi="Times New Roman" w:cs="Times New Roman"/>
          <w:color w:val="auto"/>
          <w:sz w:val="24"/>
          <w:szCs w:val="24"/>
          <w:highlight w:val="none"/>
          <w:lang w:eastAsia="zh-CN"/>
        </w:rPr>
        <w:t>93</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eastAsia="zh-CN"/>
        </w:rPr>
        <w:t>84</w:t>
      </w:r>
      <w:r>
        <w:rPr>
          <w:rFonts w:hint="default" w:ascii="Times New Roman" w:hAnsi="Times New Roman" w:cs="Times New Roman"/>
          <w:color w:val="auto"/>
          <w:sz w:val="24"/>
          <w:szCs w:val="24"/>
          <w:highlight w:val="none"/>
        </w:rPr>
        <w:t>万m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设计台阶坡面角30°，最终帮坡角24-30°，</w:t>
      </w:r>
      <w:r>
        <w:rPr>
          <w:rFonts w:hint="default" w:ascii="Times New Roman" w:hAnsi="Times New Roman" w:cs="Times New Roman"/>
          <w:color w:val="auto"/>
          <w:sz w:val="24"/>
          <w:szCs w:val="24"/>
          <w:highlight w:val="none"/>
        </w:rPr>
        <w:t>开采标高</w:t>
      </w:r>
      <w:r>
        <w:rPr>
          <w:rFonts w:hint="default" w:ascii="Times New Roman" w:hAnsi="Times New Roman" w:cs="Times New Roman"/>
          <w:color w:val="auto"/>
          <w:sz w:val="24"/>
          <w:szCs w:val="24"/>
          <w:highlight w:val="none"/>
          <w:lang w:eastAsia="zh-CN"/>
        </w:rPr>
        <w:t>623</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eastAsia="zh-CN"/>
        </w:rPr>
        <w:t>585</w:t>
      </w:r>
      <w:r>
        <w:rPr>
          <w:rFonts w:hint="default" w:ascii="Times New Roman" w:hAnsi="Times New Roman" w:cs="Times New Roman"/>
          <w:color w:val="auto"/>
          <w:sz w:val="24"/>
          <w:szCs w:val="24"/>
          <w:highlight w:val="none"/>
        </w:rPr>
        <w:t>m。</w:t>
      </w:r>
    </w:p>
    <w:p w14:paraId="6310042B">
      <w:pPr>
        <w:spacing w:beforeLines="0" w:afterLines="0"/>
        <w:rPr>
          <w:rFonts w:hint="default" w:ascii="Times New Roman" w:hAnsi="Times New Roman" w:cs="Times New Roman"/>
          <w:color w:val="auto"/>
          <w:kern w:val="2"/>
          <w:sz w:val="24"/>
          <w:szCs w:val="24"/>
          <w:highlight w:val="none"/>
          <w:lang w:val="en-US" w:eastAsia="zh-CN" w:bidi="ar-SA"/>
        </w:rPr>
      </w:pPr>
      <w:r>
        <w:rPr>
          <w:rFonts w:hint="default" w:ascii="Times New Roman" w:hAnsi="Times New Roman" w:cs="Times New Roman"/>
          <w:color w:val="auto"/>
          <w:kern w:val="2"/>
          <w:sz w:val="24"/>
          <w:szCs w:val="24"/>
          <w:highlight w:val="none"/>
          <w:lang w:val="en-US" w:eastAsia="zh-CN" w:bidi="ar-SA"/>
        </w:rPr>
        <w:t>露天采场用地类型为天然牧草地，面积为933607平方米。</w:t>
      </w:r>
    </w:p>
    <w:p w14:paraId="0F9EFE64">
      <w:pPr>
        <w:autoSpaceDE/>
        <w:autoSpaceDN/>
        <w:adjustRightInd/>
        <w:spacing w:beforeLines="0" w:afterLines="0"/>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2）工业场地</w:t>
      </w:r>
    </w:p>
    <w:p w14:paraId="1B3DFCDA">
      <w:pPr>
        <w:adjustRightInd/>
        <w:spacing w:beforeLines="0" w:afterLines="0"/>
        <w:ind w:firstLine="48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rPr>
        <w:t>全矿设置</w:t>
      </w:r>
      <w:r>
        <w:rPr>
          <w:rFonts w:hint="default"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rPr>
        <w:t>个工业场地，占地面积</w:t>
      </w:r>
      <w:r>
        <w:rPr>
          <w:rFonts w:hint="default" w:ascii="Times New Roman" w:hAnsi="Times New Roman" w:cs="Times New Roman"/>
          <w:color w:val="auto"/>
          <w:sz w:val="24"/>
          <w:szCs w:val="24"/>
          <w:highlight w:val="none"/>
          <w:lang w:val="en-US" w:eastAsia="zh-CN"/>
        </w:rPr>
        <w:t>20000</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主要构筑物包括地磅房</w:t>
      </w:r>
      <w:r>
        <w:rPr>
          <w:rFonts w:hint="default" w:ascii="Times New Roman" w:hAnsi="Times New Roman" w:cs="Times New Roman"/>
          <w:color w:val="auto"/>
          <w:sz w:val="24"/>
          <w:szCs w:val="24"/>
          <w:highlight w:val="none"/>
        </w:rPr>
        <w:t>建筑面积</w:t>
      </w:r>
      <w:r>
        <w:rPr>
          <w:rFonts w:hint="default" w:ascii="Times New Roman" w:hAnsi="Times New Roman" w:cs="Times New Roman"/>
          <w:color w:val="auto"/>
          <w:sz w:val="24"/>
          <w:szCs w:val="24"/>
          <w:highlight w:val="none"/>
          <w:lang w:val="en-US" w:eastAsia="zh-CN"/>
        </w:rPr>
        <w:t>100</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厂房</w:t>
      </w:r>
      <w:r>
        <w:rPr>
          <w:rFonts w:hint="default" w:ascii="Times New Roman" w:hAnsi="Times New Roman" w:cs="Times New Roman"/>
          <w:color w:val="auto"/>
          <w:sz w:val="24"/>
          <w:szCs w:val="24"/>
          <w:highlight w:val="none"/>
        </w:rPr>
        <w:t>建筑面积</w:t>
      </w:r>
      <w:r>
        <w:rPr>
          <w:rFonts w:hint="default" w:ascii="Times New Roman" w:hAnsi="Times New Roman" w:cs="Times New Roman"/>
          <w:color w:val="auto"/>
          <w:sz w:val="24"/>
          <w:szCs w:val="24"/>
          <w:highlight w:val="none"/>
          <w:lang w:val="en-US" w:eastAsia="zh-CN"/>
        </w:rPr>
        <w:t>1500</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vertAlign w:val="baseline"/>
          <w:lang w:eastAsia="zh-CN"/>
        </w:rPr>
        <w:t>，</w:t>
      </w:r>
      <w:r>
        <w:rPr>
          <w:rFonts w:hint="default" w:ascii="Times New Roman" w:hAnsi="Times New Roman" w:cs="Times New Roman"/>
          <w:color w:val="auto"/>
          <w:sz w:val="24"/>
          <w:szCs w:val="24"/>
          <w:highlight w:val="none"/>
          <w:vertAlign w:val="baseline"/>
          <w:lang w:val="en-US" w:eastAsia="zh-CN"/>
        </w:rPr>
        <w:t>办公生活用房</w:t>
      </w:r>
      <w:r>
        <w:rPr>
          <w:rFonts w:hint="default" w:ascii="Times New Roman" w:hAnsi="Times New Roman" w:cs="Times New Roman"/>
          <w:color w:val="auto"/>
          <w:sz w:val="24"/>
          <w:szCs w:val="24"/>
          <w:highlight w:val="none"/>
        </w:rPr>
        <w:t>建筑面积</w:t>
      </w:r>
      <w:r>
        <w:rPr>
          <w:rFonts w:hint="default" w:ascii="Times New Roman" w:hAnsi="Times New Roman" w:cs="Times New Roman"/>
          <w:color w:val="auto"/>
          <w:sz w:val="24"/>
          <w:szCs w:val="24"/>
          <w:highlight w:val="none"/>
          <w:vertAlign w:val="baseline"/>
          <w:lang w:val="en-US" w:eastAsia="zh-CN"/>
        </w:rPr>
        <w:t>3000m</w:t>
      </w:r>
      <w:r>
        <w:rPr>
          <w:rFonts w:hint="default" w:ascii="Times New Roman" w:hAnsi="Times New Roman" w:cs="Times New Roman"/>
          <w:color w:val="auto"/>
          <w:sz w:val="24"/>
          <w:szCs w:val="24"/>
          <w:highlight w:val="none"/>
          <w:vertAlign w:val="superscript"/>
          <w:lang w:val="en-US" w:eastAsia="zh-CN"/>
        </w:rPr>
        <w:t>2</w:t>
      </w:r>
      <w:r>
        <w:rPr>
          <w:rFonts w:hint="default"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rPr>
        <w:t>配电室为彩钢结构，进料口采用封闭设计，皮带机连廊采用钢结构封闭设计，皮带机本体设防护罩，地形坡度3°</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占地性质为工业用地，现状为天然牧草地。</w:t>
      </w:r>
      <w:r>
        <w:rPr>
          <w:rFonts w:hint="eastAsia" w:cs="Times New Roman"/>
          <w:color w:val="auto"/>
          <w:sz w:val="24"/>
          <w:szCs w:val="24"/>
          <w:highlight w:val="none"/>
          <w:lang w:val="en-US" w:eastAsia="zh-CN"/>
        </w:rPr>
        <w:t>工业广场平面布局图见附图3.6-2。</w:t>
      </w:r>
    </w:p>
    <w:p w14:paraId="0AB90C14">
      <w:pPr>
        <w:spacing w:beforeLines="0" w:afterLines="0"/>
        <w:ind w:firstLine="480"/>
        <w:rPr>
          <w:rFonts w:hint="default" w:ascii="Times New Roman" w:hAnsi="Times New Roman" w:cs="Times New Roman"/>
          <w:color w:val="auto"/>
          <w:sz w:val="24"/>
          <w:szCs w:val="24"/>
          <w:highlight w:val="none"/>
          <w:lang w:val="en-GB"/>
        </w:rPr>
      </w:pPr>
      <w:r>
        <w:rPr>
          <w:rFonts w:hint="default" w:ascii="Times New Roman" w:hAnsi="Times New Roman" w:cs="Times New Roman"/>
          <w:color w:val="auto"/>
          <w:sz w:val="24"/>
          <w:szCs w:val="24"/>
          <w:highlight w:val="none"/>
        </w:rPr>
        <w:t>3）生活区</w:t>
      </w:r>
    </w:p>
    <w:p w14:paraId="68091B11">
      <w:pPr>
        <w:spacing w:beforeLines="0" w:afterLines="0"/>
        <w:ind w:firstLine="48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rPr>
        <w:t>生活区布置在</w:t>
      </w:r>
      <w:r>
        <w:rPr>
          <w:rFonts w:hint="default" w:ascii="Times New Roman" w:hAnsi="Times New Roman" w:cs="Times New Roman"/>
          <w:color w:val="auto"/>
          <w:sz w:val="24"/>
          <w:szCs w:val="24"/>
          <w:highlight w:val="none"/>
          <w:lang w:val="en-US" w:eastAsia="zh-CN"/>
        </w:rPr>
        <w:t>工业广场内，</w:t>
      </w:r>
      <w:r>
        <w:rPr>
          <w:rFonts w:hint="eastAsia" w:cs="Times New Roman"/>
          <w:color w:val="auto"/>
          <w:sz w:val="24"/>
          <w:szCs w:val="24"/>
          <w:highlight w:val="none"/>
          <w:lang w:val="en-US" w:eastAsia="zh-CN"/>
        </w:rPr>
        <w:t>东南角</w:t>
      </w:r>
      <w:r>
        <w:rPr>
          <w:rFonts w:hint="default" w:ascii="Times New Roman" w:hAnsi="Times New Roman" w:cs="Times New Roman"/>
          <w:color w:val="auto"/>
          <w:sz w:val="24"/>
          <w:szCs w:val="24"/>
          <w:highlight w:val="none"/>
        </w:rPr>
        <w:t>，地形坡度3°。建筑物面积</w:t>
      </w:r>
      <w:r>
        <w:rPr>
          <w:rFonts w:hint="default" w:ascii="Times New Roman" w:hAnsi="Times New Roman" w:cs="Times New Roman"/>
          <w:color w:val="auto"/>
          <w:sz w:val="24"/>
          <w:szCs w:val="24"/>
          <w:highlight w:val="none"/>
          <w:lang w:val="en-US" w:eastAsia="zh-CN"/>
        </w:rPr>
        <w:t>3000平方米</w:t>
      </w:r>
      <w:r>
        <w:rPr>
          <w:rFonts w:hint="default" w:ascii="Times New Roman" w:hAnsi="Times New Roman" w:cs="Times New Roman"/>
          <w:color w:val="auto"/>
          <w:sz w:val="24"/>
          <w:szCs w:val="24"/>
          <w:highlight w:val="none"/>
        </w:rPr>
        <w:t>，占地面积</w:t>
      </w:r>
      <w:r>
        <w:rPr>
          <w:rFonts w:hint="default" w:ascii="Times New Roman" w:hAnsi="Times New Roman" w:cs="Times New Roman"/>
          <w:color w:val="auto"/>
          <w:sz w:val="24"/>
          <w:szCs w:val="24"/>
          <w:highlight w:val="none"/>
          <w:lang w:val="en-US" w:eastAsia="zh-CN"/>
        </w:rPr>
        <w:t>1000</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，其建筑结构均为彩钢结构</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生活区占地类型为天然牧草地。</w:t>
      </w:r>
    </w:p>
    <w:p w14:paraId="05D4D02D">
      <w:pPr>
        <w:spacing w:beforeLines="0" w:afterLines="0"/>
        <w:ind w:firstLine="480"/>
        <w:rPr>
          <w:rFonts w:hint="default" w:ascii="Times New Roman" w:hAnsi="Times New Roman" w:cs="Times New Roman"/>
          <w:color w:val="FF0000"/>
          <w:sz w:val="24"/>
          <w:szCs w:val="24"/>
          <w:highlight w:val="none"/>
          <w:lang w:val="en-US" w:eastAsia="zh-CN"/>
        </w:rPr>
      </w:pPr>
      <w:r>
        <w:rPr>
          <w:rFonts w:hint="default" w:ascii="Times New Roman" w:hAnsi="Times New Roman" w:cs="Times New Roman"/>
          <w:color w:val="FF0000"/>
          <w:sz w:val="24"/>
          <w:szCs w:val="24"/>
          <w:highlight w:val="none"/>
          <w:lang w:val="en-US" w:eastAsia="zh-CN"/>
        </w:rPr>
        <w:t>4）表土堆放场</w:t>
      </w:r>
    </w:p>
    <w:p w14:paraId="5DE3C641">
      <w:pPr>
        <w:spacing w:beforeLines="0" w:afterLines="0"/>
        <w:ind w:firstLine="480"/>
        <w:rPr>
          <w:rFonts w:hint="default" w:ascii="Times New Roman" w:hAnsi="Times New Roman" w:cs="Times New Roman"/>
          <w:color w:val="FF0000"/>
          <w:sz w:val="24"/>
          <w:szCs w:val="24"/>
          <w:highlight w:val="none"/>
          <w:lang w:val="en-US" w:eastAsia="zh-CN"/>
        </w:rPr>
      </w:pPr>
      <w:r>
        <w:rPr>
          <w:rFonts w:hint="default" w:ascii="Times New Roman" w:hAnsi="Times New Roman" w:cs="Times New Roman"/>
          <w:color w:val="FF0000"/>
          <w:sz w:val="24"/>
          <w:szCs w:val="24"/>
          <w:highlight w:val="none"/>
          <w:lang w:val="en-US" w:eastAsia="zh-CN"/>
        </w:rPr>
        <w:t>矿区设置1个表土堆放场，</w:t>
      </w:r>
      <w:r>
        <w:rPr>
          <w:rFonts w:hint="default" w:ascii="Times New Roman" w:hAnsi="Times New Roman" w:cs="Times New Roman"/>
          <w:color w:val="FF0000"/>
          <w:sz w:val="24"/>
          <w:szCs w:val="24"/>
          <w:highlight w:val="none"/>
        </w:rPr>
        <w:t>布置在矿区</w:t>
      </w:r>
      <w:r>
        <w:rPr>
          <w:rFonts w:hint="default" w:ascii="Times New Roman" w:hAnsi="Times New Roman" w:cs="Times New Roman"/>
          <w:color w:val="FF0000"/>
          <w:sz w:val="24"/>
          <w:szCs w:val="24"/>
          <w:highlight w:val="none"/>
          <w:lang w:val="en-US" w:eastAsia="zh-CN"/>
        </w:rPr>
        <w:t>东北侧，</w:t>
      </w:r>
      <w:r>
        <w:rPr>
          <w:rFonts w:hint="default" w:ascii="Times New Roman" w:hAnsi="Times New Roman" w:cs="Times New Roman"/>
          <w:color w:val="FF0000"/>
          <w:sz w:val="24"/>
          <w:szCs w:val="24"/>
          <w:highlight w:val="none"/>
        </w:rPr>
        <w:t>最大</w:t>
      </w:r>
      <w:r>
        <w:rPr>
          <w:rFonts w:hint="default" w:ascii="Times New Roman" w:hAnsi="Times New Roman" w:cs="Times New Roman"/>
          <w:color w:val="FF0000"/>
          <w:sz w:val="24"/>
          <w:szCs w:val="24"/>
          <w:highlight w:val="none"/>
          <w:lang w:eastAsia="zh-CN"/>
        </w:rPr>
        <w:t>堆高</w:t>
      </w:r>
      <w:r>
        <w:rPr>
          <w:rFonts w:hint="default" w:ascii="Times New Roman" w:hAnsi="Times New Roman" w:cs="Times New Roman"/>
          <w:color w:val="FF0000"/>
          <w:sz w:val="24"/>
          <w:szCs w:val="24"/>
          <w:highlight w:val="none"/>
          <w:lang w:val="en-US" w:eastAsia="zh-CN"/>
        </w:rPr>
        <w:t>7</w:t>
      </w:r>
      <w:r>
        <w:rPr>
          <w:rFonts w:hint="default" w:ascii="Times New Roman" w:hAnsi="Times New Roman" w:cs="Times New Roman"/>
          <w:color w:val="FF0000"/>
          <w:sz w:val="24"/>
          <w:szCs w:val="24"/>
          <w:highlight w:val="none"/>
          <w:lang w:eastAsia="zh-CN"/>
        </w:rPr>
        <w:t>米</w:t>
      </w:r>
      <w:r>
        <w:rPr>
          <w:rFonts w:hint="default" w:ascii="Times New Roman" w:hAnsi="Times New Roman" w:cs="Times New Roman"/>
          <w:color w:val="FF0000"/>
          <w:sz w:val="24"/>
          <w:szCs w:val="24"/>
          <w:highlight w:val="none"/>
        </w:rPr>
        <w:t>，单层堆放，边坡小于30°</w:t>
      </w:r>
      <w:r>
        <w:rPr>
          <w:rFonts w:hint="default" w:ascii="Times New Roman" w:hAnsi="Times New Roman" w:cs="Times New Roman"/>
          <w:color w:val="FF0000"/>
          <w:sz w:val="24"/>
          <w:szCs w:val="24"/>
          <w:highlight w:val="none"/>
          <w:lang w:eastAsia="zh-CN"/>
        </w:rPr>
        <w:t>，</w:t>
      </w:r>
      <w:r>
        <w:rPr>
          <w:rFonts w:hint="default" w:ascii="Times New Roman" w:hAnsi="Times New Roman" w:cs="Times New Roman"/>
          <w:color w:val="FF0000"/>
          <w:sz w:val="24"/>
          <w:szCs w:val="24"/>
          <w:highlight w:val="none"/>
        </w:rPr>
        <w:t>表土堆放场容积约1</w:t>
      </w:r>
      <w:r>
        <w:rPr>
          <w:rFonts w:hint="default" w:ascii="Times New Roman" w:hAnsi="Times New Roman" w:cs="Times New Roman"/>
          <w:color w:val="FF0000"/>
          <w:sz w:val="24"/>
          <w:szCs w:val="24"/>
          <w:highlight w:val="none"/>
          <w:lang w:val="en-US" w:eastAsia="zh-CN"/>
        </w:rPr>
        <w:t>2</w:t>
      </w:r>
      <w:r>
        <w:rPr>
          <w:rFonts w:hint="default" w:ascii="Times New Roman" w:hAnsi="Times New Roman" w:cs="Times New Roman"/>
          <w:color w:val="FF0000"/>
          <w:sz w:val="24"/>
          <w:szCs w:val="24"/>
          <w:highlight w:val="none"/>
        </w:rPr>
        <w:t>9356立方米</w:t>
      </w:r>
      <w:r>
        <w:rPr>
          <w:rFonts w:hint="default" w:ascii="Times New Roman" w:hAnsi="Times New Roman" w:cs="Times New Roman"/>
          <w:color w:val="FF0000"/>
          <w:sz w:val="24"/>
          <w:szCs w:val="24"/>
          <w:highlight w:val="none"/>
          <w:lang w:eastAsia="zh-CN"/>
        </w:rPr>
        <w:t>，</w:t>
      </w:r>
      <w:r>
        <w:rPr>
          <w:rFonts w:hint="default" w:ascii="Times New Roman" w:hAnsi="Times New Roman" w:cs="Times New Roman"/>
          <w:color w:val="FF0000"/>
          <w:sz w:val="24"/>
          <w:szCs w:val="24"/>
          <w:highlight w:val="none"/>
          <w:lang w:val="en-US" w:eastAsia="zh-CN"/>
        </w:rPr>
        <w:t>15.52万t</w:t>
      </w:r>
      <w:r>
        <w:rPr>
          <w:rFonts w:hint="default" w:ascii="Times New Roman" w:hAnsi="Times New Roman" w:cs="Times New Roman"/>
          <w:color w:val="FF0000"/>
          <w:sz w:val="24"/>
          <w:szCs w:val="24"/>
          <w:highlight w:val="none"/>
          <w:lang w:eastAsia="zh-CN"/>
        </w:rPr>
        <w:t>（</w:t>
      </w:r>
      <w:r>
        <w:rPr>
          <w:rFonts w:hint="default" w:ascii="Times New Roman" w:hAnsi="Times New Roman" w:cs="Times New Roman"/>
          <w:color w:val="FF0000"/>
          <w:sz w:val="24"/>
          <w:szCs w:val="24"/>
          <w:highlight w:val="none"/>
          <w:lang w:val="en-US" w:eastAsia="zh-CN"/>
        </w:rPr>
        <w:t>按照容重1200kg/m</w:t>
      </w:r>
      <w:r>
        <w:rPr>
          <w:rFonts w:hint="default" w:ascii="Times New Roman" w:hAnsi="Times New Roman" w:cs="Times New Roman"/>
          <w:color w:val="FF0000"/>
          <w:sz w:val="24"/>
          <w:szCs w:val="24"/>
          <w:highlight w:val="none"/>
          <w:vertAlign w:val="superscript"/>
          <w:lang w:val="en-US" w:eastAsia="zh-CN"/>
        </w:rPr>
        <w:t>3</w:t>
      </w:r>
      <w:r>
        <w:rPr>
          <w:rFonts w:hint="default" w:ascii="Times New Roman" w:hAnsi="Times New Roman" w:cs="Times New Roman"/>
          <w:color w:val="FF0000"/>
          <w:sz w:val="24"/>
          <w:szCs w:val="24"/>
          <w:highlight w:val="none"/>
          <w:lang w:eastAsia="zh-CN"/>
        </w:rPr>
        <w:t>），</w:t>
      </w:r>
      <w:r>
        <w:rPr>
          <w:rFonts w:hint="default" w:ascii="Times New Roman" w:hAnsi="Times New Roman" w:cs="Times New Roman"/>
          <w:color w:val="FF0000"/>
          <w:sz w:val="24"/>
          <w:szCs w:val="24"/>
          <w:highlight w:val="none"/>
        </w:rPr>
        <w:t>可满足表土堆放需求</w:t>
      </w:r>
      <w:r>
        <w:rPr>
          <w:rFonts w:hint="default" w:ascii="Times New Roman" w:hAnsi="Times New Roman" w:cs="Times New Roman"/>
          <w:color w:val="FF0000"/>
          <w:sz w:val="24"/>
          <w:szCs w:val="24"/>
          <w:highlight w:val="none"/>
          <w:lang w:eastAsia="zh-CN"/>
        </w:rPr>
        <w:t>。</w:t>
      </w:r>
    </w:p>
    <w:p w14:paraId="4585B59D">
      <w:pPr>
        <w:autoSpaceDE/>
        <w:autoSpaceDN/>
        <w:adjustRightInd/>
        <w:spacing w:beforeLines="0" w:afterLines="0"/>
        <w:ind w:firstLine="480"/>
        <w:rPr>
          <w:rFonts w:hint="default" w:ascii="Times New Roman" w:hAnsi="Times New Roman" w:cs="Times New Roman"/>
          <w:color w:val="auto"/>
          <w:sz w:val="24"/>
          <w:szCs w:val="24"/>
          <w:highlight w:val="none"/>
          <w:lang w:val="en-GB" w:eastAsia="zh-CN"/>
        </w:rPr>
      </w:pPr>
      <w:r>
        <w:rPr>
          <w:rFonts w:hint="default"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eastAsia="zh-CN"/>
        </w:rPr>
        <w:t>排土场</w:t>
      </w:r>
    </w:p>
    <w:p w14:paraId="68B38055">
      <w:pPr>
        <w:keepNext/>
        <w:keepLines/>
        <w:spacing w:line="360" w:lineRule="auto"/>
        <w:jc w:val="left"/>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根据《新疆采虹矿业投资有限公司新疆阜康市北部沙漠天然石英砂矿（压裂用）外围矿产资源开发利用与生态保护修复方案》，由于筛分的废土和</w:t>
      </w:r>
      <w:r>
        <w:rPr>
          <w:rFonts w:hint="default" w:ascii="Times New Roman" w:hAnsi="Times New Roman" w:eastAsia="宋体" w:cs="Times New Roman"/>
          <w:color w:val="auto"/>
          <w:sz w:val="24"/>
          <w:szCs w:val="24"/>
          <w:highlight w:val="none"/>
          <w:lang w:val="en-US" w:eastAsia="zh-CN"/>
        </w:rPr>
        <w:t>废料量较大，结合开发剖面，矿体开采至595台阶时，可实现废土和废料内排，矿体开采至595台阶时筛分废土量为8.26万m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vertAlign w:val="baseline"/>
          <w:lang w:val="en-US" w:eastAsia="zh-CN"/>
        </w:rPr>
        <w:t>，</w:t>
      </w:r>
      <w:r>
        <w:rPr>
          <w:rFonts w:hint="default" w:ascii="Times New Roman" w:hAnsi="Times New Roman" w:eastAsia="宋体" w:cs="Times New Roman"/>
          <w:color w:val="auto"/>
          <w:sz w:val="24"/>
          <w:szCs w:val="24"/>
          <w:highlight w:val="none"/>
          <w:lang w:val="en-US" w:eastAsia="zh-CN"/>
        </w:rPr>
        <w:t>筛分废料量为</w:t>
      </w:r>
      <w:r>
        <w:rPr>
          <w:rFonts w:hint="default" w:ascii="Times New Roman" w:hAnsi="Times New Roman" w:cs="Times New Roman"/>
          <w:color w:val="auto"/>
          <w:sz w:val="24"/>
          <w:highlight w:val="none"/>
          <w:lang w:val="en-US" w:eastAsia="zh-CN"/>
        </w:rPr>
        <w:t>31.52</w:t>
      </w:r>
      <w:r>
        <w:rPr>
          <w:rFonts w:hint="default" w:ascii="Times New Roman" w:hAnsi="Times New Roman" w:eastAsia="宋体" w:cs="Times New Roman"/>
          <w:color w:val="auto"/>
          <w:sz w:val="24"/>
          <w:szCs w:val="24"/>
          <w:highlight w:val="none"/>
          <w:lang w:val="en-US" w:eastAsia="zh-CN"/>
        </w:rPr>
        <w:t>万m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vertAlign w:val="baseline"/>
          <w:lang w:val="en-US" w:eastAsia="zh-CN"/>
        </w:rPr>
        <w:t>，合计</w:t>
      </w:r>
      <w:r>
        <w:rPr>
          <w:rFonts w:hint="default" w:ascii="Times New Roman" w:hAnsi="Times New Roman" w:cs="Times New Roman"/>
          <w:color w:val="auto"/>
          <w:sz w:val="24"/>
          <w:highlight w:val="none"/>
          <w:lang w:val="en-US" w:eastAsia="zh-CN"/>
        </w:rPr>
        <w:t>39.78</w:t>
      </w:r>
      <w:r>
        <w:rPr>
          <w:rFonts w:hint="default" w:ascii="Times New Roman" w:hAnsi="Times New Roman" w:eastAsia="宋体" w:cs="Times New Roman"/>
          <w:color w:val="auto"/>
          <w:sz w:val="24"/>
          <w:szCs w:val="24"/>
          <w:highlight w:val="none"/>
          <w:lang w:val="en-US" w:eastAsia="zh-CN"/>
        </w:rPr>
        <w:t>万m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vertAlign w:val="baseline"/>
          <w:lang w:val="en-US" w:eastAsia="zh-CN"/>
        </w:rPr>
        <w:t>，</w:t>
      </w:r>
      <w:r>
        <w:rPr>
          <w:rFonts w:hint="default" w:ascii="Times New Roman" w:hAnsi="Times New Roman" w:eastAsia="宋体" w:cs="Times New Roman"/>
          <w:color w:val="auto"/>
          <w:sz w:val="24"/>
          <w:szCs w:val="24"/>
          <w:highlight w:val="none"/>
          <w:lang w:val="en-US" w:eastAsia="zh-CN"/>
        </w:rPr>
        <w:t>本次设计一个</w:t>
      </w:r>
      <w:r>
        <w:rPr>
          <w:rFonts w:hint="default" w:ascii="Times New Roman" w:hAnsi="Times New Roman" w:cs="Times New Roman"/>
          <w:color w:val="auto"/>
          <w:sz w:val="24"/>
          <w:szCs w:val="24"/>
          <w:highlight w:val="none"/>
          <w:lang w:val="en-US" w:eastAsia="zh-CN"/>
        </w:rPr>
        <w:t>排土场</w:t>
      </w:r>
      <w:r>
        <w:rPr>
          <w:rFonts w:hint="default" w:ascii="Times New Roman" w:hAnsi="Times New Roman" w:eastAsia="宋体" w:cs="Times New Roman"/>
          <w:color w:val="auto"/>
          <w:sz w:val="24"/>
          <w:szCs w:val="24"/>
          <w:highlight w:val="none"/>
          <w:lang w:val="en-US" w:eastAsia="zh-CN"/>
        </w:rPr>
        <w:t>，设置在矿区东侧地形平缓处，场地岩性为第四系，地形坡度3～5°左右，</w:t>
      </w:r>
      <w:r>
        <w:rPr>
          <w:rFonts w:hint="default" w:ascii="Times New Roman" w:hAnsi="Times New Roman" w:cs="Times New Roman"/>
          <w:color w:val="auto"/>
          <w:sz w:val="24"/>
          <w:szCs w:val="24"/>
          <w:highlight w:val="none"/>
          <w:lang w:val="en-US" w:eastAsia="zh-CN"/>
        </w:rPr>
        <w:t>排土场</w:t>
      </w:r>
      <w:r>
        <w:rPr>
          <w:rFonts w:hint="default" w:ascii="Times New Roman" w:hAnsi="Times New Roman" w:eastAsia="宋体" w:cs="Times New Roman"/>
          <w:color w:val="auto"/>
          <w:sz w:val="24"/>
          <w:szCs w:val="24"/>
          <w:highlight w:val="none"/>
          <w:lang w:val="en-US" w:eastAsia="zh-CN"/>
        </w:rPr>
        <w:t>占地面积均为</w:t>
      </w:r>
      <w:r>
        <w:rPr>
          <w:rFonts w:hint="default" w:ascii="Times New Roman" w:hAnsi="Times New Roman" w:cs="Times New Roman"/>
          <w:color w:val="auto"/>
          <w:sz w:val="24"/>
          <w:highlight w:val="none"/>
          <w:lang w:val="en-US" w:eastAsia="zh-CN"/>
        </w:rPr>
        <w:t>4.58</w:t>
      </w:r>
      <w:r>
        <w:rPr>
          <w:rFonts w:hint="default" w:ascii="Times New Roman" w:hAnsi="Times New Roman" w:eastAsia="宋体" w:cs="Times New Roman"/>
          <w:color w:val="auto"/>
          <w:sz w:val="24"/>
          <w:szCs w:val="24"/>
          <w:highlight w:val="none"/>
          <w:lang w:val="en-US" w:eastAsia="zh-CN"/>
        </w:rPr>
        <w:t>hm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最大堆置高度</w:t>
      </w:r>
      <w:r>
        <w:rPr>
          <w:rFonts w:hint="default" w:ascii="Times New Roman" w:hAnsi="Times New Roman" w:cs="Times New Roman"/>
          <w:color w:val="auto"/>
          <w:sz w:val="24"/>
          <w:szCs w:val="24"/>
          <w:highlight w:val="none"/>
          <w:lang w:val="en-US" w:eastAsia="zh-CN"/>
        </w:rPr>
        <w:t>10</w:t>
      </w:r>
      <w:r>
        <w:rPr>
          <w:rFonts w:hint="default" w:ascii="Times New Roman" w:hAnsi="Times New Roman" w:cs="Times New Roman"/>
          <w:color w:val="auto"/>
          <w:sz w:val="24"/>
          <w:szCs w:val="24"/>
          <w:highlight w:val="none"/>
        </w:rPr>
        <w:t>m，</w:t>
      </w:r>
      <w:r>
        <w:rPr>
          <w:rFonts w:hint="default" w:ascii="Times New Roman" w:hAnsi="Times New Roman" w:eastAsia="宋体" w:cs="Times New Roman"/>
          <w:color w:val="auto"/>
          <w:sz w:val="24"/>
          <w:szCs w:val="24"/>
          <w:highlight w:val="none"/>
          <w:lang w:val="en-US" w:eastAsia="zh-CN"/>
        </w:rPr>
        <w:t>容积约</w:t>
      </w:r>
      <w:r>
        <w:rPr>
          <w:rFonts w:hint="default" w:ascii="Times New Roman" w:hAnsi="Times New Roman" w:cs="Times New Roman"/>
          <w:color w:val="auto"/>
          <w:sz w:val="24"/>
          <w:highlight w:val="none"/>
          <w:lang w:val="en-US" w:eastAsia="zh-CN"/>
        </w:rPr>
        <w:t>40.63</w:t>
      </w:r>
      <w:r>
        <w:rPr>
          <w:rFonts w:hint="default" w:ascii="Times New Roman" w:hAnsi="Times New Roman" w:eastAsia="宋体" w:cs="Times New Roman"/>
          <w:color w:val="auto"/>
          <w:sz w:val="24"/>
          <w:szCs w:val="24"/>
          <w:highlight w:val="none"/>
          <w:lang w:val="en-US" w:eastAsia="zh-CN"/>
        </w:rPr>
        <w:t>万m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排土场</w:t>
      </w:r>
      <w:r>
        <w:rPr>
          <w:rFonts w:hint="default" w:ascii="Times New Roman" w:hAnsi="Times New Roman" w:eastAsia="宋体" w:cs="Times New Roman"/>
          <w:color w:val="auto"/>
          <w:sz w:val="24"/>
          <w:szCs w:val="24"/>
          <w:highlight w:val="none"/>
          <w:lang w:val="en-US" w:eastAsia="zh-CN"/>
        </w:rPr>
        <w:t>可满足矿山</w:t>
      </w:r>
      <w:r>
        <w:rPr>
          <w:rFonts w:hint="default" w:ascii="Times New Roman" w:hAnsi="Times New Roman" w:cs="Times New Roman"/>
          <w:color w:val="auto"/>
          <w:sz w:val="24"/>
          <w:szCs w:val="24"/>
          <w:highlight w:val="none"/>
          <w:lang w:val="en-US" w:eastAsia="zh-CN"/>
        </w:rPr>
        <w:t>筛分废土</w:t>
      </w:r>
      <w:r>
        <w:rPr>
          <w:rFonts w:hint="default" w:ascii="Times New Roman" w:hAnsi="Times New Roman" w:eastAsia="宋体" w:cs="Times New Roman"/>
          <w:color w:val="auto"/>
          <w:sz w:val="24"/>
          <w:szCs w:val="24"/>
          <w:highlight w:val="none"/>
          <w:lang w:val="en-US" w:eastAsia="zh-CN"/>
        </w:rPr>
        <w:t>堆放需求。堆放过程中严禁超过设计最大高度堆放，保证人员安全。</w:t>
      </w:r>
      <w:r>
        <w:rPr>
          <w:rFonts w:hint="default" w:ascii="Times New Roman" w:hAnsi="Times New Roman" w:cs="Times New Roman"/>
          <w:color w:val="auto"/>
          <w:kern w:val="144"/>
          <w:sz w:val="24"/>
          <w:szCs w:val="24"/>
          <w:highlight w:val="none"/>
        </w:rPr>
        <w:t>经计算，</w:t>
      </w:r>
      <w:r>
        <w:rPr>
          <w:rFonts w:hint="default" w:ascii="Times New Roman" w:hAnsi="Times New Roman" w:cs="Times New Roman"/>
          <w:color w:val="auto"/>
          <w:sz w:val="24"/>
          <w:szCs w:val="24"/>
          <w:highlight w:val="none"/>
          <w:lang w:eastAsia="zh-CN"/>
        </w:rPr>
        <w:t>排土场</w:t>
      </w:r>
      <w:r>
        <w:rPr>
          <w:rFonts w:hint="default" w:ascii="Times New Roman" w:hAnsi="Times New Roman" w:cs="Times New Roman"/>
          <w:color w:val="auto"/>
          <w:sz w:val="24"/>
          <w:szCs w:val="24"/>
          <w:highlight w:val="none"/>
        </w:rPr>
        <w:t>满足废石</w:t>
      </w:r>
      <w:r>
        <w:rPr>
          <w:rFonts w:hint="default" w:ascii="Times New Roman" w:hAnsi="Times New Roman" w:cs="Times New Roman"/>
          <w:color w:val="auto"/>
          <w:sz w:val="24"/>
          <w:szCs w:val="24"/>
          <w:highlight w:val="none"/>
          <w:lang w:val="en-US" w:eastAsia="zh-CN"/>
        </w:rPr>
        <w:t>及表土</w:t>
      </w:r>
      <w:r>
        <w:rPr>
          <w:rFonts w:hint="default" w:ascii="Times New Roman" w:hAnsi="Times New Roman" w:cs="Times New Roman"/>
          <w:color w:val="auto"/>
          <w:sz w:val="24"/>
          <w:szCs w:val="24"/>
          <w:highlight w:val="none"/>
        </w:rPr>
        <w:t>堆放需求。</w:t>
      </w:r>
      <w:r>
        <w:rPr>
          <w:rFonts w:hint="default" w:ascii="Times New Roman" w:hAnsi="Times New Roman" w:cs="Times New Roman"/>
          <w:color w:val="auto"/>
          <w:sz w:val="24"/>
          <w:szCs w:val="24"/>
          <w:highlight w:val="none"/>
          <w:lang w:val="en-US" w:eastAsia="zh-CN"/>
        </w:rPr>
        <w:t>排土场处地类天然牧草地。</w:t>
      </w:r>
    </w:p>
    <w:p w14:paraId="03D6CCB2">
      <w:pPr>
        <w:autoSpaceDE/>
        <w:autoSpaceDN/>
        <w:adjustRightInd/>
        <w:spacing w:beforeLines="0" w:afterLines="0"/>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6</w:t>
      </w:r>
      <w:r>
        <w:rPr>
          <w:rFonts w:hint="default" w:ascii="Times New Roman" w:hAnsi="Times New Roman" w:cs="Times New Roman"/>
          <w:color w:val="auto"/>
          <w:sz w:val="24"/>
          <w:szCs w:val="24"/>
          <w:highlight w:val="none"/>
        </w:rPr>
        <w:t>）矿山运输道路</w:t>
      </w:r>
    </w:p>
    <w:p w14:paraId="16DD3B1F">
      <w:pPr>
        <w:spacing w:beforeLines="0" w:afterLines="0"/>
        <w:rPr>
          <w:rFonts w:hint="default" w:ascii="Times New Roman" w:hAnsi="Times New Roman" w:cs="Times New Roman"/>
          <w:color w:val="auto"/>
          <w:sz w:val="24"/>
          <w:szCs w:val="24"/>
          <w:highlight w:val="none"/>
          <w:lang w:val="en-US" w:eastAsia="zh-CN" w:bidi="ar-SA"/>
        </w:rPr>
      </w:pPr>
      <w:r>
        <w:rPr>
          <w:rFonts w:hint="default" w:ascii="Times New Roman" w:hAnsi="Times New Roman" w:cs="Times New Roman"/>
          <w:color w:val="auto"/>
          <w:sz w:val="24"/>
          <w:szCs w:val="24"/>
          <w:highlight w:val="none"/>
          <w:lang w:val="en-US" w:eastAsia="zh-CN" w:bidi="ar-SA"/>
        </w:rPr>
        <w:t>矿山道路采用矿山三级公路，公路全长3km，泥结碎石路面，双车道，路基宽7.0m，路面宽5.0m，最小转弯半径15m。</w:t>
      </w:r>
    </w:p>
    <w:p w14:paraId="199F4057">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矿区平面布置较简单，工业场地位于</w:t>
      </w:r>
      <w:r>
        <w:rPr>
          <w:rFonts w:hint="default" w:ascii="Times New Roman" w:hAnsi="Times New Roman" w:cs="Times New Roman"/>
          <w:color w:val="auto"/>
          <w:sz w:val="24"/>
          <w:szCs w:val="24"/>
          <w:highlight w:val="none"/>
          <w:lang w:val="en-US" w:eastAsia="zh-CN"/>
        </w:rPr>
        <w:t>采矿场的西南角，</w:t>
      </w:r>
      <w:r>
        <w:rPr>
          <w:rFonts w:hint="default" w:ascii="Times New Roman" w:hAnsi="Times New Roman" w:cs="Times New Roman"/>
          <w:color w:val="auto"/>
          <w:sz w:val="24"/>
          <w:szCs w:val="24"/>
          <w:highlight w:val="none"/>
        </w:rPr>
        <w:t>办公生活区位于</w:t>
      </w:r>
      <w:r>
        <w:rPr>
          <w:rFonts w:hint="default" w:ascii="Times New Roman" w:hAnsi="Times New Roman" w:cs="Times New Roman"/>
          <w:color w:val="auto"/>
          <w:sz w:val="24"/>
          <w:szCs w:val="24"/>
          <w:highlight w:val="none"/>
          <w:lang w:val="en-US" w:eastAsia="zh-CN"/>
        </w:rPr>
        <w:t>工业广场内，厂房的西南侧</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排土场</w:t>
      </w:r>
      <w:r>
        <w:rPr>
          <w:rFonts w:hint="default" w:ascii="Times New Roman" w:hAnsi="Times New Roman" w:cs="Times New Roman"/>
          <w:color w:val="auto"/>
          <w:sz w:val="24"/>
          <w:szCs w:val="24"/>
          <w:highlight w:val="none"/>
        </w:rPr>
        <w:t>位于</w:t>
      </w:r>
      <w:r>
        <w:rPr>
          <w:rFonts w:hint="default" w:ascii="Times New Roman" w:hAnsi="Times New Roman" w:cs="Times New Roman"/>
          <w:color w:val="auto"/>
          <w:sz w:val="24"/>
          <w:szCs w:val="24"/>
          <w:highlight w:val="none"/>
          <w:lang w:val="en-US" w:eastAsia="zh-CN"/>
        </w:rPr>
        <w:t>矿区</w:t>
      </w:r>
      <w:r>
        <w:rPr>
          <w:rFonts w:hint="default" w:ascii="Times New Roman" w:hAnsi="Times New Roman" w:cs="Times New Roman"/>
          <w:color w:val="auto"/>
          <w:sz w:val="24"/>
          <w:szCs w:val="24"/>
          <w:highlight w:val="none"/>
        </w:rPr>
        <w:t>东</w:t>
      </w:r>
      <w:r>
        <w:rPr>
          <w:rFonts w:hint="default" w:ascii="Times New Roman" w:hAnsi="Times New Roman" w:cs="Times New Roman"/>
          <w:color w:val="auto"/>
          <w:sz w:val="24"/>
          <w:szCs w:val="24"/>
          <w:highlight w:val="none"/>
          <w:lang w:val="en-US" w:eastAsia="zh-CN"/>
        </w:rPr>
        <w:t>南</w:t>
      </w:r>
      <w:r>
        <w:rPr>
          <w:rFonts w:hint="default" w:ascii="Times New Roman" w:hAnsi="Times New Roman" w:cs="Times New Roman"/>
          <w:color w:val="auto"/>
          <w:sz w:val="24"/>
          <w:szCs w:val="24"/>
          <w:highlight w:val="none"/>
        </w:rPr>
        <w:t>侧，表土堆场位于</w:t>
      </w:r>
      <w:r>
        <w:rPr>
          <w:rFonts w:hint="default" w:ascii="Times New Roman" w:hAnsi="Times New Roman" w:cs="Times New Roman"/>
          <w:color w:val="auto"/>
          <w:sz w:val="24"/>
          <w:szCs w:val="24"/>
          <w:highlight w:val="none"/>
          <w:lang w:val="en-US" w:eastAsia="zh-CN"/>
        </w:rPr>
        <w:t>矿区东北侧</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露天采场呈L型布分布</w:t>
      </w:r>
      <w:r>
        <w:rPr>
          <w:rFonts w:hint="default" w:ascii="Times New Roman" w:hAnsi="Times New Roman" w:cs="Times New Roman"/>
          <w:color w:val="auto"/>
          <w:sz w:val="24"/>
          <w:szCs w:val="24"/>
          <w:highlight w:val="none"/>
        </w:rPr>
        <w:t>，本项目的平面布置是根据采矿工艺及其物料走向，结合区域地形特征等因素，进行矿区总平面布置设计；该总平面布置充分利用了地形地势，缩短简化了矿石运输过程，从而以便于节约能耗、节省运营费用。因此，本项目平面布置基本合理。</w:t>
      </w:r>
    </w:p>
    <w:p w14:paraId="78E82F5A">
      <w:pPr>
        <w:pStyle w:val="3"/>
        <w:bidi w:val="0"/>
        <w:rPr>
          <w:rFonts w:hint="default"/>
        </w:rPr>
      </w:pPr>
      <w:bookmarkStart w:id="134" w:name="3.5公辅工程"/>
      <w:bookmarkEnd w:id="134"/>
      <w:bookmarkStart w:id="135" w:name="bookmark19"/>
      <w:bookmarkEnd w:id="135"/>
      <w:bookmarkStart w:id="136" w:name="_Toc25561"/>
      <w:bookmarkStart w:id="137" w:name="_Toc5999"/>
      <w:r>
        <w:rPr>
          <w:rFonts w:hint="default"/>
        </w:rPr>
        <w:t>公辅工程</w:t>
      </w:r>
      <w:bookmarkEnd w:id="136"/>
      <w:bookmarkEnd w:id="137"/>
    </w:p>
    <w:p w14:paraId="440CF7A5">
      <w:pPr>
        <w:pStyle w:val="4"/>
        <w:bidi w:val="0"/>
        <w:rPr>
          <w:rFonts w:hint="default"/>
        </w:rPr>
      </w:pPr>
      <w:bookmarkStart w:id="138" w:name="3.5.1给排水"/>
      <w:bookmarkEnd w:id="138"/>
      <w:r>
        <w:rPr>
          <w:rFonts w:hint="default"/>
        </w:rPr>
        <w:t>给排水</w:t>
      </w:r>
    </w:p>
    <w:p w14:paraId="75BBBE70">
      <w:pPr>
        <w:numPr>
          <w:ilvl w:val="0"/>
          <w:numId w:val="0"/>
        </w:numPr>
        <w:spacing w:beforeLines="0" w:afterLines="0"/>
        <w:ind w:firstLine="0"/>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lang w:eastAsia="zh-CN"/>
        </w:rPr>
        <w:t>——</w:t>
      </w:r>
      <w:r>
        <w:rPr>
          <w:rFonts w:hint="default" w:ascii="Times New Roman" w:hAnsi="Times New Roman" w:cs="Times New Roman"/>
          <w:b/>
          <w:color w:val="auto"/>
          <w:sz w:val="24"/>
          <w:szCs w:val="24"/>
          <w:highlight w:val="none"/>
          <w:lang w:val="en-US" w:eastAsia="zh-CN"/>
        </w:rPr>
        <w:t>给</w:t>
      </w:r>
      <w:r>
        <w:rPr>
          <w:rFonts w:hint="default" w:ascii="Times New Roman" w:hAnsi="Times New Roman" w:cs="Times New Roman"/>
          <w:b/>
          <w:color w:val="auto"/>
          <w:sz w:val="24"/>
          <w:szCs w:val="24"/>
          <w:highlight w:val="none"/>
        </w:rPr>
        <w:t>水</w:t>
      </w:r>
    </w:p>
    <w:p w14:paraId="26370B1A">
      <w:pPr>
        <w:numPr>
          <w:ilvl w:val="0"/>
          <w:numId w:val="0"/>
        </w:numPr>
        <w:spacing w:beforeLines="0" w:afterLines="0"/>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项目用水主要</w:t>
      </w:r>
      <w:r>
        <w:rPr>
          <w:rFonts w:hint="default" w:ascii="Times New Roman" w:hAnsi="Times New Roman" w:cs="Times New Roman"/>
          <w:color w:val="auto"/>
          <w:sz w:val="24"/>
          <w:szCs w:val="24"/>
          <w:highlight w:val="none"/>
          <w:lang w:val="en-US" w:eastAsia="zh-CN"/>
        </w:rPr>
        <w:t>为</w:t>
      </w:r>
      <w:r>
        <w:rPr>
          <w:rFonts w:hint="default" w:ascii="Times New Roman" w:hAnsi="Times New Roman" w:cs="Times New Roman"/>
          <w:color w:val="auto"/>
          <w:sz w:val="24"/>
          <w:szCs w:val="24"/>
          <w:highlight w:val="none"/>
        </w:rPr>
        <w:t>生产用水</w:t>
      </w:r>
      <w:r>
        <w:rPr>
          <w:rFonts w:hint="default" w:ascii="Times New Roman" w:hAnsi="Times New Roman" w:cs="Times New Roman"/>
          <w:color w:val="auto"/>
          <w:sz w:val="24"/>
          <w:szCs w:val="24"/>
          <w:highlight w:val="none"/>
          <w:lang w:val="en-US" w:eastAsia="zh-CN"/>
        </w:rPr>
        <w:t>及</w:t>
      </w:r>
      <w:r>
        <w:rPr>
          <w:rFonts w:hint="default" w:ascii="Times New Roman" w:hAnsi="Times New Roman" w:cs="Times New Roman"/>
          <w:color w:val="auto"/>
          <w:sz w:val="24"/>
          <w:szCs w:val="24"/>
          <w:highlight w:val="none"/>
        </w:rPr>
        <w:t>生活用水。</w:t>
      </w:r>
      <w:r>
        <w:rPr>
          <w:rFonts w:hint="default" w:ascii="Times New Roman" w:hAnsi="Times New Roman" w:cs="Times New Roman"/>
          <w:color w:val="auto"/>
          <w:sz w:val="24"/>
          <w:szCs w:val="24"/>
          <w:highlight w:val="none"/>
          <w:lang w:val="en-US" w:eastAsia="zh-CN"/>
        </w:rPr>
        <w:t>用水来源</w:t>
      </w:r>
      <w:r>
        <w:rPr>
          <w:rFonts w:hint="default" w:ascii="Times New Roman" w:hAnsi="Times New Roman" w:cs="Times New Roman"/>
          <w:color w:val="auto"/>
          <w:sz w:val="24"/>
          <w:szCs w:val="24"/>
          <w:highlight w:val="none"/>
        </w:rPr>
        <w:t>采用罐车从项目区</w:t>
      </w:r>
      <w:r>
        <w:rPr>
          <w:rFonts w:hint="default" w:ascii="Times New Roman" w:hAnsi="Times New Roman" w:cs="Times New Roman"/>
          <w:color w:val="auto"/>
          <w:sz w:val="24"/>
          <w:szCs w:val="24"/>
          <w:highlight w:val="none"/>
          <w:lang w:val="en-US" w:eastAsia="zh-CN"/>
        </w:rPr>
        <w:t>南侧约60km的六运湖镇拉运</w:t>
      </w:r>
      <w:r>
        <w:rPr>
          <w:rFonts w:hint="default" w:ascii="Times New Roman" w:hAnsi="Times New Roman" w:cs="Times New Roman"/>
          <w:color w:val="auto"/>
          <w:sz w:val="24"/>
          <w:szCs w:val="24"/>
          <w:highlight w:val="none"/>
        </w:rPr>
        <w:t>。</w:t>
      </w:r>
    </w:p>
    <w:p w14:paraId="2702B4CC">
      <w:pPr>
        <w:numPr>
          <w:ilvl w:val="0"/>
          <w:numId w:val="21"/>
        </w:numPr>
        <w:spacing w:beforeLines="0" w:afterLines="0"/>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生产用水</w:t>
      </w:r>
    </w:p>
    <w:p w14:paraId="3502E5E5">
      <w:pPr>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rPr>
        <w:t>生产用水主要为</w:t>
      </w:r>
      <w:r>
        <w:rPr>
          <w:rFonts w:hint="default" w:ascii="Times New Roman" w:hAnsi="Times New Roman" w:cs="Times New Roman"/>
          <w:color w:val="auto"/>
          <w:sz w:val="24"/>
          <w:szCs w:val="24"/>
          <w:highlight w:val="none"/>
          <w:lang w:val="en-US" w:eastAsia="zh-CN"/>
        </w:rPr>
        <w:t>矿砂水洗过程用水。</w:t>
      </w:r>
    </w:p>
    <w:p w14:paraId="5B0094DF">
      <w:pPr>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①生产用水</w:t>
      </w:r>
    </w:p>
    <w:p w14:paraId="7D4E5BF3">
      <w:pPr>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根据《</w:t>
      </w:r>
      <w:r>
        <w:rPr>
          <w:rFonts w:hint="default" w:ascii="Times New Roman" w:hAnsi="Times New Roman" w:cs="Times New Roman"/>
          <w:color w:val="auto"/>
          <w:sz w:val="24"/>
          <w:szCs w:val="24"/>
          <w:highlight w:val="none"/>
        </w:rPr>
        <w:t>新疆维吾尔自治区工业用水定额</w:t>
      </w:r>
      <w:r>
        <w:rPr>
          <w:rFonts w:hint="default" w:ascii="Times New Roman" w:hAnsi="Times New Roman" w:cs="Times New Roman"/>
          <w:color w:val="auto"/>
          <w:sz w:val="24"/>
          <w:szCs w:val="24"/>
          <w:highlight w:val="none"/>
          <w:lang w:val="en-US" w:eastAsia="zh-CN"/>
        </w:rPr>
        <w:t>》，1019水洗砂，用水定额为0.2立方米/立方米，本项目年水洗砂量为</w:t>
      </w:r>
      <w:r>
        <w:rPr>
          <w:rFonts w:hint="eastAsia" w:cs="Times New Roman"/>
          <w:color w:val="auto"/>
          <w:sz w:val="24"/>
          <w:szCs w:val="24"/>
          <w:highlight w:val="none"/>
          <w:lang w:val="en-US" w:eastAsia="zh-CN"/>
        </w:rPr>
        <w:t>34</w:t>
      </w:r>
      <w:r>
        <w:rPr>
          <w:rFonts w:hint="default" w:ascii="Times New Roman" w:hAnsi="Times New Roman" w:cs="Times New Roman"/>
          <w:color w:val="auto"/>
          <w:sz w:val="24"/>
          <w:szCs w:val="24"/>
          <w:highlight w:val="none"/>
          <w:lang w:val="en-US" w:eastAsia="zh-CN"/>
        </w:rPr>
        <w:t>万t/a，容重按1700kg/m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计算，则本项目年水洗砂量为</w:t>
      </w:r>
      <w:r>
        <w:rPr>
          <w:rFonts w:hint="eastAsia" w:cs="Times New Roman"/>
          <w:color w:val="auto"/>
          <w:sz w:val="24"/>
          <w:szCs w:val="24"/>
          <w:highlight w:val="none"/>
          <w:lang w:val="en-US" w:eastAsia="zh-CN"/>
        </w:rPr>
        <w:t>2</w:t>
      </w:r>
      <w:r>
        <w:rPr>
          <w:rFonts w:hint="default" w:ascii="Times New Roman" w:hAnsi="Times New Roman" w:cs="Times New Roman"/>
          <w:color w:val="auto"/>
          <w:sz w:val="24"/>
          <w:szCs w:val="24"/>
          <w:highlight w:val="none"/>
          <w:lang w:val="en-US" w:eastAsia="zh-CN"/>
        </w:rPr>
        <w:t>0万m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则新水</w:t>
      </w:r>
      <w:r>
        <w:rPr>
          <w:rFonts w:hint="default" w:ascii="Times New Roman" w:hAnsi="Times New Roman" w:cs="Times New Roman"/>
          <w:color w:val="auto"/>
          <w:sz w:val="24"/>
          <w:szCs w:val="24"/>
          <w:highlight w:val="none"/>
          <w:lang w:val="en-US" w:eastAsia="zh-CN"/>
        </w:rPr>
        <w:t>用水量为</w:t>
      </w:r>
      <w:r>
        <w:rPr>
          <w:rFonts w:hint="eastAsia" w:cs="Times New Roman"/>
          <w:color w:val="auto"/>
          <w:sz w:val="24"/>
          <w:szCs w:val="24"/>
          <w:highlight w:val="none"/>
          <w:lang w:val="en-US" w:eastAsia="zh-CN"/>
        </w:rPr>
        <w:t>4</w:t>
      </w:r>
      <w:r>
        <w:rPr>
          <w:rFonts w:hint="default" w:ascii="Times New Roman" w:hAnsi="Times New Roman" w:cs="Times New Roman"/>
          <w:color w:val="auto"/>
          <w:sz w:val="24"/>
          <w:szCs w:val="24"/>
          <w:highlight w:val="none"/>
          <w:lang w:val="en-US" w:eastAsia="zh-CN"/>
        </w:rPr>
        <w:t>0000m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/a（</w:t>
      </w:r>
      <w:r>
        <w:rPr>
          <w:rFonts w:hint="eastAsia" w:cs="Times New Roman"/>
          <w:color w:val="auto"/>
          <w:sz w:val="24"/>
          <w:szCs w:val="24"/>
          <w:highlight w:val="none"/>
          <w:lang w:val="en-US" w:eastAsia="zh-CN"/>
        </w:rPr>
        <w:t>133</w:t>
      </w:r>
      <w:r>
        <w:rPr>
          <w:rFonts w:hint="default" w:ascii="Times New Roman" w:hAnsi="Times New Roman" w:cs="Times New Roman"/>
          <w:color w:val="auto"/>
          <w:sz w:val="24"/>
          <w:szCs w:val="24"/>
          <w:highlight w:val="none"/>
          <w:lang w:val="en-US" w:eastAsia="zh-CN"/>
        </w:rPr>
        <w:t>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/d），</w:t>
      </w:r>
      <w:r>
        <w:rPr>
          <w:rFonts w:hint="eastAsia" w:cs="Times New Roman"/>
          <w:color w:val="auto"/>
          <w:sz w:val="24"/>
          <w:szCs w:val="24"/>
          <w:highlight w:val="none"/>
          <w:lang w:val="en-US" w:eastAsia="zh-CN"/>
        </w:rPr>
        <w:t>循环水损失量为5%计，则年循环水量为800000m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lang w:val="en-US" w:eastAsia="zh-CN"/>
        </w:rPr>
        <w:t>/a</w:t>
      </w:r>
      <w:r>
        <w:rPr>
          <w:rFonts w:hint="default" w:ascii="Times New Roman" w:hAnsi="Times New Roman" w:cs="Times New Roman"/>
          <w:color w:val="auto"/>
          <w:sz w:val="24"/>
          <w:szCs w:val="24"/>
          <w:highlight w:val="none"/>
          <w:lang w:val="en-US" w:eastAsia="zh-CN"/>
        </w:rPr>
        <w:t>。</w:t>
      </w:r>
    </w:p>
    <w:p w14:paraId="1D2EDB5D">
      <w:pPr>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②降尘用水</w:t>
      </w:r>
    </w:p>
    <w:p w14:paraId="33DDF65A">
      <w:pPr>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道路降尘：参考《室外给水设计标准》（GB50013-2018），道路抑尘洒水按2L/m</w:t>
      </w:r>
      <w:r>
        <w:rPr>
          <w:rFonts w:hint="default" w:ascii="Times New Roman" w:hAnsi="Times New Roman" w:cs="Times New Roman"/>
          <w:color w:val="auto"/>
          <w:sz w:val="24"/>
          <w:szCs w:val="24"/>
          <w:highlight w:val="none"/>
          <w:vertAlign w:val="superscript"/>
          <w:lang w:val="en-US" w:eastAsia="zh-CN"/>
        </w:rPr>
        <w:t>2</w:t>
      </w:r>
      <w:r>
        <w:rPr>
          <w:rFonts w:hint="default" w:ascii="Times New Roman" w:hAnsi="Times New Roman" w:cs="Times New Roman"/>
          <w:color w:val="auto"/>
          <w:sz w:val="24"/>
          <w:szCs w:val="24"/>
          <w:highlight w:val="none"/>
          <w:lang w:val="en-US" w:eastAsia="zh-CN"/>
        </w:rPr>
        <w:t>·d计，矿区范围内设计道路3km，宽5m，则道路抑尘洒水约30m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/d（9000m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/a）；</w:t>
      </w:r>
    </w:p>
    <w:p w14:paraId="2D6C9C7E">
      <w:pPr>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采场、工业广场降尘及堆场：项目开采过程中挖掘机采掘和铲装等过程会产生粉尘，开采过程中产生的粉尘采用1台移动式雾炮机降尘，工业广场场地、表土堆场及排土场需定期进行洒水降尘。根据经验参数，用水量为10L/t，项目年开采80万t，降尘用水量约为8000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/a（27m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/d）。</w:t>
      </w:r>
    </w:p>
    <w:p w14:paraId="3F1C7637">
      <w:pPr>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则本项目防尘洒水用水量共计为17000m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/a。</w:t>
      </w:r>
    </w:p>
    <w:p w14:paraId="2D11860D">
      <w:pPr>
        <w:numPr>
          <w:ilvl w:val="0"/>
          <w:numId w:val="21"/>
        </w:numPr>
        <w:spacing w:beforeLines="0" w:afterLines="0"/>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生活用水</w:t>
      </w:r>
    </w:p>
    <w:p w14:paraId="7554EC80">
      <w:pPr>
        <w:numPr>
          <w:ilvl w:val="0"/>
          <w:numId w:val="0"/>
        </w:numPr>
        <w:spacing w:beforeLines="0" w:afterLines="0"/>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根据《新疆维吾尔自治区生活用水定额》中规定：生活用水按每人100L/d计算，本项目</w:t>
      </w:r>
      <w:r>
        <w:rPr>
          <w:rFonts w:hint="default" w:ascii="Times New Roman" w:hAnsi="Times New Roman" w:cs="Times New Roman"/>
          <w:color w:val="auto"/>
          <w:sz w:val="24"/>
          <w:szCs w:val="24"/>
          <w:highlight w:val="none"/>
          <w:lang w:val="en-US" w:eastAsia="zh-CN"/>
        </w:rPr>
        <w:t>工作人员32人，</w:t>
      </w:r>
      <w:r>
        <w:rPr>
          <w:rFonts w:hint="default" w:ascii="Times New Roman" w:hAnsi="Times New Roman" w:cs="Times New Roman"/>
          <w:color w:val="auto"/>
          <w:sz w:val="24"/>
          <w:szCs w:val="24"/>
          <w:highlight w:val="none"/>
        </w:rPr>
        <w:t>生活用水量约为</w:t>
      </w:r>
      <w:r>
        <w:rPr>
          <w:rFonts w:hint="default" w:ascii="Times New Roman" w:hAnsi="Times New Roman" w:cs="Times New Roman"/>
          <w:color w:val="auto"/>
          <w:sz w:val="24"/>
          <w:szCs w:val="24"/>
          <w:highlight w:val="none"/>
          <w:lang w:val="en-US" w:eastAsia="zh-CN"/>
        </w:rPr>
        <w:t>3.2</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/d</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960</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a</w:t>
      </w:r>
      <w:r>
        <w:rPr>
          <w:rFonts w:hint="default" w:ascii="Times New Roman" w:hAnsi="Times New Roman" w:cs="Times New Roman"/>
          <w:color w:val="auto"/>
          <w:sz w:val="24"/>
          <w:szCs w:val="24"/>
          <w:highlight w:val="none"/>
        </w:rPr>
        <w:t>，全部为新鲜水，矿区设置一个生活用水储罐，可满足日常用水需求。</w:t>
      </w:r>
    </w:p>
    <w:p w14:paraId="36B8C2D3">
      <w:pPr>
        <w:spacing w:beforeLines="0" w:afterLines="0"/>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lang w:eastAsia="zh-CN"/>
        </w:rPr>
        <w:t>——</w:t>
      </w:r>
      <w:r>
        <w:rPr>
          <w:rFonts w:hint="default" w:ascii="Times New Roman" w:hAnsi="Times New Roman" w:cs="Times New Roman"/>
          <w:b/>
          <w:color w:val="auto"/>
          <w:sz w:val="24"/>
          <w:szCs w:val="24"/>
          <w:highlight w:val="none"/>
        </w:rPr>
        <w:t>排水</w:t>
      </w:r>
    </w:p>
    <w:p w14:paraId="75809C12">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①生产、生活区排水</w:t>
      </w:r>
    </w:p>
    <w:p w14:paraId="3A9D40AD">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本项目降尘用水自然蒸发；生产废水经沉淀后循环利用，无外排废水产生。本项目生活</w:t>
      </w:r>
      <w:r>
        <w:rPr>
          <w:rFonts w:hint="default" w:ascii="Times New Roman" w:hAnsi="Times New Roman" w:cs="Times New Roman"/>
          <w:color w:val="auto"/>
          <w:sz w:val="24"/>
          <w:szCs w:val="24"/>
          <w:highlight w:val="none"/>
          <w:lang w:val="en-US" w:eastAsia="zh-CN"/>
        </w:rPr>
        <w:t>污水</w:t>
      </w:r>
      <w:r>
        <w:rPr>
          <w:rFonts w:hint="default" w:ascii="Times New Roman" w:hAnsi="Times New Roman" w:cs="Times New Roman"/>
          <w:color w:val="auto"/>
          <w:sz w:val="24"/>
          <w:szCs w:val="24"/>
          <w:highlight w:val="none"/>
        </w:rPr>
        <w:t>排水量以用水量的80%计算，则日常生活污水排放量为</w:t>
      </w:r>
      <w:r>
        <w:rPr>
          <w:rFonts w:hint="default" w:ascii="Times New Roman" w:hAnsi="Times New Roman" w:cs="Times New Roman"/>
          <w:color w:val="auto"/>
          <w:sz w:val="24"/>
          <w:szCs w:val="24"/>
          <w:highlight w:val="none"/>
          <w:lang w:val="en-US" w:eastAsia="zh-CN"/>
        </w:rPr>
        <w:t>2.56</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/d</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768</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/a，生活污水</w:t>
      </w:r>
      <w:r>
        <w:rPr>
          <w:rFonts w:hint="default" w:ascii="Times New Roman" w:hAnsi="Times New Roman" w:cs="Times New Roman"/>
          <w:color w:val="auto"/>
          <w:sz w:val="24"/>
          <w:szCs w:val="24"/>
          <w:highlight w:val="none"/>
          <w:lang w:val="en-US" w:eastAsia="zh-CN"/>
        </w:rPr>
        <w:t>经地埋式污水处理设施</w:t>
      </w:r>
      <w:r>
        <w:rPr>
          <w:rFonts w:hint="default" w:ascii="Times New Roman" w:hAnsi="Times New Roman" w:cs="Times New Roman"/>
          <w:color w:val="auto"/>
          <w:sz w:val="24"/>
          <w:szCs w:val="24"/>
          <w:highlight w:val="none"/>
        </w:rPr>
        <w:t>处理后，出水用于矿区洒水降尘。</w:t>
      </w:r>
    </w:p>
    <w:p w14:paraId="772EE659">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②采场排水</w:t>
      </w:r>
    </w:p>
    <w:p w14:paraId="2032FE51">
      <w:pPr>
        <w:spacing w:beforeLines="0" w:afterLines="0"/>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矿区蒸发量远远大于降雨量，大气降水仅有少部分降水渗入地下补给地下水。地表水对矿床无补给，地下水对矿床也无补给。矿区地层主要为第四系风成松散堆积砂，具有良好的透水性，大气降水在该层中即迅速渗失，不会在采坑中长时间形成积水，采场底部不设排水设施。</w:t>
      </w:r>
    </w:p>
    <w:p w14:paraId="663BF007">
      <w:pPr>
        <w:spacing w:beforeLines="0" w:afterLines="0"/>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开采境界外修建截水沟</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将雨水导流至开采境界外，防止雨水流入采场，影响采场生产和边坡稳定。</w:t>
      </w:r>
    </w:p>
    <w:p w14:paraId="324A5601">
      <w:pPr>
        <w:spacing w:beforeLines="0" w:afterLines="0"/>
        <w:ind w:firstLine="480"/>
        <w:rPr>
          <w:rFonts w:hint="default" w:ascii="Times New Roman" w:hAnsi="Times New Roman" w:cs="Times New Roman"/>
          <w:color w:val="FF0000"/>
          <w:sz w:val="24"/>
          <w:szCs w:val="24"/>
          <w:highlight w:val="none"/>
        </w:rPr>
      </w:pPr>
      <w:r>
        <w:rPr>
          <w:rFonts w:hint="default" w:ascii="Times New Roman" w:hAnsi="Times New Roman" w:cs="Times New Roman"/>
          <w:color w:val="FF0000"/>
          <w:sz w:val="24"/>
          <w:szCs w:val="24"/>
          <w:highlight w:val="none"/>
        </w:rPr>
        <w:t>项目给排水一览表见表3.5-1，项目给排水平衡图见图 3.5-1。</w:t>
      </w:r>
    </w:p>
    <w:p w14:paraId="710C4F24">
      <w:pPr>
        <w:pStyle w:val="45"/>
        <w:spacing w:beforeLines="0" w:afterLines="0"/>
        <w:rPr>
          <w:rFonts w:hint="default" w:ascii="Times New Roman" w:hAnsi="Times New Roman" w:cs="Times New Roman"/>
          <w:color w:val="FF0000"/>
          <w:sz w:val="24"/>
          <w:szCs w:val="24"/>
          <w:highlight w:val="none"/>
        </w:rPr>
      </w:pPr>
      <w:r>
        <w:rPr>
          <w:rFonts w:hint="default" w:ascii="Times New Roman" w:hAnsi="Times New Roman" w:cs="Times New Roman"/>
          <w:color w:val="FF0000"/>
          <w:sz w:val="24"/>
          <w:szCs w:val="24"/>
          <w:highlight w:val="none"/>
        </w:rPr>
        <w:t>表 3.5-1</w:t>
      </w:r>
      <w:r>
        <w:rPr>
          <w:rFonts w:hint="default" w:ascii="Times New Roman" w:hAnsi="Times New Roman" w:cs="Times New Roman"/>
          <w:color w:val="FF0000"/>
          <w:sz w:val="24"/>
          <w:szCs w:val="24"/>
          <w:highlight w:val="none"/>
        </w:rPr>
        <w:tab/>
      </w:r>
      <w:r>
        <w:rPr>
          <w:rFonts w:hint="default" w:ascii="Times New Roman" w:hAnsi="Times New Roman" w:cs="Times New Roman"/>
          <w:color w:val="FF0000"/>
          <w:sz w:val="24"/>
          <w:szCs w:val="24"/>
          <w:highlight w:val="none"/>
        </w:rPr>
        <w:t>项目给排水一览表</w:t>
      </w:r>
      <w:r>
        <w:rPr>
          <w:rFonts w:hint="default" w:ascii="Times New Roman" w:hAnsi="Times New Roman" w:cs="Times New Roman"/>
          <w:color w:val="FF0000"/>
          <w:sz w:val="24"/>
          <w:szCs w:val="24"/>
          <w:highlight w:val="none"/>
        </w:rPr>
        <w:tab/>
      </w:r>
    </w:p>
    <w:tbl>
      <w:tblPr>
        <w:tblStyle w:val="31"/>
        <w:tblW w:w="9167" w:type="dxa"/>
        <w:tblInd w:w="2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71"/>
        <w:gridCol w:w="1531"/>
        <w:gridCol w:w="1302"/>
        <w:gridCol w:w="1110"/>
        <w:gridCol w:w="1070"/>
        <w:gridCol w:w="1260"/>
        <w:gridCol w:w="2323"/>
      </w:tblGrid>
      <w:tr w14:paraId="5E5726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57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65609FC">
            <w:pPr>
              <w:pStyle w:val="48"/>
              <w:spacing w:beforeLines="0" w:afterLines="0"/>
              <w:rPr>
                <w:rFonts w:hint="default" w:ascii="Times New Roman" w:hAnsi="Times New Roman" w:cs="Times New Roman"/>
                <w:color w:val="FF0000"/>
                <w:sz w:val="21"/>
                <w:szCs w:val="24"/>
                <w:highlight w:val="none"/>
              </w:rPr>
            </w:pPr>
            <w:r>
              <w:rPr>
                <w:rFonts w:hint="default" w:ascii="Times New Roman" w:hAnsi="Times New Roman" w:cs="Times New Roman"/>
                <w:color w:val="FF0000"/>
                <w:sz w:val="21"/>
                <w:szCs w:val="24"/>
                <w:highlight w:val="none"/>
              </w:rPr>
              <w:t>序号</w:t>
            </w:r>
          </w:p>
        </w:tc>
        <w:tc>
          <w:tcPr>
            <w:tcW w:w="153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BAFE31A">
            <w:pPr>
              <w:pStyle w:val="48"/>
              <w:spacing w:beforeLines="0" w:afterLines="0"/>
              <w:rPr>
                <w:rFonts w:hint="default" w:ascii="Times New Roman" w:hAnsi="Times New Roman" w:cs="Times New Roman"/>
                <w:color w:val="FF0000"/>
                <w:sz w:val="21"/>
                <w:szCs w:val="24"/>
                <w:highlight w:val="none"/>
              </w:rPr>
            </w:pPr>
            <w:r>
              <w:rPr>
                <w:rFonts w:hint="default" w:ascii="Times New Roman" w:hAnsi="Times New Roman" w:cs="Times New Roman"/>
                <w:color w:val="FF0000"/>
                <w:sz w:val="21"/>
                <w:szCs w:val="24"/>
                <w:highlight w:val="none"/>
              </w:rPr>
              <w:t>用水工序</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BACC18F">
            <w:pPr>
              <w:pStyle w:val="48"/>
              <w:spacing w:beforeLines="0" w:afterLines="0"/>
              <w:rPr>
                <w:rFonts w:hint="default" w:ascii="Times New Roman" w:hAnsi="Times New Roman" w:cs="Times New Roman"/>
                <w:color w:val="FF0000"/>
                <w:sz w:val="21"/>
                <w:szCs w:val="24"/>
                <w:highlight w:val="none"/>
              </w:rPr>
            </w:pPr>
            <w:r>
              <w:rPr>
                <w:rFonts w:hint="default" w:ascii="Times New Roman" w:hAnsi="Times New Roman" w:cs="Times New Roman"/>
                <w:color w:val="FF0000"/>
                <w:sz w:val="21"/>
                <w:szCs w:val="24"/>
                <w:highlight w:val="none"/>
                <w:lang w:val="en-US" w:eastAsia="zh-CN"/>
              </w:rPr>
              <w:t>新水</w:t>
            </w:r>
            <w:r>
              <w:rPr>
                <w:rFonts w:hint="default" w:ascii="Times New Roman" w:hAnsi="Times New Roman" w:cs="Times New Roman"/>
                <w:color w:val="FF0000"/>
                <w:sz w:val="21"/>
                <w:szCs w:val="24"/>
                <w:highlight w:val="none"/>
              </w:rPr>
              <w:t>用水量</w:t>
            </w:r>
          </w:p>
          <w:p w14:paraId="041146CA">
            <w:pPr>
              <w:pStyle w:val="48"/>
              <w:spacing w:beforeLines="0" w:afterLines="0"/>
              <w:rPr>
                <w:rFonts w:hint="default" w:ascii="Times New Roman" w:hAnsi="Times New Roman" w:cs="Times New Roman"/>
                <w:color w:val="FF0000"/>
                <w:sz w:val="21"/>
                <w:szCs w:val="24"/>
                <w:highlight w:val="none"/>
              </w:rPr>
            </w:pPr>
            <w:r>
              <w:rPr>
                <w:rFonts w:hint="default" w:ascii="Times New Roman" w:hAnsi="Times New Roman" w:cs="Times New Roman"/>
                <w:color w:val="FF0000"/>
                <w:sz w:val="21"/>
                <w:szCs w:val="24"/>
                <w:highlight w:val="none"/>
              </w:rPr>
              <w:t>（m</w:t>
            </w:r>
            <w:r>
              <w:rPr>
                <w:rFonts w:hint="default" w:ascii="Times New Roman" w:hAnsi="Times New Roman" w:cs="Times New Roman"/>
                <w:color w:val="FF0000"/>
                <w:sz w:val="21"/>
                <w:szCs w:val="24"/>
                <w:highlight w:val="none"/>
                <w:vertAlign w:val="superscript"/>
              </w:rPr>
              <w:t>3</w:t>
            </w:r>
            <w:r>
              <w:rPr>
                <w:rFonts w:hint="default" w:ascii="Times New Roman" w:hAnsi="Times New Roman" w:cs="Times New Roman"/>
                <w:color w:val="FF0000"/>
                <w:sz w:val="21"/>
                <w:szCs w:val="24"/>
                <w:highlight w:val="none"/>
              </w:rPr>
              <w:t>/</w:t>
            </w:r>
            <w:r>
              <w:rPr>
                <w:rFonts w:hint="default" w:ascii="Times New Roman" w:hAnsi="Times New Roman" w:cs="Times New Roman"/>
                <w:color w:val="FF0000"/>
                <w:sz w:val="21"/>
                <w:szCs w:val="24"/>
                <w:highlight w:val="none"/>
                <w:lang w:val="en-US" w:eastAsia="zh-CN"/>
              </w:rPr>
              <w:t>a</w:t>
            </w:r>
            <w:r>
              <w:rPr>
                <w:rFonts w:hint="default" w:ascii="Times New Roman" w:hAnsi="Times New Roman" w:cs="Times New Roman"/>
                <w:color w:val="FF0000"/>
                <w:sz w:val="21"/>
                <w:szCs w:val="24"/>
                <w:highlight w:val="none"/>
              </w:rPr>
              <w:t>）</w:t>
            </w:r>
          </w:p>
        </w:tc>
        <w:tc>
          <w:tcPr>
            <w:tcW w:w="11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357BB3">
            <w:pPr>
              <w:pStyle w:val="48"/>
              <w:spacing w:beforeLines="0" w:afterLines="0"/>
              <w:rPr>
                <w:rFonts w:hint="default" w:ascii="Times New Roman" w:hAnsi="Times New Roman" w:cs="Times New Roman"/>
                <w:color w:val="FF0000"/>
                <w:sz w:val="21"/>
                <w:szCs w:val="24"/>
                <w:highlight w:val="none"/>
              </w:rPr>
            </w:pPr>
            <w:r>
              <w:rPr>
                <w:rFonts w:hint="default" w:ascii="Times New Roman" w:hAnsi="Times New Roman" w:cs="Times New Roman"/>
                <w:color w:val="FF0000"/>
                <w:sz w:val="21"/>
                <w:szCs w:val="24"/>
                <w:highlight w:val="none"/>
              </w:rPr>
              <w:t>损耗量</w:t>
            </w:r>
          </w:p>
          <w:p w14:paraId="3A5D297E">
            <w:pPr>
              <w:pStyle w:val="48"/>
              <w:spacing w:beforeLines="0" w:afterLines="0"/>
              <w:rPr>
                <w:rFonts w:hint="default" w:ascii="Times New Roman" w:hAnsi="Times New Roman" w:cs="Times New Roman"/>
                <w:color w:val="FF0000"/>
                <w:sz w:val="21"/>
                <w:szCs w:val="24"/>
                <w:highlight w:val="none"/>
              </w:rPr>
            </w:pPr>
            <w:r>
              <w:rPr>
                <w:rFonts w:hint="default" w:ascii="Times New Roman" w:hAnsi="Times New Roman" w:cs="Times New Roman"/>
                <w:color w:val="FF0000"/>
                <w:sz w:val="21"/>
                <w:szCs w:val="24"/>
                <w:highlight w:val="none"/>
              </w:rPr>
              <w:t>（m</w:t>
            </w:r>
            <w:r>
              <w:rPr>
                <w:rFonts w:hint="default" w:ascii="Times New Roman" w:hAnsi="Times New Roman" w:cs="Times New Roman"/>
                <w:color w:val="FF0000"/>
                <w:sz w:val="21"/>
                <w:szCs w:val="24"/>
                <w:highlight w:val="none"/>
                <w:vertAlign w:val="superscript"/>
              </w:rPr>
              <w:t>3</w:t>
            </w:r>
            <w:r>
              <w:rPr>
                <w:rFonts w:hint="default" w:ascii="Times New Roman" w:hAnsi="Times New Roman" w:cs="Times New Roman"/>
                <w:color w:val="FF0000"/>
                <w:sz w:val="21"/>
                <w:szCs w:val="24"/>
                <w:highlight w:val="none"/>
              </w:rPr>
              <w:t>/</w:t>
            </w:r>
            <w:r>
              <w:rPr>
                <w:rFonts w:hint="default" w:ascii="Times New Roman" w:hAnsi="Times New Roman" w:cs="Times New Roman"/>
                <w:color w:val="FF0000"/>
                <w:sz w:val="21"/>
                <w:szCs w:val="24"/>
                <w:highlight w:val="none"/>
                <w:lang w:val="en-US" w:eastAsia="zh-CN"/>
              </w:rPr>
              <w:t>a</w:t>
            </w:r>
            <w:r>
              <w:rPr>
                <w:rFonts w:hint="default" w:ascii="Times New Roman" w:hAnsi="Times New Roman" w:cs="Times New Roman"/>
                <w:color w:val="FF0000"/>
                <w:sz w:val="21"/>
                <w:szCs w:val="24"/>
                <w:highlight w:val="none"/>
              </w:rPr>
              <w:t>）</w:t>
            </w:r>
          </w:p>
        </w:tc>
        <w:tc>
          <w:tcPr>
            <w:tcW w:w="107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408D9C0">
            <w:pPr>
              <w:pStyle w:val="48"/>
              <w:spacing w:beforeLines="0" w:afterLines="0"/>
              <w:rPr>
                <w:rFonts w:hint="default" w:ascii="Times New Roman" w:hAnsi="Times New Roman" w:cs="Times New Roman"/>
                <w:color w:val="FF0000"/>
                <w:sz w:val="21"/>
                <w:szCs w:val="24"/>
                <w:highlight w:val="none"/>
              </w:rPr>
            </w:pPr>
            <w:r>
              <w:rPr>
                <w:rFonts w:hint="default" w:ascii="Times New Roman" w:hAnsi="Times New Roman" w:cs="Times New Roman"/>
                <w:color w:val="FF0000"/>
                <w:sz w:val="21"/>
                <w:szCs w:val="24"/>
                <w:highlight w:val="none"/>
              </w:rPr>
              <w:t>排水量</w:t>
            </w:r>
          </w:p>
          <w:p w14:paraId="3924A814">
            <w:pPr>
              <w:pStyle w:val="48"/>
              <w:spacing w:beforeLines="0" w:afterLines="0"/>
              <w:rPr>
                <w:rFonts w:hint="default" w:ascii="Times New Roman" w:hAnsi="Times New Roman" w:cs="Times New Roman"/>
                <w:color w:val="FF0000"/>
                <w:sz w:val="21"/>
                <w:szCs w:val="24"/>
                <w:highlight w:val="none"/>
              </w:rPr>
            </w:pPr>
            <w:r>
              <w:rPr>
                <w:rFonts w:hint="default" w:ascii="Times New Roman" w:hAnsi="Times New Roman" w:cs="Times New Roman"/>
                <w:color w:val="FF0000"/>
                <w:sz w:val="21"/>
                <w:szCs w:val="24"/>
                <w:highlight w:val="none"/>
              </w:rPr>
              <w:t>（m</w:t>
            </w:r>
            <w:r>
              <w:rPr>
                <w:rFonts w:hint="default" w:ascii="Times New Roman" w:hAnsi="Times New Roman" w:cs="Times New Roman"/>
                <w:color w:val="FF0000"/>
                <w:sz w:val="21"/>
                <w:szCs w:val="24"/>
                <w:highlight w:val="none"/>
                <w:vertAlign w:val="superscript"/>
              </w:rPr>
              <w:t>3</w:t>
            </w:r>
            <w:r>
              <w:rPr>
                <w:rFonts w:hint="default" w:ascii="Times New Roman" w:hAnsi="Times New Roman" w:cs="Times New Roman"/>
                <w:color w:val="FF0000"/>
                <w:sz w:val="21"/>
                <w:szCs w:val="24"/>
                <w:highlight w:val="none"/>
              </w:rPr>
              <w:t>/</w:t>
            </w:r>
            <w:r>
              <w:rPr>
                <w:rFonts w:hint="default" w:ascii="Times New Roman" w:hAnsi="Times New Roman" w:cs="Times New Roman"/>
                <w:color w:val="FF0000"/>
                <w:sz w:val="21"/>
                <w:szCs w:val="24"/>
                <w:highlight w:val="none"/>
                <w:lang w:val="en-US" w:eastAsia="zh-CN"/>
              </w:rPr>
              <w:t>a</w:t>
            </w:r>
            <w:r>
              <w:rPr>
                <w:rFonts w:hint="default" w:ascii="Times New Roman" w:hAnsi="Times New Roman" w:cs="Times New Roman"/>
                <w:color w:val="FF0000"/>
                <w:sz w:val="21"/>
                <w:szCs w:val="24"/>
                <w:highlight w:val="none"/>
              </w:rPr>
              <w:t>）</w:t>
            </w:r>
          </w:p>
        </w:tc>
        <w:tc>
          <w:tcPr>
            <w:tcW w:w="126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A6D1DDF">
            <w:pPr>
              <w:pStyle w:val="48"/>
              <w:spacing w:beforeLines="0" w:afterLines="0"/>
              <w:rPr>
                <w:rFonts w:hint="default" w:ascii="Times New Roman" w:hAnsi="Times New Roman" w:cs="Times New Roman"/>
                <w:color w:val="FF0000"/>
                <w:sz w:val="21"/>
                <w:szCs w:val="24"/>
                <w:highlight w:val="none"/>
              </w:rPr>
            </w:pPr>
            <w:r>
              <w:rPr>
                <w:rFonts w:hint="eastAsia" w:ascii="Times New Roman" w:hAnsi="Times New Roman" w:cs="Times New Roman"/>
                <w:color w:val="FF0000"/>
                <w:sz w:val="21"/>
                <w:szCs w:val="24"/>
                <w:highlight w:val="none"/>
                <w:lang w:val="en-US" w:eastAsia="zh-CN"/>
              </w:rPr>
              <w:t>循环</w:t>
            </w:r>
            <w:r>
              <w:rPr>
                <w:rFonts w:hint="default" w:ascii="Times New Roman" w:hAnsi="Times New Roman" w:cs="Times New Roman"/>
                <w:color w:val="FF0000"/>
                <w:sz w:val="21"/>
                <w:szCs w:val="24"/>
                <w:highlight w:val="none"/>
              </w:rPr>
              <w:t>水量（m</w:t>
            </w:r>
            <w:r>
              <w:rPr>
                <w:rFonts w:hint="default" w:ascii="Times New Roman" w:hAnsi="Times New Roman" w:cs="Times New Roman"/>
                <w:color w:val="FF0000"/>
                <w:sz w:val="21"/>
                <w:szCs w:val="24"/>
                <w:highlight w:val="none"/>
                <w:vertAlign w:val="superscript"/>
              </w:rPr>
              <w:t>3</w:t>
            </w:r>
            <w:r>
              <w:rPr>
                <w:rFonts w:hint="default" w:ascii="Times New Roman" w:hAnsi="Times New Roman" w:cs="Times New Roman"/>
                <w:color w:val="FF0000"/>
                <w:sz w:val="21"/>
                <w:szCs w:val="24"/>
                <w:highlight w:val="none"/>
              </w:rPr>
              <w:t>/</w:t>
            </w:r>
            <w:r>
              <w:rPr>
                <w:rFonts w:hint="default" w:ascii="Times New Roman" w:hAnsi="Times New Roman" w:cs="Times New Roman"/>
                <w:color w:val="FF0000"/>
                <w:sz w:val="21"/>
                <w:szCs w:val="24"/>
                <w:highlight w:val="none"/>
                <w:lang w:val="en-US" w:eastAsia="zh-CN"/>
              </w:rPr>
              <w:t>a</w:t>
            </w:r>
            <w:r>
              <w:rPr>
                <w:rFonts w:hint="default" w:ascii="Times New Roman" w:hAnsi="Times New Roman" w:cs="Times New Roman"/>
                <w:color w:val="FF0000"/>
                <w:sz w:val="21"/>
                <w:szCs w:val="24"/>
                <w:highlight w:val="none"/>
              </w:rPr>
              <w:t>）</w:t>
            </w:r>
          </w:p>
        </w:tc>
        <w:tc>
          <w:tcPr>
            <w:tcW w:w="232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7B5AD22">
            <w:pPr>
              <w:pStyle w:val="48"/>
              <w:spacing w:beforeLines="0" w:afterLines="0"/>
              <w:rPr>
                <w:rFonts w:hint="default" w:ascii="Times New Roman" w:hAnsi="Times New Roman" w:cs="Times New Roman"/>
                <w:color w:val="FF0000"/>
                <w:sz w:val="21"/>
                <w:szCs w:val="24"/>
                <w:highlight w:val="none"/>
              </w:rPr>
            </w:pPr>
            <w:r>
              <w:rPr>
                <w:rFonts w:hint="default" w:ascii="Times New Roman" w:hAnsi="Times New Roman" w:cs="Times New Roman"/>
                <w:color w:val="FF0000"/>
                <w:sz w:val="21"/>
                <w:szCs w:val="24"/>
                <w:highlight w:val="none"/>
              </w:rPr>
              <w:t>最终去向</w:t>
            </w:r>
          </w:p>
        </w:tc>
      </w:tr>
      <w:tr w14:paraId="739EAD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57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B5A4A02">
            <w:pPr>
              <w:pStyle w:val="48"/>
              <w:spacing w:beforeLines="0" w:afterLines="0"/>
              <w:rPr>
                <w:rFonts w:hint="default" w:ascii="Times New Roman" w:hAnsi="Times New Roman" w:cs="Times New Roman"/>
                <w:color w:val="FF0000"/>
                <w:sz w:val="21"/>
                <w:szCs w:val="24"/>
                <w:highlight w:val="none"/>
                <w:lang w:val="en-US" w:eastAsia="zh-CN"/>
              </w:rPr>
            </w:pPr>
            <w:r>
              <w:rPr>
                <w:rFonts w:hint="default" w:ascii="Times New Roman" w:hAnsi="Times New Roman" w:cs="Times New Roman"/>
                <w:color w:val="FF0000"/>
                <w:sz w:val="21"/>
                <w:szCs w:val="24"/>
                <w:highlight w:val="none"/>
                <w:lang w:val="en-US" w:eastAsia="zh-CN"/>
              </w:rPr>
              <w:t>1</w:t>
            </w:r>
          </w:p>
        </w:tc>
        <w:tc>
          <w:tcPr>
            <w:tcW w:w="153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0F8AC9">
            <w:pPr>
              <w:pStyle w:val="48"/>
              <w:spacing w:beforeLines="0" w:afterLines="0"/>
              <w:rPr>
                <w:rFonts w:hint="default" w:ascii="Times New Roman" w:hAnsi="Times New Roman" w:cs="Times New Roman"/>
                <w:color w:val="FF0000"/>
                <w:sz w:val="21"/>
                <w:szCs w:val="24"/>
                <w:highlight w:val="none"/>
              </w:rPr>
            </w:pPr>
            <w:r>
              <w:rPr>
                <w:rFonts w:hint="default" w:ascii="Times New Roman" w:hAnsi="Times New Roman" w:cs="Times New Roman"/>
                <w:color w:val="FF0000"/>
                <w:sz w:val="21"/>
                <w:szCs w:val="24"/>
                <w:highlight w:val="none"/>
                <w:lang w:val="en-US" w:eastAsia="zh-CN"/>
              </w:rPr>
              <w:t>洗砂</w:t>
            </w:r>
            <w:r>
              <w:rPr>
                <w:rFonts w:hint="default" w:ascii="Times New Roman" w:hAnsi="Times New Roman" w:cs="Times New Roman"/>
                <w:color w:val="FF0000"/>
                <w:sz w:val="21"/>
                <w:szCs w:val="24"/>
                <w:highlight w:val="none"/>
              </w:rPr>
              <w:t>用水</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482F494">
            <w:pPr>
              <w:pStyle w:val="48"/>
              <w:spacing w:beforeLines="0" w:afterLines="0"/>
              <w:rPr>
                <w:rFonts w:hint="default" w:ascii="Times New Roman" w:hAnsi="Times New Roman" w:cs="Times New Roman"/>
                <w:color w:val="FF0000"/>
                <w:sz w:val="21"/>
                <w:szCs w:val="24"/>
                <w:highlight w:val="none"/>
              </w:rPr>
            </w:pPr>
            <w:r>
              <w:rPr>
                <w:rFonts w:hint="default" w:ascii="Times New Roman" w:hAnsi="Times New Roman" w:cs="Times New Roman"/>
                <w:color w:val="FF0000"/>
                <w:sz w:val="21"/>
                <w:szCs w:val="24"/>
                <w:highlight w:val="none"/>
                <w:lang w:val="en-US" w:eastAsia="zh-CN"/>
              </w:rPr>
              <w:t>40000</w:t>
            </w:r>
          </w:p>
        </w:tc>
        <w:tc>
          <w:tcPr>
            <w:tcW w:w="11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8AFC8D">
            <w:pPr>
              <w:pStyle w:val="48"/>
              <w:spacing w:beforeLines="0" w:afterLines="0"/>
              <w:rPr>
                <w:rFonts w:hint="default" w:ascii="Times New Roman" w:hAnsi="Times New Roman" w:cs="Times New Roman"/>
                <w:color w:val="FF0000"/>
                <w:sz w:val="21"/>
                <w:szCs w:val="24"/>
                <w:highlight w:val="none"/>
              </w:rPr>
            </w:pPr>
            <w:r>
              <w:rPr>
                <w:rFonts w:hint="default" w:ascii="Times New Roman" w:hAnsi="Times New Roman" w:cs="Times New Roman"/>
                <w:color w:val="FF0000"/>
                <w:sz w:val="21"/>
                <w:szCs w:val="24"/>
                <w:highlight w:val="none"/>
                <w:lang w:val="en-US" w:eastAsia="zh-CN"/>
              </w:rPr>
              <w:t>40000</w:t>
            </w:r>
          </w:p>
        </w:tc>
        <w:tc>
          <w:tcPr>
            <w:tcW w:w="107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F47C178">
            <w:pPr>
              <w:pStyle w:val="48"/>
              <w:spacing w:beforeLines="0" w:afterLines="0"/>
              <w:rPr>
                <w:rFonts w:hint="default" w:ascii="Times New Roman" w:hAnsi="Times New Roman" w:cs="Times New Roman"/>
                <w:color w:val="FF0000"/>
                <w:sz w:val="21"/>
                <w:szCs w:val="24"/>
                <w:highlight w:val="none"/>
              </w:rPr>
            </w:pPr>
            <w:r>
              <w:rPr>
                <w:rFonts w:hint="default" w:ascii="Times New Roman" w:hAnsi="Times New Roman" w:cs="Times New Roman"/>
                <w:color w:val="FF0000"/>
                <w:sz w:val="21"/>
                <w:szCs w:val="24"/>
                <w:highlight w:val="none"/>
                <w:lang w:val="en-US" w:eastAsia="zh-CN"/>
              </w:rPr>
              <w:t>0</w:t>
            </w:r>
          </w:p>
        </w:tc>
        <w:tc>
          <w:tcPr>
            <w:tcW w:w="126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147F674">
            <w:pPr>
              <w:pStyle w:val="48"/>
              <w:spacing w:beforeLines="0" w:afterLines="0"/>
              <w:rPr>
                <w:rFonts w:hint="default" w:ascii="Times New Roman" w:hAnsi="Times New Roman" w:cs="Times New Roman"/>
                <w:color w:val="FF0000"/>
                <w:sz w:val="21"/>
                <w:szCs w:val="24"/>
                <w:highlight w:val="none"/>
              </w:rPr>
            </w:pPr>
            <w:r>
              <w:rPr>
                <w:rFonts w:hint="default" w:ascii="Times New Roman" w:hAnsi="Times New Roman" w:cs="Times New Roman"/>
                <w:color w:val="FF0000"/>
                <w:sz w:val="21"/>
                <w:szCs w:val="24"/>
                <w:highlight w:val="none"/>
                <w:lang w:val="en-US" w:eastAsia="zh-CN"/>
              </w:rPr>
              <w:t>800000</w:t>
            </w:r>
          </w:p>
        </w:tc>
        <w:tc>
          <w:tcPr>
            <w:tcW w:w="232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B7AE4FC">
            <w:pPr>
              <w:pStyle w:val="48"/>
              <w:spacing w:beforeLines="0" w:afterLines="0"/>
              <w:rPr>
                <w:rFonts w:hint="default" w:ascii="Times New Roman" w:hAnsi="Times New Roman" w:cs="Times New Roman"/>
                <w:color w:val="FF0000"/>
                <w:sz w:val="21"/>
                <w:szCs w:val="24"/>
                <w:highlight w:val="none"/>
              </w:rPr>
            </w:pPr>
            <w:r>
              <w:rPr>
                <w:rFonts w:hint="default" w:ascii="Times New Roman" w:hAnsi="Times New Roman" w:cs="Times New Roman"/>
                <w:color w:val="FF0000"/>
                <w:sz w:val="21"/>
                <w:szCs w:val="24"/>
                <w:highlight w:val="none"/>
              </w:rPr>
              <w:t>沉淀后循环利用</w:t>
            </w:r>
          </w:p>
        </w:tc>
      </w:tr>
      <w:tr w14:paraId="4F047D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57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8DF0165">
            <w:pPr>
              <w:pStyle w:val="48"/>
              <w:spacing w:beforeLines="0" w:afterLines="0"/>
              <w:rPr>
                <w:rFonts w:hint="default" w:ascii="Times New Roman" w:hAnsi="Times New Roman" w:cs="Times New Roman"/>
                <w:color w:val="FF0000"/>
                <w:sz w:val="21"/>
                <w:szCs w:val="24"/>
                <w:highlight w:val="none"/>
                <w:lang w:val="en-US" w:eastAsia="zh-CN"/>
              </w:rPr>
            </w:pPr>
            <w:r>
              <w:rPr>
                <w:rFonts w:hint="default" w:ascii="Times New Roman" w:hAnsi="Times New Roman" w:cs="Times New Roman"/>
                <w:color w:val="FF0000"/>
                <w:sz w:val="21"/>
                <w:szCs w:val="24"/>
                <w:highlight w:val="none"/>
                <w:lang w:val="en-US" w:eastAsia="zh-CN"/>
              </w:rPr>
              <w:t>2</w:t>
            </w:r>
          </w:p>
        </w:tc>
        <w:tc>
          <w:tcPr>
            <w:tcW w:w="153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33C1F27">
            <w:pPr>
              <w:pStyle w:val="48"/>
              <w:spacing w:beforeLines="0" w:afterLines="0"/>
              <w:rPr>
                <w:rFonts w:hint="default" w:ascii="Times New Roman" w:hAnsi="Times New Roman" w:cs="Times New Roman"/>
                <w:color w:val="FF0000"/>
                <w:sz w:val="21"/>
                <w:szCs w:val="24"/>
                <w:highlight w:val="none"/>
                <w:lang w:val="en-US" w:eastAsia="zh-CN"/>
              </w:rPr>
            </w:pPr>
            <w:r>
              <w:rPr>
                <w:rFonts w:hint="default" w:ascii="Times New Roman" w:hAnsi="Times New Roman" w:cs="Times New Roman"/>
                <w:color w:val="FF0000"/>
                <w:sz w:val="21"/>
                <w:szCs w:val="24"/>
                <w:highlight w:val="none"/>
                <w:lang w:val="en-US" w:eastAsia="zh-CN"/>
              </w:rPr>
              <w:t>道路降尘</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A5E9A4B">
            <w:pPr>
              <w:pStyle w:val="48"/>
              <w:spacing w:beforeLines="0" w:afterLines="0"/>
              <w:rPr>
                <w:rFonts w:hint="default" w:ascii="Times New Roman" w:hAnsi="Times New Roman" w:cs="Times New Roman"/>
                <w:color w:val="FF0000"/>
                <w:sz w:val="21"/>
                <w:szCs w:val="24"/>
                <w:highlight w:val="none"/>
                <w:lang w:val="en-US" w:eastAsia="zh-CN"/>
              </w:rPr>
            </w:pPr>
            <w:r>
              <w:rPr>
                <w:rFonts w:hint="default" w:ascii="Times New Roman" w:hAnsi="Times New Roman" w:cs="Times New Roman"/>
                <w:color w:val="FF0000"/>
                <w:sz w:val="21"/>
                <w:szCs w:val="24"/>
                <w:highlight w:val="none"/>
                <w:lang w:val="en-US" w:eastAsia="zh-CN"/>
              </w:rPr>
              <w:t>8232</w:t>
            </w:r>
          </w:p>
        </w:tc>
        <w:tc>
          <w:tcPr>
            <w:tcW w:w="11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FEB2EC1">
            <w:pPr>
              <w:pStyle w:val="48"/>
              <w:spacing w:beforeLines="0" w:afterLines="0"/>
              <w:rPr>
                <w:rFonts w:hint="default" w:ascii="Times New Roman" w:hAnsi="Times New Roman" w:cs="Times New Roman"/>
                <w:color w:val="FF0000"/>
                <w:sz w:val="21"/>
                <w:szCs w:val="24"/>
                <w:highlight w:val="none"/>
                <w:lang w:val="en-US"/>
              </w:rPr>
            </w:pPr>
            <w:r>
              <w:rPr>
                <w:rFonts w:hint="default" w:ascii="Times New Roman" w:hAnsi="Times New Roman" w:cs="Times New Roman"/>
                <w:color w:val="FF0000"/>
                <w:sz w:val="21"/>
                <w:szCs w:val="24"/>
                <w:highlight w:val="none"/>
                <w:lang w:val="en-US" w:eastAsia="zh-CN"/>
              </w:rPr>
              <w:t>8232</w:t>
            </w:r>
          </w:p>
        </w:tc>
        <w:tc>
          <w:tcPr>
            <w:tcW w:w="107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DF2EAA1">
            <w:pPr>
              <w:pStyle w:val="48"/>
              <w:spacing w:beforeLines="0" w:afterLines="0"/>
              <w:rPr>
                <w:rFonts w:hint="default" w:ascii="Times New Roman" w:hAnsi="Times New Roman" w:cs="Times New Roman"/>
                <w:color w:val="FF0000"/>
                <w:sz w:val="21"/>
                <w:szCs w:val="24"/>
                <w:highlight w:val="none"/>
                <w:lang w:val="en-US" w:eastAsia="zh-CN"/>
              </w:rPr>
            </w:pPr>
            <w:r>
              <w:rPr>
                <w:rFonts w:hint="default" w:ascii="Times New Roman" w:hAnsi="Times New Roman" w:cs="Times New Roman"/>
                <w:color w:val="FF0000"/>
                <w:sz w:val="21"/>
                <w:szCs w:val="24"/>
                <w:highlight w:val="none"/>
                <w:lang w:val="en-US" w:eastAsia="zh-CN"/>
              </w:rPr>
              <w:t>0</w:t>
            </w:r>
          </w:p>
        </w:tc>
        <w:tc>
          <w:tcPr>
            <w:tcW w:w="126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B96D2D6">
            <w:pPr>
              <w:pStyle w:val="48"/>
              <w:spacing w:beforeLines="0" w:afterLines="0"/>
              <w:rPr>
                <w:rFonts w:hint="default" w:ascii="Times New Roman" w:hAnsi="Times New Roman" w:cs="Times New Roman"/>
                <w:color w:val="FF0000"/>
                <w:sz w:val="21"/>
                <w:szCs w:val="24"/>
                <w:highlight w:val="none"/>
                <w:lang w:val="en-US" w:eastAsia="zh-CN"/>
              </w:rPr>
            </w:pPr>
            <w:r>
              <w:rPr>
                <w:rFonts w:hint="default" w:ascii="Times New Roman" w:hAnsi="Times New Roman" w:cs="Times New Roman"/>
                <w:color w:val="FF0000"/>
                <w:sz w:val="21"/>
                <w:szCs w:val="24"/>
                <w:highlight w:val="none"/>
                <w:lang w:val="en-US" w:eastAsia="zh-CN"/>
              </w:rPr>
              <w:t>0</w:t>
            </w:r>
          </w:p>
        </w:tc>
        <w:tc>
          <w:tcPr>
            <w:tcW w:w="232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E847A0">
            <w:pPr>
              <w:pStyle w:val="48"/>
              <w:spacing w:beforeLines="0" w:afterLines="0"/>
              <w:rPr>
                <w:rFonts w:hint="default" w:ascii="Times New Roman" w:hAnsi="Times New Roman" w:cs="Times New Roman"/>
                <w:color w:val="FF0000"/>
                <w:sz w:val="21"/>
                <w:szCs w:val="24"/>
                <w:highlight w:val="none"/>
                <w:lang w:val="en-US" w:eastAsia="zh-CN"/>
              </w:rPr>
            </w:pPr>
            <w:r>
              <w:rPr>
                <w:rFonts w:hint="default" w:ascii="Times New Roman" w:hAnsi="Times New Roman" w:cs="Times New Roman"/>
                <w:color w:val="FF0000"/>
                <w:sz w:val="21"/>
                <w:szCs w:val="24"/>
                <w:highlight w:val="none"/>
                <w:lang w:val="en-US" w:eastAsia="zh-CN"/>
              </w:rPr>
              <w:t>蒸发，地表吸收</w:t>
            </w:r>
          </w:p>
        </w:tc>
      </w:tr>
      <w:tr w14:paraId="120B8E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57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84E067B">
            <w:pPr>
              <w:pStyle w:val="48"/>
              <w:spacing w:beforeLines="0" w:afterLines="0"/>
              <w:rPr>
                <w:rFonts w:hint="default" w:ascii="Times New Roman" w:hAnsi="Times New Roman" w:cs="Times New Roman"/>
                <w:color w:val="FF0000"/>
                <w:sz w:val="21"/>
                <w:szCs w:val="24"/>
                <w:highlight w:val="none"/>
                <w:lang w:val="en-US" w:eastAsia="zh-CN"/>
              </w:rPr>
            </w:pPr>
            <w:r>
              <w:rPr>
                <w:rFonts w:hint="default" w:ascii="Times New Roman" w:hAnsi="Times New Roman" w:cs="Times New Roman"/>
                <w:color w:val="FF0000"/>
                <w:sz w:val="21"/>
                <w:szCs w:val="24"/>
                <w:highlight w:val="none"/>
                <w:lang w:val="en-US" w:eastAsia="zh-CN"/>
              </w:rPr>
              <w:t>3</w:t>
            </w:r>
          </w:p>
        </w:tc>
        <w:tc>
          <w:tcPr>
            <w:tcW w:w="153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39DEF4">
            <w:pPr>
              <w:pStyle w:val="48"/>
              <w:spacing w:beforeLines="0" w:afterLines="0"/>
              <w:rPr>
                <w:rFonts w:hint="default" w:ascii="Times New Roman" w:hAnsi="Times New Roman" w:cs="Times New Roman"/>
                <w:color w:val="FF0000"/>
                <w:sz w:val="21"/>
                <w:szCs w:val="24"/>
                <w:highlight w:val="none"/>
                <w:lang w:val="en-US" w:eastAsia="zh-CN"/>
              </w:rPr>
            </w:pPr>
            <w:r>
              <w:rPr>
                <w:rFonts w:hint="default" w:ascii="Times New Roman" w:hAnsi="Times New Roman" w:cs="Times New Roman"/>
                <w:color w:val="FF0000"/>
                <w:sz w:val="21"/>
                <w:szCs w:val="24"/>
                <w:highlight w:val="none"/>
                <w:lang w:val="en-US" w:eastAsia="zh-CN"/>
              </w:rPr>
              <w:t>采场、工业广场降尘及堆场降尘</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590163">
            <w:pPr>
              <w:pStyle w:val="48"/>
              <w:spacing w:beforeLines="0" w:afterLines="0"/>
              <w:rPr>
                <w:rFonts w:hint="default" w:ascii="Times New Roman" w:hAnsi="Times New Roman" w:cs="Times New Roman"/>
                <w:color w:val="FF0000"/>
                <w:sz w:val="21"/>
                <w:szCs w:val="24"/>
                <w:highlight w:val="none"/>
                <w:lang w:val="en-US" w:eastAsia="zh-CN"/>
              </w:rPr>
            </w:pPr>
            <w:r>
              <w:rPr>
                <w:rFonts w:hint="default" w:ascii="Times New Roman" w:hAnsi="Times New Roman" w:cs="Times New Roman"/>
                <w:color w:val="FF0000"/>
                <w:sz w:val="21"/>
                <w:szCs w:val="24"/>
                <w:highlight w:val="none"/>
                <w:lang w:val="en-US" w:eastAsia="zh-CN"/>
              </w:rPr>
              <w:t>8000</w:t>
            </w:r>
          </w:p>
        </w:tc>
        <w:tc>
          <w:tcPr>
            <w:tcW w:w="11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6353131">
            <w:pPr>
              <w:pStyle w:val="48"/>
              <w:spacing w:beforeLines="0" w:afterLines="0"/>
              <w:rPr>
                <w:rFonts w:hint="default" w:ascii="Times New Roman" w:hAnsi="Times New Roman" w:cs="Times New Roman"/>
                <w:color w:val="FF0000"/>
                <w:sz w:val="21"/>
                <w:szCs w:val="24"/>
                <w:highlight w:val="none"/>
                <w:lang w:val="en-US" w:eastAsia="zh-CN"/>
              </w:rPr>
            </w:pPr>
            <w:r>
              <w:rPr>
                <w:rFonts w:hint="default" w:ascii="Times New Roman" w:hAnsi="Times New Roman" w:cs="Times New Roman"/>
                <w:color w:val="FF0000"/>
                <w:sz w:val="21"/>
                <w:szCs w:val="24"/>
                <w:highlight w:val="none"/>
                <w:lang w:val="en-US" w:eastAsia="zh-CN"/>
              </w:rPr>
              <w:t>8000</w:t>
            </w:r>
          </w:p>
        </w:tc>
        <w:tc>
          <w:tcPr>
            <w:tcW w:w="107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FCBE70D">
            <w:pPr>
              <w:pStyle w:val="48"/>
              <w:spacing w:beforeLines="0" w:afterLines="0"/>
              <w:rPr>
                <w:rFonts w:hint="default" w:ascii="Times New Roman" w:hAnsi="Times New Roman" w:cs="Times New Roman"/>
                <w:color w:val="FF0000"/>
                <w:sz w:val="21"/>
                <w:szCs w:val="24"/>
                <w:highlight w:val="none"/>
                <w:lang w:val="en-US" w:eastAsia="zh-CN"/>
              </w:rPr>
            </w:pPr>
            <w:r>
              <w:rPr>
                <w:rFonts w:hint="default" w:ascii="Times New Roman" w:hAnsi="Times New Roman" w:cs="Times New Roman"/>
                <w:color w:val="FF0000"/>
                <w:sz w:val="21"/>
                <w:szCs w:val="24"/>
                <w:highlight w:val="none"/>
                <w:lang w:val="en-US" w:eastAsia="zh-CN"/>
              </w:rPr>
              <w:t>0</w:t>
            </w:r>
          </w:p>
        </w:tc>
        <w:tc>
          <w:tcPr>
            <w:tcW w:w="126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97ECEBA">
            <w:pPr>
              <w:pStyle w:val="48"/>
              <w:spacing w:beforeLines="0" w:afterLines="0"/>
              <w:rPr>
                <w:rFonts w:hint="default" w:ascii="Times New Roman" w:hAnsi="Times New Roman" w:cs="Times New Roman"/>
                <w:color w:val="FF0000"/>
                <w:sz w:val="21"/>
                <w:szCs w:val="24"/>
                <w:highlight w:val="none"/>
                <w:lang w:val="en-US" w:eastAsia="zh-CN"/>
              </w:rPr>
            </w:pPr>
            <w:r>
              <w:rPr>
                <w:rFonts w:hint="default" w:ascii="Times New Roman" w:hAnsi="Times New Roman" w:cs="Times New Roman"/>
                <w:color w:val="FF0000"/>
                <w:sz w:val="21"/>
                <w:szCs w:val="24"/>
                <w:highlight w:val="none"/>
                <w:lang w:val="en-US" w:eastAsia="zh-CN"/>
              </w:rPr>
              <w:t>0</w:t>
            </w:r>
          </w:p>
        </w:tc>
        <w:tc>
          <w:tcPr>
            <w:tcW w:w="232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3C5BA01">
            <w:pPr>
              <w:pStyle w:val="48"/>
              <w:spacing w:beforeLines="0" w:afterLines="0"/>
              <w:rPr>
                <w:rFonts w:hint="default" w:ascii="Times New Roman" w:hAnsi="Times New Roman" w:cs="Times New Roman"/>
                <w:color w:val="FF0000"/>
                <w:sz w:val="21"/>
                <w:szCs w:val="24"/>
                <w:highlight w:val="none"/>
              </w:rPr>
            </w:pPr>
            <w:r>
              <w:rPr>
                <w:rFonts w:hint="default" w:ascii="Times New Roman" w:hAnsi="Times New Roman" w:cs="Times New Roman"/>
                <w:color w:val="FF0000"/>
                <w:sz w:val="21"/>
                <w:szCs w:val="24"/>
                <w:highlight w:val="none"/>
                <w:lang w:val="en-US" w:eastAsia="zh-CN"/>
              </w:rPr>
              <w:t>蒸发，地表吸收</w:t>
            </w:r>
          </w:p>
        </w:tc>
      </w:tr>
      <w:tr w14:paraId="21C239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57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2E7247C">
            <w:pPr>
              <w:pStyle w:val="48"/>
              <w:spacing w:beforeLines="0" w:afterLines="0"/>
              <w:rPr>
                <w:rFonts w:hint="default" w:ascii="Times New Roman" w:hAnsi="Times New Roman" w:cs="Times New Roman"/>
                <w:color w:val="FF0000"/>
                <w:sz w:val="21"/>
                <w:szCs w:val="24"/>
                <w:highlight w:val="none"/>
                <w:lang w:eastAsia="zh-CN"/>
              </w:rPr>
            </w:pPr>
            <w:r>
              <w:rPr>
                <w:rFonts w:hint="default" w:ascii="Times New Roman" w:hAnsi="Times New Roman" w:cs="Times New Roman"/>
                <w:color w:val="FF0000"/>
                <w:sz w:val="21"/>
                <w:szCs w:val="24"/>
                <w:highlight w:val="none"/>
                <w:lang w:val="en-US" w:eastAsia="zh-CN"/>
              </w:rPr>
              <w:t>4</w:t>
            </w:r>
          </w:p>
        </w:tc>
        <w:tc>
          <w:tcPr>
            <w:tcW w:w="153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2758D0">
            <w:pPr>
              <w:pStyle w:val="48"/>
              <w:spacing w:beforeLines="0" w:afterLines="0"/>
              <w:rPr>
                <w:rFonts w:hint="default" w:ascii="Times New Roman" w:hAnsi="Times New Roman" w:cs="Times New Roman"/>
                <w:color w:val="FF0000"/>
                <w:sz w:val="21"/>
                <w:szCs w:val="24"/>
                <w:highlight w:val="none"/>
              </w:rPr>
            </w:pPr>
            <w:r>
              <w:rPr>
                <w:rFonts w:hint="default" w:ascii="Times New Roman" w:hAnsi="Times New Roman" w:cs="Times New Roman"/>
                <w:color w:val="FF0000"/>
                <w:sz w:val="21"/>
                <w:szCs w:val="24"/>
                <w:highlight w:val="none"/>
              </w:rPr>
              <w:t>生活用水</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D08960">
            <w:pPr>
              <w:pStyle w:val="48"/>
              <w:spacing w:beforeLines="0" w:afterLines="0"/>
              <w:rPr>
                <w:rFonts w:hint="default" w:ascii="Times New Roman" w:hAnsi="Times New Roman" w:cs="Times New Roman"/>
                <w:color w:val="FF0000"/>
                <w:sz w:val="21"/>
                <w:szCs w:val="24"/>
                <w:highlight w:val="none"/>
                <w:lang w:val="en-US" w:eastAsia="zh-CN"/>
              </w:rPr>
            </w:pPr>
            <w:r>
              <w:rPr>
                <w:rFonts w:hint="default" w:ascii="Times New Roman" w:hAnsi="Times New Roman" w:cs="Times New Roman"/>
                <w:color w:val="FF0000"/>
                <w:sz w:val="21"/>
                <w:szCs w:val="24"/>
                <w:highlight w:val="none"/>
                <w:lang w:val="en-US" w:eastAsia="zh-CN"/>
              </w:rPr>
              <w:t>960</w:t>
            </w:r>
          </w:p>
        </w:tc>
        <w:tc>
          <w:tcPr>
            <w:tcW w:w="11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A7FECD2">
            <w:pPr>
              <w:pStyle w:val="48"/>
              <w:spacing w:beforeLines="0" w:afterLines="0"/>
              <w:rPr>
                <w:rFonts w:hint="default" w:ascii="Times New Roman" w:hAnsi="Times New Roman" w:cs="Times New Roman"/>
                <w:color w:val="FF0000"/>
                <w:sz w:val="21"/>
                <w:szCs w:val="24"/>
                <w:highlight w:val="none"/>
                <w:lang w:val="en-US" w:eastAsia="zh-CN"/>
              </w:rPr>
            </w:pPr>
            <w:r>
              <w:rPr>
                <w:rFonts w:hint="default" w:ascii="Times New Roman" w:hAnsi="Times New Roman" w:cs="Times New Roman"/>
                <w:color w:val="FF0000"/>
                <w:sz w:val="21"/>
                <w:szCs w:val="24"/>
                <w:highlight w:val="none"/>
                <w:lang w:val="en-US" w:eastAsia="zh-CN"/>
              </w:rPr>
              <w:t>192</w:t>
            </w:r>
          </w:p>
        </w:tc>
        <w:tc>
          <w:tcPr>
            <w:tcW w:w="107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C6BB099">
            <w:pPr>
              <w:pStyle w:val="48"/>
              <w:spacing w:beforeLines="0" w:afterLines="0"/>
              <w:rPr>
                <w:rFonts w:hint="default" w:ascii="Times New Roman" w:hAnsi="Times New Roman" w:cs="Times New Roman"/>
                <w:color w:val="FF0000"/>
                <w:sz w:val="21"/>
                <w:szCs w:val="24"/>
                <w:highlight w:val="none"/>
                <w:lang w:val="en-US" w:eastAsia="zh-CN"/>
              </w:rPr>
            </w:pPr>
            <w:r>
              <w:rPr>
                <w:rFonts w:hint="default" w:ascii="Times New Roman" w:hAnsi="Times New Roman" w:cs="Times New Roman"/>
                <w:color w:val="FF0000"/>
                <w:sz w:val="21"/>
                <w:szCs w:val="24"/>
                <w:highlight w:val="none"/>
                <w:lang w:val="en-US" w:eastAsia="zh-CN"/>
              </w:rPr>
              <w:t>0</w:t>
            </w:r>
          </w:p>
        </w:tc>
        <w:tc>
          <w:tcPr>
            <w:tcW w:w="126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A4FF5A6">
            <w:pPr>
              <w:pStyle w:val="48"/>
              <w:spacing w:beforeLines="0" w:afterLines="0"/>
              <w:rPr>
                <w:rFonts w:hint="default" w:ascii="Times New Roman" w:hAnsi="Times New Roman" w:cs="Times New Roman"/>
                <w:color w:val="FF0000"/>
                <w:sz w:val="21"/>
                <w:szCs w:val="24"/>
                <w:highlight w:val="none"/>
                <w:lang w:val="en-US" w:eastAsia="zh-CN"/>
              </w:rPr>
            </w:pPr>
            <w:r>
              <w:rPr>
                <w:rFonts w:hint="default" w:ascii="Times New Roman" w:hAnsi="Times New Roman" w:cs="Times New Roman"/>
                <w:color w:val="FF0000"/>
                <w:sz w:val="21"/>
                <w:szCs w:val="24"/>
                <w:highlight w:val="none"/>
                <w:lang w:val="en-US" w:eastAsia="zh-CN"/>
              </w:rPr>
              <w:t>768</w:t>
            </w:r>
          </w:p>
        </w:tc>
        <w:tc>
          <w:tcPr>
            <w:tcW w:w="232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AA873ED">
            <w:pPr>
              <w:pStyle w:val="48"/>
              <w:spacing w:beforeLines="0" w:afterLines="0"/>
              <w:rPr>
                <w:rFonts w:hint="default" w:ascii="Times New Roman" w:hAnsi="Times New Roman" w:cs="Times New Roman"/>
                <w:color w:val="FF0000"/>
                <w:sz w:val="21"/>
                <w:szCs w:val="24"/>
                <w:highlight w:val="none"/>
              </w:rPr>
            </w:pPr>
            <w:r>
              <w:rPr>
                <w:rFonts w:hint="default" w:ascii="Times New Roman" w:hAnsi="Times New Roman" w:cs="Times New Roman"/>
                <w:color w:val="FF0000"/>
                <w:sz w:val="21"/>
                <w:szCs w:val="24"/>
                <w:highlight w:val="none"/>
              </w:rPr>
              <w:t>经</w:t>
            </w:r>
            <w:r>
              <w:rPr>
                <w:rFonts w:hint="default" w:ascii="Times New Roman" w:hAnsi="Times New Roman" w:cs="Times New Roman"/>
                <w:color w:val="FF0000"/>
                <w:sz w:val="21"/>
                <w:szCs w:val="24"/>
                <w:highlight w:val="none"/>
                <w:lang w:val="en-US" w:eastAsia="zh-CN"/>
              </w:rPr>
              <w:t>地埋式</w:t>
            </w:r>
            <w:r>
              <w:rPr>
                <w:rFonts w:hint="default" w:ascii="Times New Roman" w:hAnsi="Times New Roman" w:cs="Times New Roman"/>
                <w:color w:val="FF0000"/>
                <w:sz w:val="21"/>
                <w:szCs w:val="24"/>
                <w:highlight w:val="none"/>
              </w:rPr>
              <w:t>一体化污水处理</w:t>
            </w:r>
            <w:r>
              <w:rPr>
                <w:rFonts w:hint="default" w:ascii="Times New Roman" w:hAnsi="Times New Roman" w:cs="Times New Roman"/>
                <w:color w:val="FF0000"/>
                <w:sz w:val="21"/>
                <w:szCs w:val="24"/>
                <w:highlight w:val="none"/>
                <w:lang w:val="en-US" w:eastAsia="zh-CN"/>
              </w:rPr>
              <w:t>装置</w:t>
            </w:r>
            <w:r>
              <w:rPr>
                <w:rFonts w:hint="default" w:ascii="Times New Roman" w:hAnsi="Times New Roman" w:cs="Times New Roman"/>
                <w:color w:val="FF0000"/>
                <w:sz w:val="21"/>
                <w:szCs w:val="24"/>
                <w:highlight w:val="none"/>
              </w:rPr>
              <w:t>处理后，用于矿区洒水降尘</w:t>
            </w:r>
          </w:p>
        </w:tc>
      </w:tr>
      <w:tr w14:paraId="2395C0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210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687C277">
            <w:pPr>
              <w:pStyle w:val="48"/>
              <w:spacing w:beforeLines="0" w:afterLines="0"/>
              <w:rPr>
                <w:rFonts w:hint="default" w:ascii="Times New Roman" w:hAnsi="Times New Roman" w:cs="Times New Roman"/>
                <w:color w:val="FF0000"/>
                <w:sz w:val="21"/>
                <w:szCs w:val="24"/>
                <w:highlight w:val="none"/>
                <w:lang w:val="en-US" w:eastAsia="zh-CN"/>
              </w:rPr>
            </w:pPr>
            <w:r>
              <w:rPr>
                <w:rFonts w:hint="default" w:ascii="Times New Roman" w:hAnsi="Times New Roman" w:cs="Times New Roman"/>
                <w:color w:val="FF0000"/>
                <w:sz w:val="21"/>
                <w:szCs w:val="24"/>
                <w:highlight w:val="none"/>
                <w:lang w:val="en-US" w:eastAsia="zh-CN"/>
              </w:rPr>
              <w:t>合计</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13FE52">
            <w:pPr>
              <w:pStyle w:val="48"/>
              <w:spacing w:beforeLines="0" w:afterLines="0"/>
              <w:rPr>
                <w:rFonts w:hint="default" w:ascii="Times New Roman" w:hAnsi="Times New Roman" w:cs="Times New Roman"/>
                <w:color w:val="FF0000"/>
                <w:sz w:val="21"/>
                <w:szCs w:val="24"/>
                <w:highlight w:val="none"/>
                <w:lang w:val="en-US" w:eastAsia="zh-CN"/>
              </w:rPr>
            </w:pPr>
            <w:r>
              <w:rPr>
                <w:rFonts w:hint="default" w:ascii="Times New Roman" w:hAnsi="Times New Roman" w:cs="Times New Roman"/>
                <w:color w:val="FF0000"/>
                <w:sz w:val="21"/>
                <w:szCs w:val="24"/>
                <w:highlight w:val="none"/>
                <w:lang w:val="en-US" w:eastAsia="zh-CN"/>
              </w:rPr>
              <w:t>57192</w:t>
            </w:r>
          </w:p>
        </w:tc>
        <w:tc>
          <w:tcPr>
            <w:tcW w:w="11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44C989C">
            <w:pPr>
              <w:pStyle w:val="48"/>
              <w:spacing w:beforeLines="0" w:afterLines="0"/>
              <w:rPr>
                <w:rFonts w:hint="default" w:ascii="Times New Roman" w:hAnsi="Times New Roman" w:cs="Times New Roman"/>
                <w:color w:val="FF0000"/>
                <w:sz w:val="21"/>
                <w:szCs w:val="24"/>
                <w:highlight w:val="none"/>
                <w:lang w:val="en-US" w:eastAsia="zh-CN"/>
              </w:rPr>
            </w:pPr>
            <w:r>
              <w:rPr>
                <w:rFonts w:hint="default" w:ascii="Times New Roman" w:hAnsi="Times New Roman" w:cs="Times New Roman"/>
                <w:color w:val="FF0000"/>
                <w:sz w:val="21"/>
                <w:szCs w:val="24"/>
                <w:highlight w:val="none"/>
                <w:lang w:val="en-US" w:eastAsia="zh-CN"/>
              </w:rPr>
              <w:t>56424</w:t>
            </w:r>
          </w:p>
        </w:tc>
        <w:tc>
          <w:tcPr>
            <w:tcW w:w="107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8A3982E">
            <w:pPr>
              <w:pStyle w:val="48"/>
              <w:spacing w:beforeLines="0" w:afterLines="0"/>
              <w:rPr>
                <w:rFonts w:hint="default" w:ascii="Times New Roman" w:hAnsi="Times New Roman" w:cs="Times New Roman"/>
                <w:color w:val="FF0000"/>
                <w:sz w:val="21"/>
                <w:szCs w:val="24"/>
                <w:highlight w:val="none"/>
                <w:lang w:val="en-US" w:eastAsia="zh-CN"/>
              </w:rPr>
            </w:pPr>
            <w:r>
              <w:rPr>
                <w:rFonts w:hint="default" w:ascii="Times New Roman" w:hAnsi="Times New Roman" w:cs="Times New Roman"/>
                <w:color w:val="FF0000"/>
                <w:sz w:val="21"/>
                <w:szCs w:val="24"/>
                <w:highlight w:val="none"/>
                <w:lang w:val="en-US" w:eastAsia="zh-CN"/>
              </w:rPr>
              <w:t>0</w:t>
            </w:r>
          </w:p>
        </w:tc>
        <w:tc>
          <w:tcPr>
            <w:tcW w:w="126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E51E3E9">
            <w:pPr>
              <w:pStyle w:val="48"/>
              <w:spacing w:beforeLines="0" w:afterLines="0"/>
              <w:rPr>
                <w:rFonts w:hint="default" w:ascii="Times New Roman" w:hAnsi="Times New Roman" w:cs="Times New Roman"/>
                <w:color w:val="FF0000"/>
                <w:sz w:val="21"/>
                <w:szCs w:val="24"/>
                <w:highlight w:val="none"/>
                <w:lang w:val="en-US" w:eastAsia="zh-CN"/>
              </w:rPr>
            </w:pPr>
            <w:r>
              <w:rPr>
                <w:rFonts w:hint="default" w:ascii="Times New Roman" w:hAnsi="Times New Roman" w:cs="Times New Roman"/>
                <w:color w:val="FF0000"/>
                <w:sz w:val="21"/>
                <w:szCs w:val="24"/>
                <w:highlight w:val="none"/>
                <w:lang w:val="en-US" w:eastAsia="zh-CN"/>
              </w:rPr>
              <w:t>800768</w:t>
            </w:r>
          </w:p>
        </w:tc>
        <w:tc>
          <w:tcPr>
            <w:tcW w:w="232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86D23E8">
            <w:pPr>
              <w:pStyle w:val="48"/>
              <w:spacing w:beforeLines="0" w:afterLines="0"/>
              <w:rPr>
                <w:rFonts w:hint="default" w:ascii="Times New Roman" w:hAnsi="Times New Roman" w:cs="Times New Roman"/>
                <w:color w:val="FF0000"/>
                <w:sz w:val="21"/>
                <w:szCs w:val="21"/>
                <w:highlight w:val="none"/>
                <w:lang w:val="en-US" w:eastAsia="zh-CN"/>
              </w:rPr>
            </w:pPr>
            <w:r>
              <w:rPr>
                <w:rFonts w:hint="default" w:ascii="Times New Roman" w:hAnsi="Times New Roman" w:cs="Times New Roman"/>
                <w:color w:val="FF0000"/>
                <w:sz w:val="21"/>
                <w:szCs w:val="21"/>
                <w:highlight w:val="none"/>
                <w:lang w:val="en-US" w:eastAsia="zh-CN"/>
              </w:rPr>
              <w:t>/</w:t>
            </w:r>
          </w:p>
        </w:tc>
      </w:tr>
    </w:tbl>
    <w:p w14:paraId="178EBF3C">
      <w:pPr>
        <w:pStyle w:val="14"/>
        <w:kinsoku w:val="0"/>
        <w:overflowPunct w:val="0"/>
        <w:spacing w:before="4" w:beforeLines="0" w:afterLines="0"/>
        <w:ind w:left="0"/>
        <w:rPr>
          <w:rFonts w:hint="default" w:ascii="Times New Roman" w:hAnsi="Times New Roman" w:eastAsia="Times New Roman" w:cs="Times New Roman"/>
          <w:b/>
          <w:color w:val="FF0000"/>
          <w:sz w:val="17"/>
          <w:szCs w:val="24"/>
          <w:highlight w:val="none"/>
        </w:rPr>
      </w:pPr>
    </w:p>
    <w:p w14:paraId="2FDB7E55">
      <w:pPr>
        <w:pStyle w:val="14"/>
        <w:kinsoku w:val="0"/>
        <w:overflowPunct w:val="0"/>
        <w:spacing w:before="5" w:beforeLines="0" w:afterLines="0"/>
        <w:ind w:left="0"/>
        <w:jc w:val="center"/>
        <w:rPr>
          <w:rFonts w:hint="default" w:ascii="Times New Roman" w:hAnsi="Times New Roman" w:eastAsia="Calibri" w:cs="Times New Roman"/>
          <w:color w:val="auto"/>
          <w:sz w:val="17"/>
          <w:szCs w:val="24"/>
          <w:highlight w:val="none"/>
        </w:rPr>
      </w:pPr>
      <w:r>
        <w:rPr>
          <w:rFonts w:hint="default" w:ascii="Times New Roman" w:hAnsi="Times New Roman" w:cs="Times New Roman"/>
          <w:b/>
          <w:color w:val="auto"/>
          <w:sz w:val="21"/>
          <w:szCs w:val="21"/>
          <w:highlight w:val="none"/>
          <w:lang w:val="en-US" w:eastAsia="zh-CN"/>
        </w:rPr>
        <w:object>
          <v:shape id="_x0000_i1025" o:spt="75" type="#_x0000_t75" style="height:242.85pt;width:327.95pt;" o:ole="t" filled="f" o:preferrelative="t" stroked="f" coordsize="21600,21600">
            <v:path/>
            <v:fill on="f" focussize="0,0"/>
            <v:stroke on="f"/>
            <v:imagedata r:id="rId12" o:title=""/>
            <o:lock v:ext="edit" aspectratio="f"/>
            <w10:wrap type="none"/>
            <w10:anchorlock/>
          </v:shape>
          <o:OLEObject Type="Embed" ProgID="Visio.Drawing.11" ShapeID="_x0000_i1025" DrawAspect="Content" ObjectID="_1468075725" r:id="rId11">
            <o:LockedField>false</o:LockedField>
          </o:OLEObject>
        </w:object>
      </w:r>
    </w:p>
    <w:p w14:paraId="4FE75645">
      <w:pPr>
        <w:pStyle w:val="14"/>
        <w:kinsoku w:val="0"/>
        <w:overflowPunct w:val="0"/>
        <w:spacing w:before="5" w:beforeLines="0" w:afterLines="0"/>
        <w:ind w:left="0"/>
        <w:jc w:val="center"/>
        <w:rPr>
          <w:rFonts w:hint="default" w:ascii="Times New Roman" w:hAnsi="Times New Roman" w:eastAsia="宋体" w:cs="Times New Roman"/>
          <w:b/>
          <w:color w:val="auto"/>
          <w:sz w:val="24"/>
          <w:szCs w:val="24"/>
          <w:highlight w:val="none"/>
          <w:lang w:eastAsia="zh-CN"/>
        </w:rPr>
      </w:pPr>
      <w:r>
        <w:rPr>
          <w:rFonts w:hint="default" w:ascii="Times New Roman" w:hAnsi="Times New Roman" w:cs="Times New Roman"/>
          <w:b/>
          <w:color w:val="auto"/>
          <w:sz w:val="24"/>
          <w:szCs w:val="24"/>
          <w:highlight w:val="none"/>
        </w:rPr>
        <w:t>图</w:t>
      </w:r>
      <w:r>
        <w:rPr>
          <w:rFonts w:hint="default" w:ascii="Times New Roman" w:hAnsi="Times New Roman" w:cs="Times New Roman"/>
          <w:b/>
          <w:color w:val="auto"/>
          <w:spacing w:val="-63"/>
          <w:sz w:val="24"/>
          <w:szCs w:val="24"/>
          <w:highlight w:val="none"/>
        </w:rPr>
        <w:t xml:space="preserve"> </w:t>
      </w:r>
      <w:r>
        <w:rPr>
          <w:rFonts w:hint="default" w:ascii="Times New Roman" w:hAnsi="Times New Roman" w:eastAsia="Times New Roman" w:cs="Times New Roman"/>
          <w:b/>
          <w:color w:val="auto"/>
          <w:sz w:val="24"/>
          <w:szCs w:val="24"/>
          <w:highlight w:val="none"/>
        </w:rPr>
        <w:t>3.5-1</w:t>
      </w:r>
      <w:r>
        <w:rPr>
          <w:rFonts w:hint="default" w:ascii="Times New Roman" w:hAnsi="Times New Roman" w:eastAsia="Times New Roman" w:cs="Times New Roman"/>
          <w:b/>
          <w:color w:val="auto"/>
          <w:sz w:val="24"/>
          <w:szCs w:val="24"/>
          <w:highlight w:val="none"/>
        </w:rPr>
        <w:tab/>
      </w:r>
      <w:r>
        <w:rPr>
          <w:rFonts w:hint="default" w:ascii="Times New Roman" w:hAnsi="Times New Roman" w:cs="Times New Roman"/>
          <w:b/>
          <w:color w:val="auto"/>
          <w:w w:val="95"/>
          <w:sz w:val="24"/>
          <w:szCs w:val="24"/>
          <w:highlight w:val="none"/>
        </w:rPr>
        <w:t>水平衡图</w:t>
      </w:r>
      <w:r>
        <w:rPr>
          <w:rFonts w:hint="default" w:ascii="Times New Roman" w:hAnsi="Times New Roman" w:cs="Times New Roman"/>
          <w:b/>
          <w:color w:val="auto"/>
          <w:w w:val="95"/>
          <w:sz w:val="24"/>
          <w:szCs w:val="24"/>
          <w:highlight w:val="none"/>
        </w:rPr>
        <w:tab/>
      </w:r>
      <w:r>
        <w:rPr>
          <w:rFonts w:hint="default" w:ascii="Times New Roman" w:hAnsi="Times New Roman" w:cs="Times New Roman"/>
          <w:b/>
          <w:color w:val="auto"/>
          <w:sz w:val="24"/>
          <w:szCs w:val="24"/>
          <w:highlight w:val="none"/>
        </w:rPr>
        <w:t>单位</w:t>
      </w:r>
      <w:r>
        <w:rPr>
          <w:rFonts w:hint="default" w:ascii="Times New Roman" w:hAnsi="Times New Roman" w:cs="Times New Roman"/>
          <w:b/>
          <w:color w:val="auto"/>
          <w:spacing w:val="-60"/>
          <w:sz w:val="24"/>
          <w:szCs w:val="24"/>
          <w:highlight w:val="none"/>
        </w:rPr>
        <w:t xml:space="preserve"> </w:t>
      </w:r>
      <w:r>
        <w:rPr>
          <w:rFonts w:hint="default" w:ascii="Times New Roman" w:hAnsi="Times New Roman" w:eastAsia="Times New Roman" w:cs="Times New Roman"/>
          <w:b/>
          <w:color w:val="auto"/>
          <w:sz w:val="24"/>
          <w:szCs w:val="24"/>
          <w:highlight w:val="none"/>
        </w:rPr>
        <w:t>m</w:t>
      </w:r>
      <w:r>
        <w:rPr>
          <w:rFonts w:hint="default" w:ascii="Times New Roman" w:hAnsi="Times New Roman" w:eastAsia="Times New Roman" w:cs="Times New Roman"/>
          <w:b/>
          <w:color w:val="auto"/>
          <w:position w:val="8"/>
          <w:sz w:val="15"/>
          <w:szCs w:val="24"/>
          <w:highlight w:val="none"/>
        </w:rPr>
        <w:t>3</w:t>
      </w:r>
      <w:r>
        <w:rPr>
          <w:rFonts w:hint="default" w:ascii="Times New Roman" w:hAnsi="Times New Roman" w:eastAsia="Times New Roman" w:cs="Times New Roman"/>
          <w:b/>
          <w:color w:val="auto"/>
          <w:sz w:val="24"/>
          <w:szCs w:val="24"/>
          <w:highlight w:val="none"/>
        </w:rPr>
        <w:t>/</w:t>
      </w:r>
      <w:r>
        <w:rPr>
          <w:rFonts w:hint="default" w:ascii="Times New Roman" w:hAnsi="Times New Roman" w:eastAsia="宋体" w:cs="Times New Roman"/>
          <w:b/>
          <w:color w:val="auto"/>
          <w:sz w:val="24"/>
          <w:szCs w:val="24"/>
          <w:highlight w:val="none"/>
          <w:lang w:val="en-US" w:eastAsia="zh-CN"/>
        </w:rPr>
        <w:t>a</w:t>
      </w:r>
    </w:p>
    <w:p w14:paraId="5F971B1E">
      <w:pPr>
        <w:pStyle w:val="4"/>
        <w:bidi w:val="0"/>
        <w:rPr>
          <w:rFonts w:hint="default"/>
        </w:rPr>
      </w:pPr>
      <w:r>
        <w:rPr>
          <w:rFonts w:hint="default"/>
        </w:rPr>
        <w:t>供电</w:t>
      </w:r>
    </w:p>
    <w:p w14:paraId="658C528F">
      <w:pPr>
        <w:pStyle w:val="14"/>
        <w:kinsoku w:val="0"/>
        <w:overflowPunct w:val="0"/>
        <w:spacing w:beforeLines="0" w:afterLines="0"/>
        <w:rPr>
          <w:rFonts w:hint="default" w:ascii="Times New Roman" w:hAnsi="Times New Roman" w:cs="Times New Roman"/>
          <w:color w:val="auto"/>
          <w:sz w:val="24"/>
          <w:szCs w:val="24"/>
          <w:highlight w:val="none"/>
        </w:rPr>
      </w:pPr>
      <w:bookmarkStart w:id="139" w:name="3.5.3采暖"/>
      <w:bookmarkEnd w:id="139"/>
      <w:r>
        <w:rPr>
          <w:rFonts w:hint="default" w:ascii="Times New Roman" w:hAnsi="Times New Roman" w:cs="Times New Roman"/>
          <w:color w:val="auto"/>
          <w:sz w:val="24"/>
          <w:szCs w:val="24"/>
          <w:highlight w:val="none"/>
        </w:rPr>
        <w:t>矿区附近已有高压输电线路，距矿区</w:t>
      </w:r>
      <w:r>
        <w:rPr>
          <w:rFonts w:hint="default" w:ascii="Times New Roman" w:hAnsi="Times New Roman" w:cs="Times New Roman"/>
          <w:color w:val="auto"/>
          <w:sz w:val="24"/>
          <w:szCs w:val="24"/>
          <w:highlight w:val="none"/>
          <w:lang w:eastAsia="zh-CN"/>
        </w:rPr>
        <w:t>18km</w:t>
      </w:r>
      <w:r>
        <w:rPr>
          <w:rFonts w:hint="default" w:ascii="Times New Roman" w:hAnsi="Times New Roman" w:cs="Times New Roman"/>
          <w:color w:val="auto"/>
          <w:sz w:val="24"/>
          <w:szCs w:val="24"/>
          <w:highlight w:val="none"/>
        </w:rPr>
        <w:t>，电压等级10kV，可作为矿山供电电源。设计在破碎筛分场地安装1台S13-630/10型变压器</w:t>
      </w:r>
      <w:r>
        <w:rPr>
          <w:rFonts w:hint="default" w:ascii="Times New Roman" w:hAnsi="Times New Roman" w:cs="Times New Roman"/>
          <w:color w:val="auto"/>
          <w:sz w:val="24"/>
          <w:szCs w:val="24"/>
          <w:highlight w:val="none"/>
          <w:lang w:eastAsia="zh-CN"/>
        </w:rPr>
        <w:t>。</w:t>
      </w:r>
    </w:p>
    <w:p w14:paraId="5DCD9C52">
      <w:pPr>
        <w:pStyle w:val="4"/>
        <w:bidi w:val="0"/>
        <w:rPr>
          <w:rFonts w:hint="default"/>
        </w:rPr>
      </w:pPr>
      <w:r>
        <w:rPr>
          <w:rFonts w:hint="default"/>
        </w:rPr>
        <w:t>采暖</w:t>
      </w:r>
    </w:p>
    <w:p w14:paraId="265B738A">
      <w:pPr>
        <w:snapToGrid w:val="0"/>
        <w:spacing w:beforeLines="0" w:afterLines="0"/>
        <w:ind w:firstLine="480"/>
        <w:textAlignment w:val="baseline"/>
        <w:rPr>
          <w:rFonts w:hint="default" w:ascii="Times New Roman" w:hAnsi="Times New Roman" w:cs="Times New Roman"/>
          <w:color w:val="auto"/>
          <w:sz w:val="24"/>
          <w:szCs w:val="24"/>
          <w:highlight w:val="none"/>
        </w:rPr>
      </w:pPr>
      <w:bookmarkStart w:id="140" w:name="3.5.4机修"/>
      <w:bookmarkEnd w:id="140"/>
      <w:r>
        <w:rPr>
          <w:rFonts w:hint="default" w:ascii="Times New Roman" w:hAnsi="Times New Roman" w:cs="Times New Roman"/>
          <w:color w:val="auto"/>
          <w:sz w:val="24"/>
          <w:szCs w:val="24"/>
          <w:highlight w:val="none"/>
        </w:rPr>
        <w:t>矿山冬季采用电锅炉取暖。</w:t>
      </w:r>
    </w:p>
    <w:p w14:paraId="01984027">
      <w:pPr>
        <w:pStyle w:val="4"/>
        <w:bidi w:val="0"/>
        <w:rPr>
          <w:rFonts w:hint="default"/>
        </w:rPr>
      </w:pPr>
      <w:r>
        <w:rPr>
          <w:rFonts w:hint="default"/>
        </w:rPr>
        <w:t>机修</w:t>
      </w:r>
    </w:p>
    <w:p w14:paraId="55D4836F">
      <w:pPr>
        <w:pStyle w:val="14"/>
        <w:kinsoku w:val="0"/>
        <w:overflowPunct w:val="0"/>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本项目不建设机修间，矿山机械设备维修委托专业机构或协作单位承担。</w:t>
      </w:r>
    </w:p>
    <w:p w14:paraId="67B94B2C">
      <w:pPr>
        <w:pStyle w:val="3"/>
        <w:bidi w:val="0"/>
        <w:rPr>
          <w:rFonts w:hint="default"/>
        </w:rPr>
      </w:pPr>
      <w:bookmarkStart w:id="141" w:name="3.6工艺流程及污染源分析"/>
      <w:bookmarkEnd w:id="141"/>
      <w:bookmarkStart w:id="142" w:name="bookmark20"/>
      <w:bookmarkEnd w:id="142"/>
      <w:bookmarkStart w:id="143" w:name="_Toc23526"/>
      <w:bookmarkStart w:id="144" w:name="_Toc8689"/>
      <w:r>
        <w:rPr>
          <w:rFonts w:hint="default"/>
        </w:rPr>
        <w:t>工艺流程及污染源分析</w:t>
      </w:r>
      <w:bookmarkEnd w:id="143"/>
      <w:bookmarkEnd w:id="144"/>
    </w:p>
    <w:p w14:paraId="3F2DE8C6">
      <w:pPr>
        <w:pStyle w:val="4"/>
        <w:bidi w:val="0"/>
        <w:rPr>
          <w:rFonts w:hint="default"/>
        </w:rPr>
      </w:pPr>
      <w:bookmarkStart w:id="145" w:name="3.6.1工艺流程及产污环节分析"/>
      <w:bookmarkEnd w:id="145"/>
      <w:r>
        <w:rPr>
          <w:rFonts w:hint="default"/>
        </w:rPr>
        <w:t>工艺流程及产污环节分析</w:t>
      </w:r>
    </w:p>
    <w:p w14:paraId="4BFD9318">
      <w:pPr>
        <w:pStyle w:val="5"/>
        <w:bidi w:val="0"/>
        <w:rPr>
          <w:rFonts w:hint="default"/>
        </w:rPr>
      </w:pPr>
      <w:bookmarkStart w:id="146" w:name="3.6.1.1施工期工艺流程及产污环节分析"/>
      <w:bookmarkEnd w:id="146"/>
      <w:r>
        <w:rPr>
          <w:rFonts w:hint="default"/>
        </w:rPr>
        <w:t>施工期工艺流程及产污环节分析</w:t>
      </w:r>
    </w:p>
    <w:p w14:paraId="3395E6C6">
      <w:pPr>
        <w:pStyle w:val="14"/>
        <w:kinsoku w:val="0"/>
        <w:overflowPunct w:val="0"/>
        <w:spacing w:beforeLines="0" w:afterLines="0" w:line="379" w:lineRule="auto"/>
        <w:ind w:right="133" w:firstLine="48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为新建项目，施工期间产生施工扬尘、燃油施工设备和车辆运行时排放废气、生活污水、施工设备机械性和空气动力性噪声、车辆交通噪声、施工垃圾、生活垃圾及占地、植被和土壤破坏、水土流失等生态影响，均会对环境造成一定影响；本项目施工期间污染源随施工阶段不同略有差异，产生污染物排放均为阶段性排放，除部分永久性占地为持续性影响外，其余影响仅会在施工期间存在，并且影响范围小、时间短。项目施工期工艺流程及产污节点图见图3.6-1。</w:t>
      </w:r>
    </w:p>
    <w:p w14:paraId="37F991A6">
      <w:pPr>
        <w:pStyle w:val="14"/>
        <w:kinsoku w:val="0"/>
        <w:overflowPunct w:val="0"/>
        <w:spacing w:beforeLines="0" w:afterLines="0" w:line="3386" w:lineRule="exact"/>
        <w:ind w:left="0" w:firstLine="0" w:firstLineChars="0"/>
        <w:rPr>
          <w:rFonts w:hint="default" w:ascii="Times New Roman" w:hAnsi="Times New Roman" w:cs="Times New Roman"/>
          <w:color w:val="auto"/>
          <w:position w:val="-68"/>
          <w:sz w:val="20"/>
          <w:szCs w:val="24"/>
          <w:highlight w:val="none"/>
        </w:rPr>
      </w:pPr>
      <w:r>
        <w:rPr>
          <w:rFonts w:hint="default" w:ascii="Times New Roman" w:hAnsi="Times New Roman" w:cs="Times New Roman"/>
          <w:color w:val="auto"/>
          <w:position w:val="-68"/>
          <w:sz w:val="20"/>
          <w:szCs w:val="24"/>
          <w:highlight w:val="none"/>
        </w:rPr>
        <mc:AlternateContent>
          <mc:Choice Requires="wpg">
            <w:drawing>
              <wp:inline distT="0" distB="0" distL="114300" distR="114300">
                <wp:extent cx="5984240" cy="2150745"/>
                <wp:effectExtent l="0" t="0" r="10160" b="8255"/>
                <wp:docPr id="45" name="组合 651"/>
                <wp:cNvGraphicFramePr/>
                <a:graphic xmlns:a="http://schemas.openxmlformats.org/drawingml/2006/main">
                  <a:graphicData uri="http://schemas.microsoft.com/office/word/2010/wordprocessingGroup">
                    <wpg:wgp>
                      <wpg:cNvGrpSpPr/>
                      <wpg:grpSpPr>
                        <a:xfrm>
                          <a:off x="0" y="0"/>
                          <a:ext cx="5984240" cy="2150745"/>
                          <a:chOff x="0" y="0"/>
                          <a:chExt cx="9012" cy="3387"/>
                        </a:xfrm>
                      </wpg:grpSpPr>
                      <wps:wsp>
                        <wps:cNvPr id="35" name="矩形 652"/>
                        <wps:cNvSpPr/>
                        <wps:spPr>
                          <a:xfrm>
                            <a:off x="30" y="30"/>
                            <a:ext cx="8960" cy="3320"/>
                          </a:xfrm>
                          <a:prstGeom prst="rect">
                            <a:avLst/>
                          </a:prstGeom>
                          <a:noFill/>
                          <a:ln>
                            <a:noFill/>
                          </a:ln>
                        </wps:spPr>
                        <wps:txbx>
                          <w:txbxContent>
                            <w:p w14:paraId="0DA698F8">
                              <w:pPr>
                                <w:widowControl/>
                                <w:autoSpaceDE/>
                                <w:autoSpaceDN/>
                                <w:adjustRightInd/>
                                <w:spacing w:beforeLines="0" w:afterLines="0" w:line="3320" w:lineRule="atLeast"/>
                                <w:rPr>
                                  <w:rFonts w:hint="default"/>
                                  <w:sz w:val="24"/>
                                  <w:szCs w:val="24"/>
                                </w:rPr>
                              </w:pPr>
                              <w:r>
                                <w:rPr>
                                  <w:rFonts w:hint="default"/>
                                  <w:sz w:val="24"/>
                                  <w:szCs w:val="24"/>
                                </w:rPr>
                                <w:drawing>
                                  <wp:inline distT="0" distB="0" distL="114300" distR="114300">
                                    <wp:extent cx="5704840" cy="2120265"/>
                                    <wp:effectExtent l="0" t="0" r="10160" b="635"/>
                                    <wp:docPr id="13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31"/>
                                            <pic:cNvPicPr>
                                              <a:picLocks noChangeAspect="1"/>
                                            </pic:cNvPicPr>
                                          </pic:nvPicPr>
                                          <pic:blipFill>
                                            <a:blip r:embed="rId13"/>
                                            <a:stretch>
                                              <a:fillRect/>
                                            </a:stretch>
                                          </pic:blipFill>
                                          <pic:spPr>
                                            <a:xfrm>
                                              <a:off x="0" y="0"/>
                                              <a:ext cx="5704840" cy="2120265"/>
                                            </a:xfrm>
                                            <a:prstGeom prst="rect">
                                              <a:avLst/>
                                            </a:prstGeom>
                                            <a:noFill/>
                                            <a:ln>
                                              <a:noFill/>
                                            </a:ln>
                                          </pic:spPr>
                                        </pic:pic>
                                      </a:graphicData>
                                    </a:graphic>
                                  </wp:inline>
                                </w:drawing>
                              </w:r>
                            </w:p>
                            <w:p w14:paraId="32489EED">
                              <w:pPr>
                                <w:spacing w:beforeLines="0" w:afterLines="0"/>
                                <w:rPr>
                                  <w:rFonts w:hint="default"/>
                                  <w:sz w:val="24"/>
                                  <w:szCs w:val="24"/>
                                </w:rPr>
                              </w:pPr>
                            </w:p>
                          </w:txbxContent>
                        </wps:txbx>
                        <wps:bodyPr vert="horz" wrap="square" lIns="0" tIns="0" rIns="0" bIns="0" anchor="t" anchorCtr="0" upright="1"/>
                      </wps:wsp>
                      <wpg:grpSp>
                        <wpg:cNvPr id="44" name="组合 653"/>
                        <wpg:cNvGrpSpPr/>
                        <wpg:grpSpPr>
                          <a:xfrm>
                            <a:off x="0" y="0"/>
                            <a:ext cx="9012" cy="3387"/>
                            <a:chOff x="0" y="0"/>
                            <a:chExt cx="9012" cy="3387"/>
                          </a:xfrm>
                        </wpg:grpSpPr>
                        <wps:wsp>
                          <wps:cNvPr id="36" name="任意多边形 654"/>
                          <wps:cNvSpPr/>
                          <wps:spPr>
                            <a:xfrm>
                              <a:off x="0" y="0"/>
                              <a:ext cx="9012" cy="3387"/>
                            </a:xfrm>
                            <a:custGeom>
                              <a:avLst/>
                              <a:gdLst/>
                              <a:ahLst/>
                              <a:cxnLst/>
                              <a:pathLst>
                                <a:path w="9012" h="3387">
                                  <a:moveTo>
                                    <a:pt x="9012" y="3386"/>
                                  </a:moveTo>
                                  <a:lnTo>
                                    <a:pt x="0" y="3386"/>
                                  </a:lnTo>
                                  <a:lnTo>
                                    <a:pt x="0" y="0"/>
                                  </a:lnTo>
                                  <a:lnTo>
                                    <a:pt x="9012" y="0"/>
                                  </a:lnTo>
                                  <a:lnTo>
                                    <a:pt x="9012" y="15"/>
                                  </a:lnTo>
                                  <a:lnTo>
                                    <a:pt x="30" y="15"/>
                                  </a:lnTo>
                                  <a:lnTo>
                                    <a:pt x="15" y="30"/>
                                  </a:lnTo>
                                  <a:lnTo>
                                    <a:pt x="30" y="30"/>
                                  </a:lnTo>
                                  <a:lnTo>
                                    <a:pt x="30" y="3356"/>
                                  </a:lnTo>
                                  <a:lnTo>
                                    <a:pt x="15" y="3356"/>
                                  </a:lnTo>
                                  <a:lnTo>
                                    <a:pt x="30" y="3371"/>
                                  </a:lnTo>
                                  <a:lnTo>
                                    <a:pt x="9012" y="3371"/>
                                  </a:lnTo>
                                  <a:lnTo>
                                    <a:pt x="9012" y="3386"/>
                                  </a:lnTo>
                                  <a:close/>
                                </a:path>
                              </a:pathLst>
                            </a:custGeom>
                            <a:solidFill>
                              <a:srgbClr val="000000"/>
                            </a:solidFill>
                            <a:ln>
                              <a:noFill/>
                            </a:ln>
                          </wps:spPr>
                          <wps:bodyPr vert="horz" wrap="square" anchor="t" anchorCtr="0" upright="1"/>
                        </wps:wsp>
                        <wps:wsp>
                          <wps:cNvPr id="37" name="任意多边形 655"/>
                          <wps:cNvSpPr/>
                          <wps:spPr>
                            <a:xfrm>
                              <a:off x="0" y="0"/>
                              <a:ext cx="9012" cy="3387"/>
                            </a:xfrm>
                            <a:custGeom>
                              <a:avLst/>
                              <a:gdLst/>
                              <a:ahLst/>
                              <a:cxnLst/>
                              <a:pathLst>
                                <a:path w="9012" h="3387">
                                  <a:moveTo>
                                    <a:pt x="30" y="30"/>
                                  </a:moveTo>
                                  <a:lnTo>
                                    <a:pt x="15" y="30"/>
                                  </a:lnTo>
                                  <a:lnTo>
                                    <a:pt x="30" y="15"/>
                                  </a:lnTo>
                                  <a:lnTo>
                                    <a:pt x="30" y="30"/>
                                  </a:lnTo>
                                  <a:close/>
                                </a:path>
                              </a:pathLst>
                            </a:custGeom>
                            <a:solidFill>
                              <a:srgbClr val="000000"/>
                            </a:solidFill>
                            <a:ln>
                              <a:noFill/>
                            </a:ln>
                          </wps:spPr>
                          <wps:bodyPr vert="horz" wrap="square" anchor="t" anchorCtr="0" upright="1"/>
                        </wps:wsp>
                        <wps:wsp>
                          <wps:cNvPr id="38" name="任意多边形 656"/>
                          <wps:cNvSpPr/>
                          <wps:spPr>
                            <a:xfrm>
                              <a:off x="0" y="0"/>
                              <a:ext cx="9012" cy="3387"/>
                            </a:xfrm>
                            <a:custGeom>
                              <a:avLst/>
                              <a:gdLst/>
                              <a:ahLst/>
                              <a:cxnLst/>
                              <a:pathLst>
                                <a:path w="9012" h="3387">
                                  <a:moveTo>
                                    <a:pt x="8982" y="30"/>
                                  </a:moveTo>
                                  <a:lnTo>
                                    <a:pt x="30" y="30"/>
                                  </a:lnTo>
                                  <a:lnTo>
                                    <a:pt x="30" y="15"/>
                                  </a:lnTo>
                                  <a:lnTo>
                                    <a:pt x="8982" y="15"/>
                                  </a:lnTo>
                                  <a:lnTo>
                                    <a:pt x="8982" y="30"/>
                                  </a:lnTo>
                                  <a:close/>
                                </a:path>
                              </a:pathLst>
                            </a:custGeom>
                            <a:solidFill>
                              <a:srgbClr val="000000"/>
                            </a:solidFill>
                            <a:ln>
                              <a:noFill/>
                            </a:ln>
                          </wps:spPr>
                          <wps:bodyPr vert="horz" wrap="square" anchor="t" anchorCtr="0" upright="1"/>
                        </wps:wsp>
                        <wps:wsp>
                          <wps:cNvPr id="39" name="任意多边形 657"/>
                          <wps:cNvSpPr/>
                          <wps:spPr>
                            <a:xfrm>
                              <a:off x="0" y="0"/>
                              <a:ext cx="9012" cy="3387"/>
                            </a:xfrm>
                            <a:custGeom>
                              <a:avLst/>
                              <a:gdLst/>
                              <a:ahLst/>
                              <a:cxnLst/>
                              <a:pathLst>
                                <a:path w="9012" h="3387">
                                  <a:moveTo>
                                    <a:pt x="8982" y="3371"/>
                                  </a:moveTo>
                                  <a:lnTo>
                                    <a:pt x="8982" y="15"/>
                                  </a:lnTo>
                                  <a:lnTo>
                                    <a:pt x="8997" y="30"/>
                                  </a:lnTo>
                                  <a:lnTo>
                                    <a:pt x="9012" y="30"/>
                                  </a:lnTo>
                                  <a:lnTo>
                                    <a:pt x="9012" y="3356"/>
                                  </a:lnTo>
                                  <a:lnTo>
                                    <a:pt x="8997" y="3356"/>
                                  </a:lnTo>
                                  <a:lnTo>
                                    <a:pt x="8982" y="3371"/>
                                  </a:lnTo>
                                  <a:close/>
                                </a:path>
                              </a:pathLst>
                            </a:custGeom>
                            <a:solidFill>
                              <a:srgbClr val="000000"/>
                            </a:solidFill>
                            <a:ln>
                              <a:noFill/>
                            </a:ln>
                          </wps:spPr>
                          <wps:bodyPr vert="horz" wrap="square" anchor="t" anchorCtr="0" upright="1"/>
                        </wps:wsp>
                        <wps:wsp>
                          <wps:cNvPr id="40" name="任意多边形 658"/>
                          <wps:cNvSpPr/>
                          <wps:spPr>
                            <a:xfrm>
                              <a:off x="0" y="0"/>
                              <a:ext cx="9012" cy="3387"/>
                            </a:xfrm>
                            <a:custGeom>
                              <a:avLst/>
                              <a:gdLst/>
                              <a:ahLst/>
                              <a:cxnLst/>
                              <a:pathLst>
                                <a:path w="9012" h="3387">
                                  <a:moveTo>
                                    <a:pt x="9012" y="30"/>
                                  </a:moveTo>
                                  <a:lnTo>
                                    <a:pt x="8997" y="30"/>
                                  </a:lnTo>
                                  <a:lnTo>
                                    <a:pt x="8982" y="15"/>
                                  </a:lnTo>
                                  <a:lnTo>
                                    <a:pt x="9012" y="15"/>
                                  </a:lnTo>
                                  <a:lnTo>
                                    <a:pt x="9012" y="30"/>
                                  </a:lnTo>
                                  <a:close/>
                                </a:path>
                              </a:pathLst>
                            </a:custGeom>
                            <a:solidFill>
                              <a:srgbClr val="000000"/>
                            </a:solidFill>
                            <a:ln>
                              <a:noFill/>
                            </a:ln>
                          </wps:spPr>
                          <wps:bodyPr vert="horz" wrap="square" anchor="t" anchorCtr="0" upright="1"/>
                        </wps:wsp>
                        <wps:wsp>
                          <wps:cNvPr id="41" name="任意多边形 659"/>
                          <wps:cNvSpPr/>
                          <wps:spPr>
                            <a:xfrm>
                              <a:off x="0" y="0"/>
                              <a:ext cx="9012" cy="3387"/>
                            </a:xfrm>
                            <a:custGeom>
                              <a:avLst/>
                              <a:gdLst/>
                              <a:ahLst/>
                              <a:cxnLst/>
                              <a:pathLst>
                                <a:path w="9012" h="3387">
                                  <a:moveTo>
                                    <a:pt x="30" y="3371"/>
                                  </a:moveTo>
                                  <a:lnTo>
                                    <a:pt x="15" y="3356"/>
                                  </a:lnTo>
                                  <a:lnTo>
                                    <a:pt x="30" y="3356"/>
                                  </a:lnTo>
                                  <a:lnTo>
                                    <a:pt x="30" y="3371"/>
                                  </a:lnTo>
                                  <a:close/>
                                </a:path>
                              </a:pathLst>
                            </a:custGeom>
                            <a:solidFill>
                              <a:srgbClr val="000000"/>
                            </a:solidFill>
                            <a:ln>
                              <a:noFill/>
                            </a:ln>
                          </wps:spPr>
                          <wps:bodyPr vert="horz" wrap="square" anchor="t" anchorCtr="0" upright="1"/>
                        </wps:wsp>
                        <wps:wsp>
                          <wps:cNvPr id="42" name="任意多边形 660"/>
                          <wps:cNvSpPr/>
                          <wps:spPr>
                            <a:xfrm>
                              <a:off x="0" y="0"/>
                              <a:ext cx="9012" cy="3387"/>
                            </a:xfrm>
                            <a:custGeom>
                              <a:avLst/>
                              <a:gdLst/>
                              <a:ahLst/>
                              <a:cxnLst/>
                              <a:pathLst>
                                <a:path w="9012" h="3387">
                                  <a:moveTo>
                                    <a:pt x="8982" y="3371"/>
                                  </a:moveTo>
                                  <a:lnTo>
                                    <a:pt x="30" y="3371"/>
                                  </a:lnTo>
                                  <a:lnTo>
                                    <a:pt x="30" y="3356"/>
                                  </a:lnTo>
                                  <a:lnTo>
                                    <a:pt x="8982" y="3356"/>
                                  </a:lnTo>
                                  <a:lnTo>
                                    <a:pt x="8982" y="3371"/>
                                  </a:lnTo>
                                  <a:close/>
                                </a:path>
                              </a:pathLst>
                            </a:custGeom>
                            <a:solidFill>
                              <a:srgbClr val="000000"/>
                            </a:solidFill>
                            <a:ln>
                              <a:noFill/>
                            </a:ln>
                          </wps:spPr>
                          <wps:bodyPr vert="horz" wrap="square" anchor="t" anchorCtr="0" upright="1"/>
                        </wps:wsp>
                        <wps:wsp>
                          <wps:cNvPr id="43" name="任意多边形 661"/>
                          <wps:cNvSpPr/>
                          <wps:spPr>
                            <a:xfrm>
                              <a:off x="0" y="0"/>
                              <a:ext cx="9012" cy="3387"/>
                            </a:xfrm>
                            <a:custGeom>
                              <a:avLst/>
                              <a:gdLst/>
                              <a:ahLst/>
                              <a:cxnLst/>
                              <a:pathLst>
                                <a:path w="9012" h="3387">
                                  <a:moveTo>
                                    <a:pt x="9012" y="3371"/>
                                  </a:moveTo>
                                  <a:lnTo>
                                    <a:pt x="8982" y="3371"/>
                                  </a:lnTo>
                                  <a:lnTo>
                                    <a:pt x="8997" y="3356"/>
                                  </a:lnTo>
                                  <a:lnTo>
                                    <a:pt x="9012" y="3356"/>
                                  </a:lnTo>
                                  <a:lnTo>
                                    <a:pt x="9012" y="3371"/>
                                  </a:lnTo>
                                  <a:close/>
                                </a:path>
                              </a:pathLst>
                            </a:custGeom>
                            <a:solidFill>
                              <a:srgbClr val="000000"/>
                            </a:solidFill>
                            <a:ln>
                              <a:noFill/>
                            </a:ln>
                          </wps:spPr>
                          <wps:bodyPr vert="horz" wrap="square" anchor="t" anchorCtr="0" upright="1"/>
                        </wps:wsp>
                      </wpg:grpSp>
                    </wpg:wgp>
                  </a:graphicData>
                </a:graphic>
              </wp:inline>
            </w:drawing>
          </mc:Choice>
          <mc:Fallback>
            <w:pict>
              <v:group id="组合 651" o:spid="_x0000_s1026" o:spt="203" style="height:169.35pt;width:471.2pt;" coordsize="9012,3387" o:gfxdata="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">
                <o:lock v:ext="edit" aspectratio="f"/>
                <v:rect id="矩形 652" o:spid="_x0000_s1026" o:spt="1" style="position:absolute;left:30;top:30;height:3320;width:8960;" filled="f" stroked="f" coordsize="21600,21600" o:gfxdata="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g1e9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DA698F8">
                        <w:pPr>
                          <w:widowControl/>
                          <w:autoSpaceDE/>
                          <w:autoSpaceDN/>
                          <w:adjustRightInd/>
                          <w:spacing w:beforeLines="0" w:afterLines="0" w:line="3320" w:lineRule="atLeast"/>
                          <w:rPr>
                            <w:rFonts w:hint="default"/>
                            <w:sz w:val="24"/>
                            <w:szCs w:val="24"/>
                          </w:rPr>
                        </w:pPr>
                        <w:r>
                          <w:rPr>
                            <w:rFonts w:hint="default"/>
                            <w:sz w:val="24"/>
                            <w:szCs w:val="24"/>
                          </w:rPr>
                          <w:drawing>
                            <wp:inline distT="0" distB="0" distL="114300" distR="114300">
                              <wp:extent cx="5704840" cy="2120265"/>
                              <wp:effectExtent l="0" t="0" r="10160" b="635"/>
                              <wp:docPr id="13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31"/>
                                      <pic:cNvPicPr>
                                        <a:picLocks noChangeAspect="1"/>
                                      </pic:cNvPicPr>
                                    </pic:nvPicPr>
                                    <pic:blipFill>
                                      <a:blip r:embed="rId13"/>
                                      <a:stretch>
                                        <a:fillRect/>
                                      </a:stretch>
                                    </pic:blipFill>
                                    <pic:spPr>
                                      <a:xfrm>
                                        <a:off x="0" y="0"/>
                                        <a:ext cx="5704840" cy="2120265"/>
                                      </a:xfrm>
                                      <a:prstGeom prst="rect">
                                        <a:avLst/>
                                      </a:prstGeom>
                                      <a:noFill/>
                                      <a:ln>
                                        <a:noFill/>
                                      </a:ln>
                                    </pic:spPr>
                                  </pic:pic>
                                </a:graphicData>
                              </a:graphic>
                            </wp:inline>
                          </w:drawing>
                        </w:r>
                      </w:p>
                      <w:p w14:paraId="32489EED">
                        <w:pPr>
                          <w:spacing w:beforeLines="0" w:afterLines="0"/>
                          <w:rPr>
                            <w:rFonts w:hint="default"/>
                            <w:sz w:val="24"/>
                            <w:szCs w:val="24"/>
                          </w:rPr>
                        </w:pPr>
                      </w:p>
                    </w:txbxContent>
                  </v:textbox>
                </v:rect>
                <v:group id="组合 653" o:spid="_x0000_s1026" o:spt="203" style="position:absolute;left:0;top:0;height:3387;width:9012;" coordsize="9012,3387" o:gfxdata="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oa4C70AAADbAAAADwAAAAAAAAABACAAAAAiAAAAZHJzL2Rvd25yZXYueG1s&#10;UEsBAhQAFAAAAAgAh07iQDMvBZ47AAAAOQAAABUAAAAAAAAAAQAgAAAADAEAAGRycy9ncm91cHNo&#10;YXBleG1sLnhtbFBLBQYAAAAABgAGAGABAADJAwAAAAA=&#10;">
                  <o:lock v:ext="edit" aspectratio="f"/>
                  <v:shape id="任意多边形 654" o:spid="_x0000_s1026" o:spt="100" style="position:absolute;left:0;top:0;height:3387;width:9012;" fillcolor="#000000" filled="t" stroked="f" coordsize="9012,3387" o:gfxdata="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bFMrvQAA&#10;ANsAAAAPAAAAAAAAAAEAIAAAACIAAABkcnMvZG93bnJldi54bWxQSwECFAAUAAAACACHTuJAMy8F&#10;njsAAAA5AAAAEAAAAAAAAAABACAAAAAMAQAAZHJzL3NoYXBleG1sLnhtbFBLBQYAAAAABgAGAFsB&#10;AAC2AwAAAAA=&#10;" path="m9012,3386l0,3386,0,0,9012,0,9012,15,30,15,15,30,30,30,30,3356,15,3356,30,3371,9012,3371,9012,3386xe">
                    <v:fill on="t" focussize="0,0"/>
                    <v:stroke on="f"/>
                    <v:imagedata o:title=""/>
                    <o:lock v:ext="edit" aspectratio="f"/>
                  </v:shape>
                  <v:shape id="任意多边形 655" o:spid="_x0000_s1026" o:spt="100" style="position:absolute;left:0;top:0;height:3387;width:9012;" fillcolor="#000000" filled="t" stroked="f" coordsize="9012,3387" o:gfxdata="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SD2sL4A&#10;AADbAAAADwAAAAAAAAABACAAAAAiAAAAZHJzL2Rvd25yZXYueG1sUEsBAhQAFAAAAAgAh07iQDMv&#10;BZ47AAAAOQAAABAAAAAAAAAAAQAgAAAADQEAAGRycy9zaGFwZXhtbC54bWxQSwUGAAAAAAYABgBb&#10;AQAAtwMAAAAA&#10;" path="m30,30l15,30,30,15,30,30xe">
                    <v:fill on="t" focussize="0,0"/>
                    <v:stroke on="f"/>
                    <v:imagedata o:title=""/>
                    <o:lock v:ext="edit" aspectratio="f"/>
                  </v:shape>
                  <v:shape id="任意多边形 656" o:spid="_x0000_s1026" o:spt="100" style="position:absolute;left:0;top:0;height:3387;width:9012;" fillcolor="#000000" filled="t" stroked="f" coordsize="9012,3387" o:gfxdata="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v2LCugAAANsA&#10;AAAPAAAAAAAAAAEAIAAAACIAAABkcnMvZG93bnJldi54bWxQSwECFAAUAAAACACHTuJAMy8FnjsA&#10;AAA5AAAAEAAAAAAAAAABACAAAAAJAQAAZHJzL3NoYXBleG1sLnhtbFBLBQYAAAAABgAGAFsBAACz&#10;AwAAAAA=&#10;" path="m8982,30l30,30,30,15,8982,15,8982,30xe">
                    <v:fill on="t" focussize="0,0"/>
                    <v:stroke on="f"/>
                    <v:imagedata o:title=""/>
                    <o:lock v:ext="edit" aspectratio="f"/>
                  </v:shape>
                  <v:shape id="任意多边形 657" o:spid="_x0000_s1026" o:spt="100" style="position:absolute;left:0;top:0;height:3387;width:9012;" fillcolor="#000000" filled="t" stroked="f" coordsize="9012,3387" o:gfxdata="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PHWb4A&#10;AADbAAAADwAAAAAAAAABACAAAAAiAAAAZHJzL2Rvd25yZXYueG1sUEsBAhQAFAAAAAgAh07iQDMv&#10;BZ47AAAAOQAAABAAAAAAAAAAAQAgAAAADQEAAGRycy9zaGFwZXhtbC54bWxQSwUGAAAAAAYABgBb&#10;AQAAtwMAAAAA&#10;" path="m8982,3371l8982,15,8997,30,9012,30,9012,3356,8997,3356,8982,3371xe">
                    <v:fill on="t" focussize="0,0"/>
                    <v:stroke on="f"/>
                    <v:imagedata o:title=""/>
                    <o:lock v:ext="edit" aspectratio="f"/>
                  </v:shape>
                  <v:shape id="任意多边形 658" o:spid="_x0000_s1026" o:spt="100" style="position:absolute;left:0;top:0;height:3387;width:9012;" fillcolor="#000000" filled="t" stroked="f" coordsize="9012,3387" o:gfxdata="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zx25ugAAANsA&#10;AAAPAAAAAAAAAAEAIAAAACIAAABkcnMvZG93bnJldi54bWxQSwECFAAUAAAACACHTuJAMy8FnjsA&#10;AAA5AAAAEAAAAAAAAAABACAAAAAJAQAAZHJzL3NoYXBleG1sLnhtbFBLBQYAAAAABgAGAFsBAACz&#10;AwAAAAA=&#10;" path="m9012,30l8997,30,8982,15,9012,15,9012,30xe">
                    <v:fill on="t" focussize="0,0"/>
                    <v:stroke on="f"/>
                    <v:imagedata o:title=""/>
                    <o:lock v:ext="edit" aspectratio="f"/>
                  </v:shape>
                  <v:shape id="任意多边形 659" o:spid="_x0000_s1026" o:spt="100" style="position:absolute;left:0;top:0;height:3387;width:9012;" fillcolor="#000000" filled="t" stroked="f" coordsize="9012,3387" o:gfxdata="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g7givQAA&#10;ANsAAAAPAAAAAAAAAAEAIAAAACIAAABkcnMvZG93bnJldi54bWxQSwECFAAUAAAACACHTuJAMy8F&#10;njsAAAA5AAAAEAAAAAAAAAABACAAAAAMAQAAZHJzL3NoYXBleG1sLnhtbFBLBQYAAAAABgAGAFsB&#10;AAC2AwAAAAA=&#10;" path="m30,3371l15,3356,30,3356,30,3371xe">
                    <v:fill on="t" focussize="0,0"/>
                    <v:stroke on="f"/>
                    <v:imagedata o:title=""/>
                    <o:lock v:ext="edit" aspectratio="f"/>
                  </v:shape>
                  <v:shape id="任意多边形 660" o:spid="_x0000_s1026" o:spt="100" style="position:absolute;left:0;top:0;height:3387;width:9012;" fillcolor="#000000" filled="t" stroked="f" coordsize="9012,3387" o:gfxdata="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USZVvQAA&#10;ANsAAAAPAAAAAAAAAAEAIAAAACIAAABkcnMvZG93bnJldi54bWxQSwECFAAUAAAACACHTuJAMy8F&#10;njsAAAA5AAAAEAAAAAAAAAABACAAAAAMAQAAZHJzL3NoYXBleG1sLnhtbFBLBQYAAAAABgAGAFsB&#10;AAC2AwAAAAA=&#10;" path="m8982,3371l30,3371,30,3356,8982,3356,8982,3371xe">
                    <v:fill on="t" focussize="0,0"/>
                    <v:stroke on="f"/>
                    <v:imagedata o:title=""/>
                    <o:lock v:ext="edit" aspectratio="f"/>
                  </v:shape>
                  <v:shape id="任意多边形 661" o:spid="_x0000_s1026" o:spt="100" style="position:absolute;left:0;top:0;height:3387;width:9012;" fillcolor="#000000" filled="t" stroked="f" coordsize="9012,3387" o:gfxdata="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HYPOvQAA&#10;ANsAAAAPAAAAAAAAAAEAIAAAACIAAABkcnMvZG93bnJldi54bWxQSwECFAAUAAAACACHTuJAMy8F&#10;njsAAAA5AAAAEAAAAAAAAAABACAAAAAMAQAAZHJzL3NoYXBleG1sLnhtbFBLBQYAAAAABgAGAFsB&#10;AAC2AwAAAAA=&#10;" path="m9012,3371l8982,3371,8997,3356,9012,3356,9012,3371xe">
                    <v:fill on="t" focussize="0,0"/>
                    <v:stroke on="f"/>
                    <v:imagedata o:title=""/>
                    <o:lock v:ext="edit" aspectratio="f"/>
                  </v:shape>
                </v:group>
                <w10:wrap type="none"/>
                <w10:anchorlock/>
              </v:group>
            </w:pict>
          </mc:Fallback>
        </mc:AlternateContent>
      </w:r>
    </w:p>
    <w:p w14:paraId="354D7AC2">
      <w:pPr>
        <w:pStyle w:val="14"/>
        <w:kinsoku w:val="0"/>
        <w:overflowPunct w:val="0"/>
        <w:spacing w:before="3" w:beforeLines="0" w:afterLines="0"/>
        <w:ind w:left="0"/>
        <w:rPr>
          <w:rFonts w:hint="default" w:ascii="Times New Roman" w:hAnsi="Times New Roman" w:cs="Times New Roman"/>
          <w:color w:val="auto"/>
          <w:sz w:val="5"/>
          <w:szCs w:val="24"/>
          <w:highlight w:val="none"/>
        </w:rPr>
      </w:pPr>
    </w:p>
    <w:p w14:paraId="34DE915E">
      <w:pPr>
        <w:pStyle w:val="14"/>
        <w:tabs>
          <w:tab w:val="left" w:pos="3745"/>
        </w:tabs>
        <w:kinsoku w:val="0"/>
        <w:overflowPunct w:val="0"/>
        <w:spacing w:before="26" w:beforeLines="0" w:afterLines="0"/>
        <w:ind w:left="2346"/>
        <w:rPr>
          <w:rFonts w:hint="default" w:ascii="Times New Roman" w:hAnsi="Times New Roman" w:cs="Times New Roman"/>
          <w:color w:val="auto"/>
          <w:sz w:val="24"/>
          <w:szCs w:val="24"/>
          <w:highlight w:val="none"/>
        </w:rPr>
      </w:pPr>
      <w:r>
        <w:rPr>
          <w:rFonts w:hint="default" w:ascii="Times New Roman" w:hAnsi="Times New Roman" w:cs="Times New Roman"/>
          <w:b/>
          <w:color w:val="auto"/>
          <w:sz w:val="24"/>
          <w:szCs w:val="24"/>
          <w:highlight w:val="none"/>
        </w:rPr>
        <w:t>图</w:t>
      </w:r>
      <w:r>
        <w:rPr>
          <w:rFonts w:hint="default" w:ascii="Times New Roman" w:hAnsi="Times New Roman" w:cs="Times New Roman"/>
          <w:b/>
          <w:color w:val="auto"/>
          <w:spacing w:val="-63"/>
          <w:sz w:val="24"/>
          <w:szCs w:val="24"/>
          <w:highlight w:val="none"/>
        </w:rPr>
        <w:t xml:space="preserve"> </w:t>
      </w:r>
      <w:r>
        <w:rPr>
          <w:rFonts w:hint="default" w:ascii="Times New Roman" w:hAnsi="Times New Roman" w:eastAsia="Times New Roman" w:cs="Times New Roman"/>
          <w:b/>
          <w:color w:val="auto"/>
          <w:sz w:val="24"/>
          <w:szCs w:val="24"/>
          <w:highlight w:val="none"/>
        </w:rPr>
        <w:t>3.</w:t>
      </w:r>
      <w:r>
        <w:rPr>
          <w:rFonts w:hint="eastAsia" w:ascii="Times New Roman" w:hAnsi="Times New Roman" w:eastAsia="宋体" w:cs="Times New Roman"/>
          <w:b/>
          <w:color w:val="auto"/>
          <w:sz w:val="24"/>
          <w:szCs w:val="24"/>
          <w:highlight w:val="none"/>
          <w:lang w:val="en-US" w:eastAsia="zh-CN"/>
        </w:rPr>
        <w:t>8</w:t>
      </w:r>
      <w:r>
        <w:rPr>
          <w:rFonts w:hint="default" w:ascii="Times New Roman" w:hAnsi="Times New Roman" w:eastAsia="Times New Roman" w:cs="Times New Roman"/>
          <w:b/>
          <w:color w:val="auto"/>
          <w:sz w:val="24"/>
          <w:szCs w:val="24"/>
          <w:highlight w:val="none"/>
        </w:rPr>
        <w:t>-1</w:t>
      </w:r>
      <w:r>
        <w:rPr>
          <w:rFonts w:hint="default" w:ascii="Times New Roman" w:hAnsi="Times New Roman" w:eastAsia="Times New Roman" w:cs="Times New Roman"/>
          <w:b/>
          <w:color w:val="auto"/>
          <w:sz w:val="24"/>
          <w:szCs w:val="24"/>
          <w:highlight w:val="none"/>
        </w:rPr>
        <w:tab/>
      </w:r>
      <w:r>
        <w:rPr>
          <w:rFonts w:hint="default" w:ascii="Times New Roman" w:hAnsi="Times New Roman" w:cs="Times New Roman"/>
          <w:b/>
          <w:color w:val="auto"/>
          <w:sz w:val="24"/>
          <w:szCs w:val="24"/>
          <w:highlight w:val="none"/>
        </w:rPr>
        <w:t>施工期工艺流程及产污节点图</w:t>
      </w:r>
    </w:p>
    <w:p w14:paraId="07458A16">
      <w:pPr>
        <w:pStyle w:val="5"/>
        <w:bidi w:val="0"/>
        <w:rPr>
          <w:rFonts w:hint="default"/>
        </w:rPr>
      </w:pPr>
      <w:bookmarkStart w:id="147" w:name="3.6.1.2运营期工艺流程及产污环节分析"/>
      <w:bookmarkEnd w:id="147"/>
      <w:r>
        <w:rPr>
          <w:rFonts w:hint="default"/>
        </w:rPr>
        <w:t>运营期工艺流程及产污环节分析</w:t>
      </w:r>
    </w:p>
    <w:p w14:paraId="4A35079C">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本项目工艺流程主要是矿石开采流程以及矿石洗选过程。本项目矿石开采采用挖掘机铲装，自卸汽车运输至筛分场地，装载机铲装</w:t>
      </w:r>
      <w:r>
        <w:rPr>
          <w:rFonts w:hint="default" w:ascii="Times New Roman" w:hAnsi="Times New Roman" w:cs="Times New Roman"/>
          <w:color w:val="auto"/>
          <w:sz w:val="24"/>
          <w:szCs w:val="24"/>
          <w:highlight w:val="none"/>
          <w:lang w:val="en-US" w:eastAsia="zh-CN"/>
        </w:rPr>
        <w:t>直接卸车</w:t>
      </w:r>
      <w:r>
        <w:rPr>
          <w:rFonts w:hint="default" w:ascii="Times New Roman" w:hAnsi="Times New Roman" w:cs="Times New Roman"/>
          <w:color w:val="auto"/>
          <w:sz w:val="24"/>
          <w:szCs w:val="24"/>
          <w:highlight w:val="none"/>
        </w:rPr>
        <w:t>至筛分设备给料口</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不设置原料堆场，分级后的成品通过袋装后，在车间暂存，外售，不设置成品堆场</w:t>
      </w:r>
      <w:r>
        <w:rPr>
          <w:rFonts w:hint="default" w:ascii="Times New Roman" w:hAnsi="Times New Roman" w:cs="Times New Roman"/>
          <w:color w:val="auto"/>
          <w:sz w:val="24"/>
          <w:szCs w:val="24"/>
          <w:highlight w:val="none"/>
        </w:rPr>
        <w:t>。采矿工艺流程详见图 3.6-2。</w:t>
      </w:r>
    </w:p>
    <w:p w14:paraId="78403058">
      <w:pPr>
        <w:spacing w:beforeLines="0" w:afterLines="0"/>
        <w:ind w:firstLine="0" w:firstLineChars="0"/>
        <w:rPr>
          <w:rFonts w:hint="default" w:ascii="Times New Roman" w:hAnsi="Times New Roman" w:cs="Times New Roman"/>
          <w:color w:val="auto"/>
          <w:sz w:val="24"/>
          <w:szCs w:val="24"/>
          <w:highlight w:val="none"/>
        </w:rPr>
      </w:pPr>
      <w:r>
        <w:rPr>
          <w:rFonts w:hint="default" w:ascii="Times New Roman" w:hAnsi="Times New Roman" w:cs="Times New Roman"/>
          <w:b/>
          <w:color w:val="auto"/>
          <w:sz w:val="21"/>
          <w:szCs w:val="21"/>
          <w:highlight w:val="none"/>
          <w:lang w:eastAsia="zh-CN"/>
        </w:rPr>
        <w:object>
          <v:shape id="_x0000_i1026" o:spt="75" type="#_x0000_t75" style="height:91.25pt;width:470.2pt;" o:ole="t" filled="f" o:preferrelative="t" stroked="f" coordsize="21600,21600">
            <v:path/>
            <v:fill on="f" focussize="0,0"/>
            <v:stroke on="f"/>
            <v:imagedata r:id="rId15" o:title=""/>
            <o:lock v:ext="edit" aspectratio="t"/>
            <w10:wrap type="none"/>
            <w10:anchorlock/>
          </v:shape>
          <o:OLEObject Type="Embed" ProgID="Visio.Drawing.11" ShapeID="_x0000_i1026" DrawAspect="Content" ObjectID="_1468075726" r:id="rId14">
            <o:LockedField>false</o:LockedField>
          </o:OLEObject>
        </w:object>
      </w:r>
    </w:p>
    <w:p w14:paraId="54D6FB9E">
      <w:pPr>
        <w:pStyle w:val="14"/>
        <w:tabs>
          <w:tab w:val="left" w:pos="4011"/>
        </w:tabs>
        <w:kinsoku w:val="0"/>
        <w:overflowPunct w:val="0"/>
        <w:spacing w:before="34" w:beforeLines="0" w:afterLines="0"/>
        <w:ind w:left="2682"/>
        <w:rPr>
          <w:rFonts w:hint="default" w:ascii="Times New Roman" w:hAnsi="Times New Roman" w:cs="Times New Roman"/>
          <w:color w:val="auto"/>
          <w:sz w:val="21"/>
          <w:szCs w:val="24"/>
          <w:highlight w:val="none"/>
        </w:rPr>
      </w:pPr>
      <w:r>
        <w:rPr>
          <w:rFonts w:hint="default" w:ascii="Times New Roman" w:hAnsi="Times New Roman" w:cs="Times New Roman"/>
          <w:b/>
          <w:color w:val="auto"/>
          <w:sz w:val="21"/>
          <w:szCs w:val="24"/>
          <w:highlight w:val="none"/>
        </w:rPr>
        <w:t>图</w:t>
      </w:r>
      <w:r>
        <w:rPr>
          <w:rFonts w:hint="default" w:ascii="Times New Roman" w:hAnsi="Times New Roman" w:cs="Times New Roman"/>
          <w:b/>
          <w:color w:val="auto"/>
          <w:spacing w:val="-56"/>
          <w:sz w:val="21"/>
          <w:szCs w:val="24"/>
          <w:highlight w:val="none"/>
        </w:rPr>
        <w:t xml:space="preserve"> </w:t>
      </w:r>
      <w:r>
        <w:rPr>
          <w:rFonts w:hint="default" w:ascii="Times New Roman" w:hAnsi="Times New Roman" w:eastAsia="Times New Roman" w:cs="Times New Roman"/>
          <w:b/>
          <w:color w:val="auto"/>
          <w:sz w:val="21"/>
          <w:szCs w:val="24"/>
          <w:highlight w:val="none"/>
        </w:rPr>
        <w:t>3.</w:t>
      </w:r>
      <w:r>
        <w:rPr>
          <w:rFonts w:hint="eastAsia" w:ascii="Times New Roman" w:hAnsi="Times New Roman" w:eastAsia="宋体" w:cs="Times New Roman"/>
          <w:b/>
          <w:color w:val="auto"/>
          <w:sz w:val="21"/>
          <w:szCs w:val="24"/>
          <w:highlight w:val="none"/>
          <w:lang w:val="en-US" w:eastAsia="zh-CN"/>
        </w:rPr>
        <w:t>8</w:t>
      </w:r>
      <w:r>
        <w:rPr>
          <w:rFonts w:hint="default" w:ascii="Times New Roman" w:hAnsi="Times New Roman" w:eastAsia="Times New Roman" w:cs="Times New Roman"/>
          <w:b/>
          <w:color w:val="auto"/>
          <w:sz w:val="21"/>
          <w:szCs w:val="24"/>
          <w:highlight w:val="none"/>
        </w:rPr>
        <w:t>-2</w:t>
      </w:r>
      <w:r>
        <w:rPr>
          <w:rFonts w:hint="default" w:ascii="Times New Roman" w:hAnsi="Times New Roman" w:eastAsia="Times New Roman" w:cs="Times New Roman"/>
          <w:b/>
          <w:color w:val="auto"/>
          <w:sz w:val="21"/>
          <w:szCs w:val="24"/>
          <w:highlight w:val="none"/>
        </w:rPr>
        <w:tab/>
      </w:r>
      <w:r>
        <w:rPr>
          <w:rFonts w:hint="default" w:ascii="Times New Roman" w:hAnsi="Times New Roman" w:cs="Times New Roman"/>
          <w:b/>
          <w:color w:val="auto"/>
          <w:sz w:val="21"/>
          <w:szCs w:val="24"/>
          <w:highlight w:val="none"/>
          <w:lang w:val="en-US" w:eastAsia="zh-CN"/>
        </w:rPr>
        <w:t>项目</w:t>
      </w:r>
      <w:r>
        <w:rPr>
          <w:rFonts w:hint="default" w:ascii="Times New Roman" w:hAnsi="Times New Roman" w:cs="Times New Roman"/>
          <w:b/>
          <w:color w:val="auto"/>
          <w:sz w:val="21"/>
          <w:szCs w:val="24"/>
          <w:highlight w:val="none"/>
        </w:rPr>
        <w:t>工艺流程及产污节点图</w:t>
      </w:r>
    </w:p>
    <w:p w14:paraId="0EAAF81F">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采矿工艺流程说明：</w:t>
      </w:r>
    </w:p>
    <w:p w14:paraId="4F42BFB6">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铲装：本项目石英砂矿出露地表，可直接采用挖掘机铲装。</w:t>
      </w:r>
    </w:p>
    <w:p w14:paraId="062259A9">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运输：挖掘机将铲装的矿石装入自卸卡车，自卸卡车经矿区内道路运输至本项目</w:t>
      </w:r>
      <w:r>
        <w:rPr>
          <w:rFonts w:hint="default" w:ascii="Times New Roman" w:hAnsi="Times New Roman" w:cs="Times New Roman"/>
          <w:color w:val="auto"/>
          <w:sz w:val="24"/>
          <w:szCs w:val="24"/>
          <w:highlight w:val="none"/>
          <w:lang w:val="en-US" w:eastAsia="zh-CN"/>
        </w:rPr>
        <w:t>矿区的工业广场厂房内</w:t>
      </w:r>
      <w:r>
        <w:rPr>
          <w:rFonts w:hint="eastAsia" w:cs="Times New Roman"/>
          <w:color w:val="auto"/>
          <w:sz w:val="24"/>
          <w:szCs w:val="24"/>
          <w:highlight w:val="none"/>
          <w:lang w:val="en-US" w:eastAsia="zh-CN"/>
        </w:rPr>
        <w:t>原料堆场</w:t>
      </w:r>
      <w:r>
        <w:rPr>
          <w:rFonts w:hint="default" w:ascii="Times New Roman" w:hAnsi="Times New Roman" w:cs="Times New Roman"/>
          <w:color w:val="auto"/>
          <w:sz w:val="24"/>
          <w:szCs w:val="24"/>
          <w:highlight w:val="none"/>
          <w:lang w:val="en-US" w:eastAsia="zh-CN"/>
        </w:rPr>
        <w:t>堆放。</w:t>
      </w:r>
    </w:p>
    <w:p w14:paraId="19F765CA">
      <w:pPr>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rPr>
        <w:t>筛分</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原料通过铲车将原料装至振动给料机，通过皮带输送至振动摇摆筛</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此环节主要去除石英砂矿中的渣土以及大于70目，小于20目的废料。</w:t>
      </w:r>
    </w:p>
    <w:p w14:paraId="17547E5B">
      <w:pPr>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水洗：筛分后的物料由皮带输送至洗砂机，进行水洗，水洗环节产生废水，这部分废水排入矿区沉淀池沉淀后，循环使用，不外排，经水洗后的石英砂矿在工业广场临时堆放。</w:t>
      </w:r>
    </w:p>
    <w:p w14:paraId="67EF37A0">
      <w:pPr>
        <w:pStyle w:val="13"/>
        <w:rPr>
          <w:rFonts w:hint="default" w:ascii="Times New Roman" w:hAnsi="Times New Roman" w:cs="Times New Roman"/>
          <w:color w:val="00B050"/>
          <w:sz w:val="24"/>
          <w:szCs w:val="24"/>
          <w:highlight w:val="none"/>
          <w:lang w:val="en-US" w:eastAsia="zh-CN"/>
        </w:rPr>
      </w:pPr>
      <w:r>
        <w:rPr>
          <w:rFonts w:hint="default" w:ascii="Times New Roman" w:hAnsi="Times New Roman" w:cs="Times New Roman"/>
          <w:color w:val="00B050"/>
          <w:sz w:val="24"/>
          <w:szCs w:val="24"/>
          <w:highlight w:val="none"/>
          <w:lang w:val="en-US" w:eastAsia="zh-CN"/>
        </w:rPr>
        <w:t>烘干：热源采用</w:t>
      </w:r>
      <w:r>
        <w:rPr>
          <w:rFonts w:hint="eastAsia" w:ascii="Times New Roman" w:hAnsi="Times New Roman" w:cs="Times New Roman"/>
          <w:color w:val="00B050"/>
          <w:sz w:val="24"/>
          <w:szCs w:val="24"/>
          <w:highlight w:val="none"/>
          <w:lang w:val="en-US" w:eastAsia="zh-CN"/>
        </w:rPr>
        <w:t>电，</w:t>
      </w:r>
      <w:r>
        <w:rPr>
          <w:rFonts w:hint="default" w:ascii="Times New Roman" w:hAnsi="Times New Roman" w:cs="Times New Roman"/>
          <w:color w:val="00B050"/>
          <w:sz w:val="24"/>
          <w:szCs w:val="24"/>
          <w:highlight w:val="none"/>
          <w:lang w:val="en-US" w:eastAsia="zh-CN"/>
        </w:rPr>
        <w:t>无需燃烧过程，通过电加热元件直接将电能转化为热能，再加热空气生成高温气流</w:t>
      </w:r>
      <w:r>
        <w:rPr>
          <w:rFonts w:hint="eastAsia" w:ascii="Times New Roman" w:hAnsi="Times New Roman" w:cs="Times New Roman"/>
          <w:color w:val="00B050"/>
          <w:sz w:val="24"/>
          <w:szCs w:val="24"/>
          <w:highlight w:val="none"/>
          <w:lang w:val="en-US" w:eastAsia="zh-CN"/>
        </w:rPr>
        <w:t>，</w:t>
      </w:r>
      <w:r>
        <w:rPr>
          <w:rFonts w:hint="default" w:ascii="Times New Roman" w:hAnsi="Times New Roman" w:cs="Times New Roman"/>
          <w:color w:val="00B050"/>
          <w:sz w:val="24"/>
          <w:szCs w:val="24"/>
          <w:highlight w:val="none"/>
          <w:lang w:val="en-US" w:eastAsia="zh-CN"/>
        </w:rPr>
        <w:t>石英砂通过螺旋给料机匀速进入干燥管，与电加热产生的高温气流瞬间混合</w:t>
      </w:r>
      <w:r>
        <w:rPr>
          <w:rFonts w:hint="eastAsia" w:ascii="Times New Roman" w:hAnsi="Times New Roman" w:cs="Times New Roman"/>
          <w:color w:val="00B050"/>
          <w:sz w:val="24"/>
          <w:szCs w:val="24"/>
          <w:highlight w:val="none"/>
          <w:lang w:val="en-US" w:eastAsia="zh-CN"/>
        </w:rPr>
        <w:t>，达到烘干的目的</w:t>
      </w:r>
      <w:r>
        <w:rPr>
          <w:rFonts w:hint="default" w:ascii="Times New Roman" w:hAnsi="Times New Roman" w:cs="Times New Roman"/>
          <w:color w:val="00B050"/>
          <w:sz w:val="24"/>
          <w:szCs w:val="24"/>
          <w:highlight w:val="none"/>
          <w:lang w:val="en-US" w:eastAsia="zh-CN"/>
        </w:rPr>
        <w:t>。</w:t>
      </w:r>
    </w:p>
    <w:p w14:paraId="7245EF40">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分级：烘干后的石英砂矿</w:t>
      </w:r>
      <w:r>
        <w:rPr>
          <w:rFonts w:hint="eastAsia" w:cs="Times New Roman"/>
          <w:color w:val="auto"/>
          <w:sz w:val="24"/>
          <w:szCs w:val="24"/>
          <w:highlight w:val="none"/>
          <w:lang w:val="en-US" w:eastAsia="zh-CN"/>
        </w:rPr>
        <w:t>进入料斗</w:t>
      </w:r>
      <w:r>
        <w:rPr>
          <w:rFonts w:hint="default" w:ascii="Times New Roman" w:hAnsi="Times New Roman" w:cs="Times New Roman"/>
          <w:color w:val="auto"/>
          <w:sz w:val="24"/>
          <w:szCs w:val="24"/>
          <w:highlight w:val="none"/>
          <w:lang w:val="en-US" w:eastAsia="zh-CN"/>
        </w:rPr>
        <w:t>通过皮带输送机输送至</w:t>
      </w:r>
      <w:r>
        <w:rPr>
          <w:rFonts w:hint="eastAsia" w:cs="Times New Roman"/>
          <w:color w:val="auto"/>
          <w:sz w:val="24"/>
          <w:szCs w:val="24"/>
          <w:highlight w:val="none"/>
          <w:lang w:val="en-US" w:eastAsia="zh-CN"/>
        </w:rPr>
        <w:t>方形摇摆筛</w:t>
      </w:r>
      <w:r>
        <w:rPr>
          <w:rFonts w:hint="default" w:ascii="Times New Roman" w:hAnsi="Times New Roman" w:cs="Times New Roman"/>
          <w:color w:val="auto"/>
          <w:sz w:val="24"/>
          <w:szCs w:val="24"/>
          <w:highlight w:val="none"/>
        </w:rPr>
        <w:t>进行分级</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分级出的产品</w:t>
      </w:r>
      <w:r>
        <w:rPr>
          <w:rFonts w:hint="default" w:ascii="Times New Roman" w:hAnsi="Times New Roman" w:cs="Times New Roman"/>
          <w:color w:val="auto"/>
          <w:sz w:val="24"/>
          <w:szCs w:val="24"/>
          <w:highlight w:val="none"/>
        </w:rPr>
        <w:t>粒径</w:t>
      </w:r>
      <w:r>
        <w:rPr>
          <w:rFonts w:hint="default" w:ascii="Times New Roman" w:hAnsi="Times New Roman" w:cs="Times New Roman"/>
          <w:color w:val="auto"/>
          <w:sz w:val="24"/>
          <w:szCs w:val="24"/>
          <w:highlight w:val="none"/>
          <w:lang w:val="en-US" w:eastAsia="zh-CN"/>
        </w:rPr>
        <w:t>包括20-40目，40-70目，</w:t>
      </w:r>
      <w:r>
        <w:rPr>
          <w:rFonts w:hint="default" w:ascii="Times New Roman" w:hAnsi="Times New Roman" w:cs="Times New Roman"/>
          <w:color w:val="auto"/>
          <w:sz w:val="24"/>
          <w:szCs w:val="24"/>
          <w:highlight w:val="none"/>
        </w:rPr>
        <w:t>成品</w:t>
      </w:r>
      <w:r>
        <w:rPr>
          <w:rFonts w:hint="default" w:ascii="Times New Roman" w:hAnsi="Times New Roman" w:cs="Times New Roman"/>
          <w:color w:val="auto"/>
          <w:sz w:val="24"/>
          <w:szCs w:val="24"/>
          <w:highlight w:val="none"/>
          <w:lang w:val="en-US" w:eastAsia="zh-CN"/>
        </w:rPr>
        <w:t>经包装</w:t>
      </w:r>
      <w:r>
        <w:rPr>
          <w:rFonts w:hint="default" w:ascii="Times New Roman" w:hAnsi="Times New Roman" w:cs="Times New Roman"/>
          <w:color w:val="auto"/>
          <w:sz w:val="24"/>
          <w:szCs w:val="24"/>
          <w:highlight w:val="none"/>
        </w:rPr>
        <w:t>外售。</w:t>
      </w:r>
    </w:p>
    <w:p w14:paraId="66EC946F">
      <w:pPr>
        <w:pStyle w:val="4"/>
        <w:bidi w:val="0"/>
        <w:rPr>
          <w:rFonts w:hint="default"/>
        </w:rPr>
      </w:pPr>
      <w:bookmarkStart w:id="148" w:name="3.6.2污染源分析"/>
      <w:bookmarkEnd w:id="148"/>
      <w:r>
        <w:rPr>
          <w:rFonts w:hint="default"/>
        </w:rPr>
        <w:t>污染源分析</w:t>
      </w:r>
    </w:p>
    <w:p w14:paraId="302366D4">
      <w:pPr>
        <w:pStyle w:val="5"/>
        <w:bidi w:val="0"/>
        <w:rPr>
          <w:rFonts w:hint="default"/>
        </w:rPr>
      </w:pPr>
      <w:bookmarkStart w:id="149" w:name="3.6.2.1施工期污染源分析"/>
      <w:bookmarkEnd w:id="149"/>
      <w:r>
        <w:rPr>
          <w:rFonts w:hint="default"/>
        </w:rPr>
        <w:t>施工期污染源分析</w:t>
      </w:r>
    </w:p>
    <w:p w14:paraId="632DAF5A">
      <w:pPr>
        <w:numPr>
          <w:ilvl w:val="0"/>
          <w:numId w:val="22"/>
        </w:numPr>
        <w:spacing w:beforeLines="0" w:afterLines="0"/>
        <w:ind w:firstLine="5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大气污染源分析</w:t>
      </w:r>
    </w:p>
    <w:p w14:paraId="120EBC83">
      <w:pPr>
        <w:numPr>
          <w:ilvl w:val="0"/>
          <w:numId w:val="0"/>
        </w:numPr>
        <w:spacing w:beforeLines="0" w:afterLines="0"/>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施工期废气包括施工扬尘、机械设备尾气。</w:t>
      </w:r>
    </w:p>
    <w:p w14:paraId="44A06860">
      <w:pPr>
        <w:numPr>
          <w:ilvl w:val="0"/>
          <w:numId w:val="0"/>
        </w:numPr>
        <w:spacing w:beforeLines="0" w:afterLines="0"/>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1）施工扬尘</w:t>
      </w:r>
    </w:p>
    <w:p w14:paraId="5DFD34C2">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所在区域气候干燥少雨，土壤含水量较低。施工进行土石方工程时，产生一定量的施工扬尘，其产生量及其对周边环境及人群产生影响程度和范围与施工现场的土质和天气、施工设备机械化程度、施工作业方式、施工管理水平、施工季节、土石方量、路面状况、运输方式等因素密切相关，其排放呈间歇、不定量、无组织排放，其中主要污染因子为颗粒物（TSP）。施工扬尘污染源多为分散排放源，其排放口距离地面高度低，其排放将会在施工区域及周边附近区域形成局部污染，若其未经充分扩散稀释就进入地面呼吸层就会对现场施工人员工作环境和健康产生一定影响。</w:t>
      </w:r>
    </w:p>
    <w:p w14:paraId="403838B9">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2）机械设备尾气</w:t>
      </w:r>
    </w:p>
    <w:p w14:paraId="5D98BC18">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施工期间，使用燃油机械进行作业时，均会排放一定量的CO、NOx以及未完全燃烧的HC等，其特点是排放量小，且属间断性无组织排放，通过自然稀释后场界的贡献值可控制在较低水平。项目施工期工程量不大，施工车辆较少，施工车辆排放废气较少。</w:t>
      </w:r>
    </w:p>
    <w:p w14:paraId="09AD48CA">
      <w:pPr>
        <w:numPr>
          <w:ilvl w:val="0"/>
          <w:numId w:val="22"/>
        </w:numPr>
        <w:spacing w:beforeLines="0" w:afterLines="0"/>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施工废水</w:t>
      </w:r>
    </w:p>
    <w:p w14:paraId="2EB51CF2">
      <w:pPr>
        <w:numPr>
          <w:ilvl w:val="0"/>
          <w:numId w:val="0"/>
        </w:numPr>
        <w:spacing w:beforeLines="0" w:afterLines="0"/>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施工期废水污染源主要来自施工废水及生活污水。</w:t>
      </w:r>
    </w:p>
    <w:p w14:paraId="1E82F826">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施工废水主要来自施工现场、施工设备和车辆冲洗等过程，废水量不大，属于无机废水，主要污染物为悬浮物，除含大量泥砂和少量油污外不含任何其他有毒有害物质，其中主要污染因子为SS、石油类等，沉淀后循环使用，不外排，对周边水环境产生影响较小。</w:t>
      </w:r>
    </w:p>
    <w:p w14:paraId="1643DB8F">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施工人员产生少量生活污水，主要污染物为COD、BOD</w:t>
      </w:r>
      <w:r>
        <w:rPr>
          <w:rFonts w:hint="default" w:ascii="Times New Roman" w:hAnsi="Times New Roman" w:cs="Times New Roman"/>
          <w:color w:val="auto"/>
          <w:sz w:val="24"/>
          <w:szCs w:val="24"/>
          <w:highlight w:val="none"/>
          <w:vertAlign w:val="subscript"/>
        </w:rPr>
        <w:t>5</w:t>
      </w:r>
      <w:r>
        <w:rPr>
          <w:rFonts w:hint="default" w:ascii="Times New Roman" w:hAnsi="Times New Roman" w:cs="Times New Roman"/>
          <w:color w:val="auto"/>
          <w:sz w:val="24"/>
          <w:szCs w:val="24"/>
          <w:highlight w:val="none"/>
        </w:rPr>
        <w:t>、SS等。施工期平均施工人数按</w:t>
      </w:r>
      <w:r>
        <w:rPr>
          <w:rFonts w:hint="default" w:ascii="Times New Roman" w:hAnsi="Times New Roman" w:cs="Times New Roman"/>
          <w:color w:val="auto"/>
          <w:sz w:val="24"/>
          <w:szCs w:val="24"/>
          <w:highlight w:val="none"/>
          <w:lang w:val="en-US" w:eastAsia="zh-CN"/>
        </w:rPr>
        <w:t>25</w:t>
      </w:r>
      <w:r>
        <w:rPr>
          <w:rFonts w:hint="default" w:ascii="Times New Roman" w:hAnsi="Times New Roman" w:cs="Times New Roman"/>
          <w:color w:val="auto"/>
          <w:sz w:val="24"/>
          <w:szCs w:val="24"/>
          <w:highlight w:val="none"/>
        </w:rPr>
        <w:t>人计算，每人每天用水</w:t>
      </w:r>
      <w:r>
        <w:rPr>
          <w:rFonts w:hint="default" w:ascii="Times New Roman" w:hAnsi="Times New Roman" w:cs="Times New Roman"/>
          <w:color w:val="auto"/>
          <w:sz w:val="24"/>
          <w:szCs w:val="24"/>
          <w:highlight w:val="none"/>
          <w:lang w:val="en-US" w:eastAsia="zh-CN"/>
        </w:rPr>
        <w:t>50</w:t>
      </w:r>
      <w:r>
        <w:rPr>
          <w:rFonts w:hint="default" w:ascii="Times New Roman" w:hAnsi="Times New Roman" w:cs="Times New Roman"/>
          <w:color w:val="auto"/>
          <w:sz w:val="24"/>
          <w:szCs w:val="24"/>
          <w:highlight w:val="none"/>
        </w:rPr>
        <w:t>L，废水排放量按用水量的80%计算，则施工期日排放生活废水约</w:t>
      </w:r>
      <w:r>
        <w:rPr>
          <w:rFonts w:hint="default"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lang w:eastAsia="zh-CN"/>
        </w:rPr>
        <w:t>，</w:t>
      </w:r>
      <w:r>
        <w:rPr>
          <w:rFonts w:hint="eastAsia" w:cs="Times New Roman"/>
          <w:color w:val="auto"/>
          <w:sz w:val="24"/>
          <w:szCs w:val="24"/>
          <w:highlight w:val="none"/>
          <w:lang w:val="en-US" w:eastAsia="zh-CN"/>
        </w:rPr>
        <w:t>9</w:t>
      </w:r>
      <w:r>
        <w:rPr>
          <w:rFonts w:hint="default" w:ascii="Times New Roman" w:hAnsi="Times New Roman" w:cs="Times New Roman"/>
          <w:color w:val="auto"/>
          <w:sz w:val="24"/>
          <w:szCs w:val="24"/>
          <w:highlight w:val="none"/>
          <w:lang w:val="en-US" w:eastAsia="zh-CN"/>
        </w:rPr>
        <w:t>0m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/施工期</w:t>
      </w:r>
      <w:r>
        <w:rPr>
          <w:rFonts w:hint="default" w:ascii="Times New Roman" w:hAnsi="Times New Roman" w:cs="Times New Roman"/>
          <w:color w:val="auto"/>
          <w:sz w:val="24"/>
          <w:szCs w:val="24"/>
          <w:highlight w:val="none"/>
        </w:rPr>
        <w:t>。本次环评要求，矿区应先</w:t>
      </w:r>
      <w:r>
        <w:rPr>
          <w:rFonts w:hint="default" w:ascii="Times New Roman" w:hAnsi="Times New Roman" w:cs="Times New Roman"/>
          <w:color w:val="auto"/>
          <w:sz w:val="24"/>
          <w:szCs w:val="24"/>
          <w:highlight w:val="none"/>
          <w:lang w:val="en-US" w:eastAsia="zh-CN"/>
        </w:rPr>
        <w:t>优先配</w:t>
      </w:r>
      <w:r>
        <w:rPr>
          <w:rFonts w:hint="default" w:ascii="Times New Roman" w:hAnsi="Times New Roman" w:cs="Times New Roman"/>
          <w:color w:val="auto"/>
          <w:sz w:val="24"/>
          <w:szCs w:val="24"/>
          <w:highlight w:val="none"/>
        </w:rPr>
        <w:t>套建设</w:t>
      </w:r>
      <w:r>
        <w:rPr>
          <w:rFonts w:hint="default" w:ascii="Times New Roman" w:hAnsi="Times New Roman" w:cs="Times New Roman"/>
          <w:color w:val="auto"/>
          <w:sz w:val="24"/>
          <w:szCs w:val="24"/>
          <w:highlight w:val="none"/>
          <w:lang w:val="en-US" w:eastAsia="zh-CN"/>
        </w:rPr>
        <w:t>地埋式一体化</w:t>
      </w:r>
      <w:r>
        <w:rPr>
          <w:rFonts w:hint="default" w:ascii="Times New Roman" w:hAnsi="Times New Roman" w:cs="Times New Roman"/>
          <w:color w:val="auto"/>
          <w:sz w:val="24"/>
          <w:szCs w:val="24"/>
          <w:highlight w:val="none"/>
        </w:rPr>
        <w:t>污水处理</w:t>
      </w:r>
      <w:r>
        <w:rPr>
          <w:rFonts w:hint="default" w:ascii="Times New Roman" w:hAnsi="Times New Roman" w:cs="Times New Roman"/>
          <w:color w:val="auto"/>
          <w:sz w:val="24"/>
          <w:szCs w:val="24"/>
          <w:highlight w:val="none"/>
          <w:lang w:val="en-US" w:eastAsia="zh-CN"/>
        </w:rPr>
        <w:t>装置</w:t>
      </w:r>
      <w:r>
        <w:rPr>
          <w:rFonts w:hint="default" w:ascii="Times New Roman" w:hAnsi="Times New Roman" w:cs="Times New Roman"/>
          <w:color w:val="auto"/>
          <w:sz w:val="24"/>
          <w:szCs w:val="24"/>
          <w:highlight w:val="none"/>
        </w:rPr>
        <w:t>，施工人员生活污水可直接排入矿区一体化污水处理设施处理，施工期生活污水经处理后，用于矿区洒水降尘。</w:t>
      </w:r>
    </w:p>
    <w:p w14:paraId="43E8FC0E">
      <w:pPr>
        <w:numPr>
          <w:ilvl w:val="0"/>
          <w:numId w:val="22"/>
        </w:numPr>
        <w:spacing w:beforeLines="0" w:afterLines="0"/>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施工噪声</w:t>
      </w:r>
    </w:p>
    <w:p w14:paraId="1C1736FC">
      <w:pPr>
        <w:numPr>
          <w:ilvl w:val="0"/>
          <w:numId w:val="0"/>
        </w:numPr>
        <w:spacing w:beforeLines="0" w:afterLines="0"/>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本项目施工期间噪声源主要为各种施工设备和车辆，其产生的噪声排放具有间歇、阵发、流动等特性。据调查，本项目施工期间主要噪声源产生的噪声强度见表3.</w:t>
      </w:r>
      <w:r>
        <w:rPr>
          <w:rFonts w:hint="eastAsia" w:cs="Times New Roman"/>
          <w:color w:val="auto"/>
          <w:sz w:val="24"/>
          <w:szCs w:val="24"/>
          <w:highlight w:val="none"/>
          <w:lang w:val="en-US" w:eastAsia="zh-CN"/>
        </w:rPr>
        <w:t>8</w:t>
      </w:r>
      <w:r>
        <w:rPr>
          <w:rFonts w:hint="default" w:ascii="Times New Roman" w:hAnsi="Times New Roman" w:cs="Times New Roman"/>
          <w:color w:val="auto"/>
          <w:sz w:val="24"/>
          <w:szCs w:val="24"/>
          <w:highlight w:val="none"/>
        </w:rPr>
        <w:t>-1。</w:t>
      </w:r>
    </w:p>
    <w:p w14:paraId="4E1ACAFC">
      <w:pPr>
        <w:spacing w:beforeLines="0" w:afterLines="0" w:line="240" w:lineRule="auto"/>
        <w:ind w:firstLine="0" w:firstLineChars="0"/>
        <w:jc w:val="center"/>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表3.</w:t>
      </w:r>
      <w:r>
        <w:rPr>
          <w:rFonts w:hint="eastAsia" w:cs="Times New Roman"/>
          <w:b/>
          <w:color w:val="auto"/>
          <w:sz w:val="24"/>
          <w:szCs w:val="24"/>
          <w:highlight w:val="none"/>
          <w:lang w:val="en-US" w:eastAsia="zh-CN"/>
        </w:rPr>
        <w:t>8</w:t>
      </w:r>
      <w:r>
        <w:rPr>
          <w:rFonts w:hint="default" w:ascii="Times New Roman" w:hAnsi="Times New Roman" w:cs="Times New Roman"/>
          <w:b/>
          <w:color w:val="auto"/>
          <w:sz w:val="24"/>
          <w:szCs w:val="24"/>
          <w:highlight w:val="none"/>
        </w:rPr>
        <w:t>-1</w:t>
      </w:r>
      <w:r>
        <w:rPr>
          <w:rFonts w:hint="default" w:ascii="Times New Roman" w:hAnsi="Times New Roman" w:cs="Times New Roman"/>
          <w:b/>
          <w:color w:val="auto"/>
          <w:sz w:val="24"/>
          <w:szCs w:val="24"/>
          <w:highlight w:val="none"/>
        </w:rPr>
        <w:tab/>
      </w:r>
      <w:r>
        <w:rPr>
          <w:rFonts w:hint="default" w:ascii="Times New Roman" w:hAnsi="Times New Roman" w:cs="Times New Roman"/>
          <w:b/>
          <w:color w:val="auto"/>
          <w:sz w:val="24"/>
          <w:szCs w:val="24"/>
          <w:highlight w:val="none"/>
          <w:lang w:val="en-US" w:eastAsia="zh-CN"/>
        </w:rPr>
        <w:t xml:space="preserve">   </w:t>
      </w:r>
      <w:r>
        <w:rPr>
          <w:rFonts w:hint="default" w:ascii="Times New Roman" w:hAnsi="Times New Roman" w:cs="Times New Roman"/>
          <w:b/>
          <w:color w:val="auto"/>
          <w:sz w:val="24"/>
          <w:szCs w:val="24"/>
          <w:highlight w:val="none"/>
        </w:rPr>
        <w:t>施工期主要噪声源产生的噪声强度一览表</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6"/>
        <w:gridCol w:w="1489"/>
        <w:gridCol w:w="2317"/>
        <w:gridCol w:w="2308"/>
        <w:gridCol w:w="2016"/>
      </w:tblGrid>
      <w:tr w14:paraId="5295F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164" w:type="dxa"/>
            <w:tcBorders>
              <w:top w:val="single" w:color="auto" w:sz="4" w:space="0"/>
              <w:left w:val="single" w:color="auto" w:sz="4" w:space="0"/>
              <w:bottom w:val="single" w:color="auto" w:sz="4" w:space="0"/>
              <w:right w:val="single" w:color="auto" w:sz="4" w:space="0"/>
              <w:tl2br w:val="nil"/>
              <w:tr2bl w:val="nil"/>
            </w:tcBorders>
            <w:noWrap w:val="0"/>
            <w:vAlign w:val="top"/>
          </w:tcPr>
          <w:p w14:paraId="4F42AAA8">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序号</w:t>
            </w:r>
          </w:p>
        </w:tc>
        <w:tc>
          <w:tcPr>
            <w:tcW w:w="1502" w:type="dxa"/>
            <w:tcBorders>
              <w:top w:val="single" w:color="auto" w:sz="4" w:space="0"/>
              <w:left w:val="single" w:color="auto" w:sz="4" w:space="0"/>
              <w:bottom w:val="single" w:color="auto" w:sz="4" w:space="0"/>
              <w:right w:val="single" w:color="auto" w:sz="4" w:space="0"/>
              <w:tl2br w:val="nil"/>
              <w:tr2bl w:val="nil"/>
            </w:tcBorders>
            <w:noWrap w:val="0"/>
            <w:vAlign w:val="top"/>
          </w:tcPr>
          <w:p w14:paraId="463FB24B">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噪声源</w:t>
            </w:r>
          </w:p>
        </w:tc>
        <w:tc>
          <w:tcPr>
            <w:tcW w:w="2335" w:type="dxa"/>
            <w:tcBorders>
              <w:top w:val="single" w:color="auto" w:sz="4" w:space="0"/>
              <w:left w:val="single" w:color="auto" w:sz="4" w:space="0"/>
              <w:bottom w:val="single" w:color="auto" w:sz="4" w:space="0"/>
              <w:right w:val="single" w:color="auto" w:sz="4" w:space="0"/>
              <w:tl2br w:val="nil"/>
              <w:tr2bl w:val="nil"/>
            </w:tcBorders>
            <w:noWrap w:val="0"/>
            <w:vAlign w:val="top"/>
          </w:tcPr>
          <w:p w14:paraId="63B8704E">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噪声强度dB（A）</w:t>
            </w:r>
          </w:p>
        </w:tc>
        <w:tc>
          <w:tcPr>
            <w:tcW w:w="2330" w:type="dxa"/>
            <w:tcBorders>
              <w:top w:val="single" w:color="auto" w:sz="4" w:space="0"/>
              <w:left w:val="single" w:color="auto" w:sz="4" w:space="0"/>
              <w:bottom w:val="single" w:color="auto" w:sz="4" w:space="0"/>
              <w:right w:val="single" w:color="auto" w:sz="4" w:space="0"/>
              <w:tl2br w:val="nil"/>
              <w:tr2bl w:val="nil"/>
            </w:tcBorders>
            <w:noWrap w:val="0"/>
            <w:vAlign w:val="top"/>
          </w:tcPr>
          <w:p w14:paraId="217D993A">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声源特点</w:t>
            </w:r>
          </w:p>
        </w:tc>
        <w:tc>
          <w:tcPr>
            <w:tcW w:w="2035" w:type="dxa"/>
            <w:tcBorders>
              <w:top w:val="single" w:color="auto" w:sz="4" w:space="0"/>
              <w:left w:val="single" w:color="auto" w:sz="4" w:space="0"/>
              <w:bottom w:val="single" w:color="auto" w:sz="4" w:space="0"/>
              <w:right w:val="single" w:color="auto" w:sz="4" w:space="0"/>
              <w:tl2br w:val="nil"/>
              <w:tr2bl w:val="nil"/>
            </w:tcBorders>
            <w:noWrap w:val="0"/>
            <w:vAlign w:val="top"/>
          </w:tcPr>
          <w:p w14:paraId="7454D186">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发声方式</w:t>
            </w:r>
          </w:p>
        </w:tc>
      </w:tr>
      <w:tr w14:paraId="27251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tcBorders>
              <w:top w:val="single" w:color="auto" w:sz="4" w:space="0"/>
              <w:left w:val="single" w:color="auto" w:sz="4" w:space="0"/>
              <w:bottom w:val="single" w:color="auto" w:sz="4" w:space="0"/>
              <w:right w:val="single" w:color="auto" w:sz="4" w:space="0"/>
              <w:tl2br w:val="nil"/>
              <w:tr2bl w:val="nil"/>
            </w:tcBorders>
            <w:noWrap w:val="0"/>
            <w:vAlign w:val="top"/>
          </w:tcPr>
          <w:p w14:paraId="04B6C286">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w:t>
            </w:r>
          </w:p>
        </w:tc>
        <w:tc>
          <w:tcPr>
            <w:tcW w:w="1502" w:type="dxa"/>
            <w:tcBorders>
              <w:top w:val="single" w:color="auto" w:sz="4" w:space="0"/>
              <w:left w:val="single" w:color="auto" w:sz="4" w:space="0"/>
              <w:bottom w:val="single" w:color="auto" w:sz="4" w:space="0"/>
              <w:right w:val="single" w:color="auto" w:sz="4" w:space="0"/>
              <w:tl2br w:val="nil"/>
              <w:tr2bl w:val="nil"/>
            </w:tcBorders>
            <w:noWrap w:val="0"/>
            <w:vAlign w:val="top"/>
          </w:tcPr>
          <w:p w14:paraId="54FB9D2E">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挖掘机</w:t>
            </w:r>
          </w:p>
        </w:tc>
        <w:tc>
          <w:tcPr>
            <w:tcW w:w="2335" w:type="dxa"/>
            <w:tcBorders>
              <w:top w:val="single" w:color="auto" w:sz="4" w:space="0"/>
              <w:left w:val="single" w:color="auto" w:sz="4" w:space="0"/>
              <w:bottom w:val="single" w:color="auto" w:sz="4" w:space="0"/>
              <w:right w:val="single" w:color="auto" w:sz="4" w:space="0"/>
              <w:tl2br w:val="nil"/>
              <w:tr2bl w:val="nil"/>
            </w:tcBorders>
            <w:noWrap w:val="0"/>
            <w:vAlign w:val="top"/>
          </w:tcPr>
          <w:p w14:paraId="7FCBBC45">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90～100</w:t>
            </w:r>
          </w:p>
        </w:tc>
        <w:tc>
          <w:tcPr>
            <w:tcW w:w="2330" w:type="dxa"/>
            <w:tcBorders>
              <w:top w:val="single" w:color="auto" w:sz="4" w:space="0"/>
              <w:left w:val="single" w:color="auto" w:sz="4" w:space="0"/>
              <w:bottom w:val="single" w:color="auto" w:sz="4" w:space="0"/>
              <w:right w:val="single" w:color="auto" w:sz="4" w:space="0"/>
              <w:tl2br w:val="nil"/>
              <w:tr2bl w:val="nil"/>
            </w:tcBorders>
            <w:noWrap w:val="0"/>
            <w:vAlign w:val="top"/>
          </w:tcPr>
          <w:p w14:paraId="31426C7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流动不稳态源</w:t>
            </w:r>
          </w:p>
        </w:tc>
        <w:tc>
          <w:tcPr>
            <w:tcW w:w="2035" w:type="dxa"/>
            <w:tcBorders>
              <w:top w:val="single" w:color="auto" w:sz="4" w:space="0"/>
              <w:left w:val="single" w:color="auto" w:sz="4" w:space="0"/>
              <w:bottom w:val="single" w:color="auto" w:sz="4" w:space="0"/>
              <w:right w:val="single" w:color="auto" w:sz="4" w:space="0"/>
              <w:tl2br w:val="nil"/>
              <w:tr2bl w:val="nil"/>
            </w:tcBorders>
            <w:noWrap w:val="0"/>
            <w:vAlign w:val="top"/>
          </w:tcPr>
          <w:p w14:paraId="3C8CF155">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间歇</w:t>
            </w:r>
          </w:p>
        </w:tc>
      </w:tr>
      <w:tr w14:paraId="005FF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tcBorders>
              <w:top w:val="single" w:color="auto" w:sz="4" w:space="0"/>
              <w:left w:val="single" w:color="auto" w:sz="4" w:space="0"/>
              <w:bottom w:val="single" w:color="auto" w:sz="4" w:space="0"/>
              <w:right w:val="single" w:color="auto" w:sz="4" w:space="0"/>
              <w:tl2br w:val="nil"/>
              <w:tr2bl w:val="nil"/>
            </w:tcBorders>
            <w:noWrap w:val="0"/>
            <w:vAlign w:val="top"/>
          </w:tcPr>
          <w:p w14:paraId="15539AE7">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w:t>
            </w:r>
          </w:p>
        </w:tc>
        <w:tc>
          <w:tcPr>
            <w:tcW w:w="1502" w:type="dxa"/>
            <w:tcBorders>
              <w:top w:val="single" w:color="auto" w:sz="4" w:space="0"/>
              <w:left w:val="single" w:color="auto" w:sz="4" w:space="0"/>
              <w:bottom w:val="single" w:color="auto" w:sz="4" w:space="0"/>
              <w:right w:val="single" w:color="auto" w:sz="4" w:space="0"/>
              <w:tl2br w:val="nil"/>
              <w:tr2bl w:val="nil"/>
            </w:tcBorders>
            <w:noWrap w:val="0"/>
            <w:vAlign w:val="top"/>
          </w:tcPr>
          <w:p w14:paraId="124B71ED">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推土机</w:t>
            </w:r>
          </w:p>
        </w:tc>
        <w:tc>
          <w:tcPr>
            <w:tcW w:w="2335" w:type="dxa"/>
            <w:tcBorders>
              <w:top w:val="single" w:color="auto" w:sz="4" w:space="0"/>
              <w:left w:val="single" w:color="auto" w:sz="4" w:space="0"/>
              <w:bottom w:val="single" w:color="auto" w:sz="4" w:space="0"/>
              <w:right w:val="single" w:color="auto" w:sz="4" w:space="0"/>
              <w:tl2br w:val="nil"/>
              <w:tr2bl w:val="nil"/>
            </w:tcBorders>
            <w:noWrap w:val="0"/>
            <w:vAlign w:val="top"/>
          </w:tcPr>
          <w:p w14:paraId="691A3625">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90～100</w:t>
            </w:r>
          </w:p>
        </w:tc>
        <w:tc>
          <w:tcPr>
            <w:tcW w:w="2330" w:type="dxa"/>
            <w:tcBorders>
              <w:top w:val="single" w:color="auto" w:sz="4" w:space="0"/>
              <w:left w:val="single" w:color="auto" w:sz="4" w:space="0"/>
              <w:bottom w:val="single" w:color="auto" w:sz="4" w:space="0"/>
              <w:right w:val="single" w:color="auto" w:sz="4" w:space="0"/>
              <w:tl2br w:val="nil"/>
              <w:tr2bl w:val="nil"/>
            </w:tcBorders>
            <w:noWrap w:val="0"/>
            <w:vAlign w:val="top"/>
          </w:tcPr>
          <w:p w14:paraId="2010708C">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流动不稳态源</w:t>
            </w:r>
          </w:p>
        </w:tc>
        <w:tc>
          <w:tcPr>
            <w:tcW w:w="2035" w:type="dxa"/>
            <w:tcBorders>
              <w:top w:val="single" w:color="auto" w:sz="4" w:space="0"/>
              <w:left w:val="single" w:color="auto" w:sz="4" w:space="0"/>
              <w:bottom w:val="single" w:color="auto" w:sz="4" w:space="0"/>
              <w:right w:val="single" w:color="auto" w:sz="4" w:space="0"/>
              <w:tl2br w:val="nil"/>
              <w:tr2bl w:val="nil"/>
            </w:tcBorders>
            <w:noWrap w:val="0"/>
            <w:vAlign w:val="top"/>
          </w:tcPr>
          <w:p w14:paraId="4BBA3C9B">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间歇</w:t>
            </w:r>
          </w:p>
        </w:tc>
      </w:tr>
      <w:tr w14:paraId="1E262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tcBorders>
              <w:top w:val="single" w:color="auto" w:sz="4" w:space="0"/>
              <w:left w:val="single" w:color="auto" w:sz="4" w:space="0"/>
              <w:bottom w:val="single" w:color="auto" w:sz="4" w:space="0"/>
              <w:right w:val="single" w:color="auto" w:sz="4" w:space="0"/>
              <w:tl2br w:val="nil"/>
              <w:tr2bl w:val="nil"/>
            </w:tcBorders>
            <w:noWrap w:val="0"/>
            <w:vAlign w:val="top"/>
          </w:tcPr>
          <w:p w14:paraId="6015E0E4">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w:t>
            </w:r>
          </w:p>
        </w:tc>
        <w:tc>
          <w:tcPr>
            <w:tcW w:w="1502" w:type="dxa"/>
            <w:tcBorders>
              <w:top w:val="single" w:color="auto" w:sz="4" w:space="0"/>
              <w:left w:val="single" w:color="auto" w:sz="4" w:space="0"/>
              <w:bottom w:val="single" w:color="auto" w:sz="4" w:space="0"/>
              <w:right w:val="single" w:color="auto" w:sz="4" w:space="0"/>
              <w:tl2br w:val="nil"/>
              <w:tr2bl w:val="nil"/>
            </w:tcBorders>
            <w:noWrap w:val="0"/>
            <w:vAlign w:val="top"/>
          </w:tcPr>
          <w:p w14:paraId="54F4AD9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压路机</w:t>
            </w:r>
          </w:p>
        </w:tc>
        <w:tc>
          <w:tcPr>
            <w:tcW w:w="2335" w:type="dxa"/>
            <w:tcBorders>
              <w:top w:val="single" w:color="auto" w:sz="4" w:space="0"/>
              <w:left w:val="single" w:color="auto" w:sz="4" w:space="0"/>
              <w:bottom w:val="single" w:color="auto" w:sz="4" w:space="0"/>
              <w:right w:val="single" w:color="auto" w:sz="4" w:space="0"/>
              <w:tl2br w:val="nil"/>
              <w:tr2bl w:val="nil"/>
            </w:tcBorders>
            <w:noWrap w:val="0"/>
            <w:vAlign w:val="top"/>
          </w:tcPr>
          <w:p w14:paraId="735EBCEE">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90～100</w:t>
            </w:r>
          </w:p>
        </w:tc>
        <w:tc>
          <w:tcPr>
            <w:tcW w:w="2330" w:type="dxa"/>
            <w:tcBorders>
              <w:top w:val="single" w:color="auto" w:sz="4" w:space="0"/>
              <w:left w:val="single" w:color="auto" w:sz="4" w:space="0"/>
              <w:bottom w:val="single" w:color="auto" w:sz="4" w:space="0"/>
              <w:right w:val="single" w:color="auto" w:sz="4" w:space="0"/>
              <w:tl2br w:val="nil"/>
              <w:tr2bl w:val="nil"/>
            </w:tcBorders>
            <w:noWrap w:val="0"/>
            <w:vAlign w:val="top"/>
          </w:tcPr>
          <w:p w14:paraId="3223D206">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流动不稳态源</w:t>
            </w:r>
          </w:p>
        </w:tc>
        <w:tc>
          <w:tcPr>
            <w:tcW w:w="2035" w:type="dxa"/>
            <w:tcBorders>
              <w:top w:val="single" w:color="auto" w:sz="4" w:space="0"/>
              <w:left w:val="single" w:color="auto" w:sz="4" w:space="0"/>
              <w:bottom w:val="single" w:color="auto" w:sz="4" w:space="0"/>
              <w:right w:val="single" w:color="auto" w:sz="4" w:space="0"/>
              <w:tl2br w:val="nil"/>
              <w:tr2bl w:val="nil"/>
            </w:tcBorders>
            <w:noWrap w:val="0"/>
            <w:vAlign w:val="top"/>
          </w:tcPr>
          <w:p w14:paraId="2AB1085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间歇</w:t>
            </w:r>
          </w:p>
        </w:tc>
      </w:tr>
      <w:tr w14:paraId="56B40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tcBorders>
              <w:top w:val="single" w:color="auto" w:sz="4" w:space="0"/>
              <w:left w:val="single" w:color="auto" w:sz="4" w:space="0"/>
              <w:bottom w:val="single" w:color="auto" w:sz="4" w:space="0"/>
              <w:right w:val="single" w:color="auto" w:sz="4" w:space="0"/>
              <w:tl2br w:val="nil"/>
              <w:tr2bl w:val="nil"/>
            </w:tcBorders>
            <w:noWrap w:val="0"/>
            <w:vAlign w:val="top"/>
          </w:tcPr>
          <w:p w14:paraId="54B412F1">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w:t>
            </w:r>
          </w:p>
        </w:tc>
        <w:tc>
          <w:tcPr>
            <w:tcW w:w="1502" w:type="dxa"/>
            <w:tcBorders>
              <w:top w:val="single" w:color="auto" w:sz="4" w:space="0"/>
              <w:left w:val="single" w:color="auto" w:sz="4" w:space="0"/>
              <w:bottom w:val="single" w:color="auto" w:sz="4" w:space="0"/>
              <w:right w:val="single" w:color="auto" w:sz="4" w:space="0"/>
              <w:tl2br w:val="nil"/>
              <w:tr2bl w:val="nil"/>
            </w:tcBorders>
            <w:noWrap w:val="0"/>
            <w:vAlign w:val="top"/>
          </w:tcPr>
          <w:p w14:paraId="2BFC7D2B">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翻斗车</w:t>
            </w:r>
          </w:p>
        </w:tc>
        <w:tc>
          <w:tcPr>
            <w:tcW w:w="2335" w:type="dxa"/>
            <w:tcBorders>
              <w:top w:val="single" w:color="auto" w:sz="4" w:space="0"/>
              <w:left w:val="single" w:color="auto" w:sz="4" w:space="0"/>
              <w:bottom w:val="single" w:color="auto" w:sz="4" w:space="0"/>
              <w:right w:val="single" w:color="auto" w:sz="4" w:space="0"/>
              <w:tl2br w:val="nil"/>
              <w:tr2bl w:val="nil"/>
            </w:tcBorders>
            <w:noWrap w:val="0"/>
            <w:vAlign w:val="top"/>
          </w:tcPr>
          <w:p w14:paraId="5AD7CC26">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90～100</w:t>
            </w:r>
          </w:p>
        </w:tc>
        <w:tc>
          <w:tcPr>
            <w:tcW w:w="2330" w:type="dxa"/>
            <w:tcBorders>
              <w:top w:val="single" w:color="auto" w:sz="4" w:space="0"/>
              <w:left w:val="single" w:color="auto" w:sz="4" w:space="0"/>
              <w:bottom w:val="single" w:color="auto" w:sz="4" w:space="0"/>
              <w:right w:val="single" w:color="auto" w:sz="4" w:space="0"/>
              <w:tl2br w:val="nil"/>
              <w:tr2bl w:val="nil"/>
            </w:tcBorders>
            <w:noWrap w:val="0"/>
            <w:vAlign w:val="top"/>
          </w:tcPr>
          <w:p w14:paraId="6BDCE95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流动不稳态源</w:t>
            </w:r>
          </w:p>
        </w:tc>
        <w:tc>
          <w:tcPr>
            <w:tcW w:w="2035" w:type="dxa"/>
            <w:tcBorders>
              <w:top w:val="single" w:color="auto" w:sz="4" w:space="0"/>
              <w:left w:val="single" w:color="auto" w:sz="4" w:space="0"/>
              <w:bottom w:val="single" w:color="auto" w:sz="4" w:space="0"/>
              <w:right w:val="single" w:color="auto" w:sz="4" w:space="0"/>
              <w:tl2br w:val="nil"/>
              <w:tr2bl w:val="nil"/>
            </w:tcBorders>
            <w:noWrap w:val="0"/>
            <w:vAlign w:val="top"/>
          </w:tcPr>
          <w:p w14:paraId="0C20907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间歇</w:t>
            </w:r>
          </w:p>
        </w:tc>
      </w:tr>
      <w:tr w14:paraId="47702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tcBorders>
              <w:top w:val="single" w:color="auto" w:sz="4" w:space="0"/>
              <w:left w:val="single" w:color="auto" w:sz="4" w:space="0"/>
              <w:bottom w:val="single" w:color="auto" w:sz="4" w:space="0"/>
              <w:right w:val="single" w:color="auto" w:sz="4" w:space="0"/>
              <w:tl2br w:val="nil"/>
              <w:tr2bl w:val="nil"/>
            </w:tcBorders>
            <w:noWrap w:val="0"/>
            <w:vAlign w:val="top"/>
          </w:tcPr>
          <w:p w14:paraId="7EDD8DF8">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5</w:t>
            </w:r>
          </w:p>
        </w:tc>
        <w:tc>
          <w:tcPr>
            <w:tcW w:w="1502"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top"/>
          </w:tcPr>
          <w:p w14:paraId="0CAA4985">
            <w:pPr>
              <w:pStyle w:val="48"/>
              <w:spacing w:beforeLines="0" w:afterLines="0"/>
              <w:ind w:left="0" w:leftChars="0" w:firstLine="0" w:firstLineChars="0"/>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szCs w:val="24"/>
                <w:highlight w:val="none"/>
              </w:rPr>
              <w:t>装载机</w:t>
            </w:r>
          </w:p>
        </w:tc>
        <w:tc>
          <w:tcPr>
            <w:tcW w:w="2335"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top"/>
          </w:tcPr>
          <w:p w14:paraId="5EDD7933">
            <w:pPr>
              <w:pStyle w:val="48"/>
              <w:spacing w:beforeLines="0" w:afterLines="0"/>
              <w:ind w:left="0" w:leftChars="0" w:firstLine="0" w:firstLineChars="0"/>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szCs w:val="24"/>
                <w:highlight w:val="none"/>
              </w:rPr>
              <w:t>90～100</w:t>
            </w:r>
          </w:p>
        </w:tc>
        <w:tc>
          <w:tcPr>
            <w:tcW w:w="2330"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top"/>
          </w:tcPr>
          <w:p w14:paraId="435F17FB">
            <w:pPr>
              <w:pStyle w:val="48"/>
              <w:spacing w:beforeLines="0" w:afterLines="0"/>
              <w:ind w:left="0" w:leftChars="0" w:firstLine="0" w:firstLineChars="0"/>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szCs w:val="24"/>
                <w:highlight w:val="none"/>
              </w:rPr>
              <w:t>流动不稳态源</w:t>
            </w:r>
          </w:p>
        </w:tc>
        <w:tc>
          <w:tcPr>
            <w:tcW w:w="2035"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top"/>
          </w:tcPr>
          <w:p w14:paraId="7AC58C12">
            <w:pPr>
              <w:pStyle w:val="48"/>
              <w:spacing w:beforeLines="0" w:afterLines="0"/>
              <w:ind w:left="0" w:leftChars="0" w:firstLine="0" w:firstLineChars="0"/>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szCs w:val="24"/>
                <w:highlight w:val="none"/>
              </w:rPr>
              <w:t>间歇</w:t>
            </w:r>
          </w:p>
        </w:tc>
      </w:tr>
    </w:tbl>
    <w:p w14:paraId="3C3D6248">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由表3.</w:t>
      </w:r>
      <w:r>
        <w:rPr>
          <w:rFonts w:hint="eastAsia" w:cs="Times New Roman"/>
          <w:color w:val="auto"/>
          <w:sz w:val="24"/>
          <w:szCs w:val="24"/>
          <w:highlight w:val="none"/>
          <w:lang w:val="en-US" w:eastAsia="zh-CN"/>
        </w:rPr>
        <w:t>8</w:t>
      </w:r>
      <w:r>
        <w:rPr>
          <w:rFonts w:hint="default" w:ascii="Times New Roman" w:hAnsi="Times New Roman" w:cs="Times New Roman"/>
          <w:color w:val="auto"/>
          <w:sz w:val="24"/>
          <w:szCs w:val="24"/>
          <w:highlight w:val="none"/>
        </w:rPr>
        <w:t>-1可见，施工期间各种施工设备和车辆产生噪声强度高，实际施工过程往往是多种施工设备及车辆同时运行，各种噪声源产生噪声相互叠加后噪声强度更高，辐射影响程度范围更大，对施工现场及周边附近区域内声环境产生一定程度的影响。</w:t>
      </w:r>
    </w:p>
    <w:p w14:paraId="23BF5246">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（4）固体废物</w:t>
      </w:r>
    </w:p>
    <w:p w14:paraId="6F699B02">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1）施工垃圾</w:t>
      </w:r>
    </w:p>
    <w:p w14:paraId="77915352">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施工垃圾主要是施工过程产生的废弃土石方、剩余的建筑垃圾等，其中：挖掘的土石方，用于施工临时道路的修建和施工期结束后的场地平整；剩余建筑垃圾尽可能综合利用，不能利用的建筑垃圾拉运至</w:t>
      </w:r>
      <w:r>
        <w:rPr>
          <w:rFonts w:hint="default" w:ascii="Times New Roman" w:hAnsi="Times New Roman" w:cs="Times New Roman"/>
          <w:color w:val="auto"/>
          <w:sz w:val="24"/>
          <w:szCs w:val="24"/>
          <w:highlight w:val="none"/>
          <w:lang w:val="en-US" w:eastAsia="zh-CN"/>
        </w:rPr>
        <w:t>当地</w:t>
      </w:r>
      <w:r>
        <w:rPr>
          <w:rFonts w:hint="default" w:ascii="Times New Roman" w:hAnsi="Times New Roman" w:cs="Times New Roman"/>
          <w:color w:val="auto"/>
          <w:sz w:val="24"/>
          <w:szCs w:val="24"/>
          <w:highlight w:val="none"/>
        </w:rPr>
        <w:t>建筑垃圾填埋场处置，对周边环境卫生和景观及人群产生影响较小。</w:t>
      </w:r>
    </w:p>
    <w:p w14:paraId="0D55CBB3">
      <w:pPr>
        <w:numPr>
          <w:ilvl w:val="0"/>
          <w:numId w:val="23"/>
        </w:numPr>
        <w:spacing w:beforeLines="0" w:afterLines="0"/>
        <w:ind w:firstLine="5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生活垃圾</w:t>
      </w:r>
    </w:p>
    <w:p w14:paraId="1DAB6907">
      <w:pPr>
        <w:numPr>
          <w:ilvl w:val="0"/>
          <w:numId w:val="0"/>
        </w:numPr>
        <w:spacing w:beforeLines="0" w:afterLines="0"/>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本项目生活垃圾主要由施工人员日常生活过程产生，生活垃圾产生系数为0.5kg/人•d，施工人员按</w:t>
      </w:r>
      <w:r>
        <w:rPr>
          <w:rFonts w:hint="default" w:ascii="Times New Roman" w:hAnsi="Times New Roman" w:cs="Times New Roman"/>
          <w:color w:val="auto"/>
          <w:sz w:val="24"/>
          <w:szCs w:val="24"/>
          <w:highlight w:val="none"/>
          <w:lang w:val="en-US" w:eastAsia="zh-CN"/>
        </w:rPr>
        <w:t>25</w:t>
      </w:r>
      <w:r>
        <w:rPr>
          <w:rFonts w:hint="default" w:ascii="Times New Roman" w:hAnsi="Times New Roman" w:cs="Times New Roman"/>
          <w:color w:val="auto"/>
          <w:sz w:val="24"/>
          <w:szCs w:val="24"/>
          <w:highlight w:val="none"/>
        </w:rPr>
        <w:t>人计，生活垃圾产生量为</w:t>
      </w:r>
      <w:r>
        <w:rPr>
          <w:rFonts w:hint="default" w:ascii="Times New Roman" w:hAnsi="Times New Roman" w:cs="Times New Roman"/>
          <w:color w:val="auto"/>
          <w:sz w:val="24"/>
          <w:szCs w:val="24"/>
          <w:highlight w:val="none"/>
          <w:lang w:val="en-US" w:eastAsia="zh-CN"/>
        </w:rPr>
        <w:t>12.5</w:t>
      </w:r>
      <w:r>
        <w:rPr>
          <w:rFonts w:hint="default" w:ascii="Times New Roman" w:hAnsi="Times New Roman" w:cs="Times New Roman"/>
          <w:color w:val="auto"/>
          <w:sz w:val="24"/>
          <w:szCs w:val="24"/>
          <w:highlight w:val="none"/>
        </w:rPr>
        <w:t>kg/d，在矿区内设置垃圾桶，定期拉运至阜康市生活垃圾填埋场处置。</w:t>
      </w:r>
    </w:p>
    <w:p w14:paraId="04C248B2">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（5）生态影响</w:t>
      </w:r>
    </w:p>
    <w:p w14:paraId="26E4122E">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施工对生态环境产生影响主要体现在施工活动造成的地表扰动、植被土壤破坏、引发的扬尘污染和水土流失及对野生动物的惊扰影响等方面，只要施工完毕及时进行场地清理平整工作，项目所在区域生态产生影响将是轻微、暂时的。</w:t>
      </w:r>
    </w:p>
    <w:p w14:paraId="0B8A606F">
      <w:pPr>
        <w:pStyle w:val="5"/>
        <w:bidi w:val="0"/>
        <w:rPr>
          <w:rFonts w:hint="default"/>
        </w:rPr>
      </w:pPr>
      <w:bookmarkStart w:id="150" w:name="3.6.2.2运营期污染源分析"/>
      <w:bookmarkEnd w:id="150"/>
      <w:r>
        <w:rPr>
          <w:rFonts w:hint="default"/>
        </w:rPr>
        <w:t>运营期污染源分析</w:t>
      </w:r>
    </w:p>
    <w:p w14:paraId="45A8841E">
      <w:pPr>
        <w:numPr>
          <w:ilvl w:val="0"/>
          <w:numId w:val="24"/>
        </w:numPr>
        <w:spacing w:beforeLines="0" w:afterLines="0"/>
        <w:ind w:firstLine="500"/>
        <w:rPr>
          <w:rFonts w:hint="default" w:ascii="Times New Roman" w:hAnsi="Times New Roman" w:cs="Times New Roman"/>
          <w:color w:val="auto"/>
          <w:sz w:val="24"/>
          <w:szCs w:val="24"/>
          <w:highlight w:val="none"/>
        </w:rPr>
      </w:pPr>
      <w:bookmarkStart w:id="151" w:name="（1）大气污染源分析"/>
      <w:bookmarkEnd w:id="151"/>
      <w:r>
        <w:rPr>
          <w:rFonts w:hint="default" w:ascii="Times New Roman" w:hAnsi="Times New Roman" w:cs="Times New Roman"/>
          <w:color w:val="auto"/>
          <w:sz w:val="24"/>
          <w:szCs w:val="24"/>
          <w:highlight w:val="none"/>
        </w:rPr>
        <w:t>大气污染源分析</w:t>
      </w:r>
    </w:p>
    <w:p w14:paraId="31F093F3">
      <w:pPr>
        <w:numPr>
          <w:ilvl w:val="0"/>
          <w:numId w:val="0"/>
        </w:numPr>
        <w:spacing w:beforeLines="0" w:afterLines="0"/>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本项目运营期废气污染源主要来自于开采产生的粉尘，装卸工段产生的粉尘，堆场扬尘，筛分工段产生的粉尘</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烘干炉排放的废气，</w:t>
      </w:r>
      <w:r>
        <w:rPr>
          <w:rFonts w:hint="default" w:ascii="Times New Roman" w:hAnsi="Times New Roman" w:cs="Times New Roman"/>
          <w:color w:val="auto"/>
          <w:sz w:val="24"/>
          <w:szCs w:val="24"/>
          <w:highlight w:val="none"/>
        </w:rPr>
        <w:t>机械燃油废气以及道路运输扬尘、产品运输车辆扬尘等。</w:t>
      </w:r>
    </w:p>
    <w:p w14:paraId="3E61264A">
      <w:pPr>
        <w:numPr>
          <w:ilvl w:val="0"/>
          <w:numId w:val="25"/>
        </w:numPr>
        <w:spacing w:beforeLines="0" w:afterLines="0"/>
        <w:ind w:firstLine="500"/>
        <w:rPr>
          <w:rFonts w:hint="default" w:ascii="Times New Roman" w:hAnsi="Times New Roman" w:cs="Times New Roman"/>
          <w:color w:val="auto"/>
          <w:sz w:val="24"/>
          <w:szCs w:val="24"/>
          <w:highlight w:val="none"/>
        </w:rPr>
      </w:pPr>
      <w:bookmarkStart w:id="152" w:name="1）开采粉尘"/>
      <w:bookmarkEnd w:id="152"/>
      <w:r>
        <w:rPr>
          <w:rFonts w:hint="default" w:ascii="Times New Roman" w:hAnsi="Times New Roman" w:cs="Times New Roman"/>
          <w:color w:val="auto"/>
          <w:sz w:val="24"/>
          <w:szCs w:val="24"/>
          <w:highlight w:val="none"/>
        </w:rPr>
        <w:t>开采粉尘</w:t>
      </w:r>
    </w:p>
    <w:p w14:paraId="7C529B43">
      <w:pPr>
        <w:numPr>
          <w:ilvl w:val="0"/>
          <w:numId w:val="0"/>
        </w:numPr>
        <w:spacing w:beforeLines="0" w:afterLines="0"/>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本项目用铲车将采剥下来的石英砂直接通过装载机装车</w:t>
      </w:r>
      <w:r>
        <w:rPr>
          <w:rFonts w:hint="default" w:ascii="Times New Roman" w:hAnsi="Times New Roman" w:cs="Times New Roman"/>
          <w:color w:val="auto"/>
          <w:sz w:val="24"/>
          <w:szCs w:val="24"/>
          <w:highlight w:val="none"/>
          <w:lang w:val="en-US" w:eastAsia="zh-CN"/>
        </w:rPr>
        <w:t>运送至工业广场</w:t>
      </w:r>
      <w:r>
        <w:rPr>
          <w:rFonts w:hint="default" w:ascii="Times New Roman" w:hAnsi="Times New Roman" w:cs="Times New Roman"/>
          <w:color w:val="auto"/>
          <w:sz w:val="24"/>
          <w:szCs w:val="24"/>
          <w:highlight w:val="none"/>
        </w:rPr>
        <w:t>、表土运送至临时堆场存放，该过程会产生一定量的粉尘，根据《排放源统计调查产排污核算方法和系数手册（2021年版）》中1019粘土及其他土砂石开采行业系数手册计算本项目颗粒物产生情况。</w:t>
      </w:r>
    </w:p>
    <w:p w14:paraId="0F6A2366">
      <w:pPr>
        <w:pStyle w:val="45"/>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表 3.</w:t>
      </w:r>
      <w:r>
        <w:rPr>
          <w:rFonts w:hint="eastAsia" w:ascii="Times New Roman" w:hAnsi="Times New Roman" w:cs="Times New Roman"/>
          <w:color w:val="auto"/>
          <w:sz w:val="24"/>
          <w:szCs w:val="24"/>
          <w:highlight w:val="none"/>
          <w:lang w:val="en-US" w:eastAsia="zh-CN"/>
        </w:rPr>
        <w:t>8</w:t>
      </w:r>
      <w:r>
        <w:rPr>
          <w:rFonts w:hint="default" w:ascii="Times New Roman" w:hAnsi="Times New Roman" w:cs="Times New Roman"/>
          <w:color w:val="auto"/>
          <w:sz w:val="24"/>
          <w:szCs w:val="24"/>
          <w:highlight w:val="none"/>
        </w:rPr>
        <w:t>-2</w:t>
      </w:r>
      <w:r>
        <w:rPr>
          <w:rFonts w:hint="default" w:ascii="Times New Roman" w:hAnsi="Times New Roman" w:cs="Times New Roman"/>
          <w:color w:val="auto"/>
          <w:sz w:val="24"/>
          <w:szCs w:val="24"/>
          <w:highlight w:val="none"/>
        </w:rPr>
        <w:tab/>
      </w:r>
      <w:r>
        <w:rPr>
          <w:rFonts w:hint="default" w:ascii="Times New Roman" w:hAnsi="Times New Roman" w:cs="Times New Roman"/>
          <w:color w:val="auto"/>
          <w:sz w:val="24"/>
          <w:szCs w:val="24"/>
          <w:highlight w:val="none"/>
        </w:rPr>
        <w:t>产污系数表</w:t>
      </w:r>
    </w:p>
    <w:tbl>
      <w:tblPr>
        <w:tblStyle w:val="31"/>
        <w:tblW w:w="0" w:type="auto"/>
        <w:tblInd w:w="2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2"/>
        <w:gridCol w:w="1237"/>
        <w:gridCol w:w="1277"/>
        <w:gridCol w:w="1329"/>
        <w:gridCol w:w="804"/>
        <w:gridCol w:w="1002"/>
        <w:gridCol w:w="1050"/>
        <w:gridCol w:w="1249"/>
      </w:tblGrid>
      <w:tr w14:paraId="26CF6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2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479D9F7">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工段名称</w:t>
            </w:r>
          </w:p>
        </w:tc>
        <w:tc>
          <w:tcPr>
            <w:tcW w:w="123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E522016">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产品名称</w:t>
            </w:r>
          </w:p>
        </w:tc>
        <w:tc>
          <w:tcPr>
            <w:tcW w:w="127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B9565CA">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工艺名称</w:t>
            </w:r>
          </w:p>
        </w:tc>
        <w:tc>
          <w:tcPr>
            <w:tcW w:w="132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BD6095A">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规模等级</w:t>
            </w:r>
          </w:p>
        </w:tc>
        <w:tc>
          <w:tcPr>
            <w:tcW w:w="1806"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2C9D9B28">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污染物指标</w:t>
            </w:r>
          </w:p>
        </w:tc>
        <w:tc>
          <w:tcPr>
            <w:tcW w:w="105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C13EE4D">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单位</w:t>
            </w:r>
          </w:p>
        </w:tc>
        <w:tc>
          <w:tcPr>
            <w:tcW w:w="124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8220BEB">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产污系数</w:t>
            </w:r>
          </w:p>
        </w:tc>
      </w:tr>
      <w:tr w14:paraId="22DF3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2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479EF0D">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开采</w:t>
            </w:r>
          </w:p>
        </w:tc>
        <w:tc>
          <w:tcPr>
            <w:tcW w:w="123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786CC85">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硅砂</w:t>
            </w:r>
          </w:p>
        </w:tc>
        <w:tc>
          <w:tcPr>
            <w:tcW w:w="127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37EE4E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露天开采</w:t>
            </w:r>
          </w:p>
        </w:tc>
        <w:tc>
          <w:tcPr>
            <w:tcW w:w="132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76D6DB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所有规模</w:t>
            </w:r>
          </w:p>
        </w:tc>
        <w:tc>
          <w:tcPr>
            <w:tcW w:w="80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537504E">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废气</w:t>
            </w:r>
          </w:p>
        </w:tc>
        <w:tc>
          <w:tcPr>
            <w:tcW w:w="100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305826E">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颗粒物</w:t>
            </w:r>
          </w:p>
        </w:tc>
        <w:tc>
          <w:tcPr>
            <w:tcW w:w="105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BF719AE">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千克/吨</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产品</w:t>
            </w:r>
          </w:p>
        </w:tc>
        <w:tc>
          <w:tcPr>
            <w:tcW w:w="124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F6F3CE7">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8.2×10</w:t>
            </w:r>
            <w:r>
              <w:rPr>
                <w:rFonts w:hint="default" w:ascii="Times New Roman" w:hAnsi="Times New Roman" w:cs="Times New Roman"/>
                <w:color w:val="auto"/>
                <w:sz w:val="24"/>
                <w:szCs w:val="24"/>
                <w:highlight w:val="none"/>
                <w:vertAlign w:val="superscript"/>
              </w:rPr>
              <w:t>-2</w:t>
            </w:r>
          </w:p>
        </w:tc>
      </w:tr>
    </w:tbl>
    <w:p w14:paraId="6F483DB2">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项目年开采规模为</w:t>
      </w:r>
      <w:r>
        <w:rPr>
          <w:rFonts w:hint="default" w:ascii="Times New Roman" w:hAnsi="Times New Roman" w:cs="Times New Roman"/>
          <w:color w:val="auto"/>
          <w:sz w:val="24"/>
          <w:szCs w:val="24"/>
          <w:highlight w:val="none"/>
          <w:lang w:val="en-US" w:eastAsia="zh-CN"/>
        </w:rPr>
        <w:t>80</w:t>
      </w:r>
      <w:r>
        <w:rPr>
          <w:rFonts w:hint="default" w:ascii="Times New Roman" w:hAnsi="Times New Roman" w:cs="Times New Roman"/>
          <w:color w:val="auto"/>
          <w:sz w:val="24"/>
          <w:szCs w:val="24"/>
          <w:highlight w:val="none"/>
        </w:rPr>
        <w:t>万t/a，则无组织粉尘产生量约为</w:t>
      </w:r>
      <w:r>
        <w:rPr>
          <w:rFonts w:hint="default" w:ascii="Times New Roman" w:hAnsi="Times New Roman" w:cs="Times New Roman"/>
          <w:color w:val="auto"/>
          <w:sz w:val="24"/>
          <w:szCs w:val="24"/>
          <w:highlight w:val="none"/>
          <w:lang w:val="en-US" w:eastAsia="zh-CN"/>
        </w:rPr>
        <w:t>65.6</w:t>
      </w:r>
      <w:r>
        <w:rPr>
          <w:rFonts w:hint="default" w:ascii="Times New Roman" w:hAnsi="Times New Roman" w:cs="Times New Roman"/>
          <w:color w:val="auto"/>
          <w:sz w:val="24"/>
          <w:szCs w:val="24"/>
          <w:highlight w:val="none"/>
        </w:rPr>
        <w:t>t/a。本环评要求</w:t>
      </w:r>
      <w:r>
        <w:rPr>
          <w:rFonts w:hint="default" w:ascii="Times New Roman" w:hAnsi="Times New Roman" w:cs="Times New Roman"/>
          <w:color w:val="auto"/>
          <w:sz w:val="24"/>
          <w:szCs w:val="24"/>
          <w:highlight w:val="none"/>
          <w:lang w:val="en-US" w:eastAsia="zh-CN"/>
        </w:rPr>
        <w:t>配备移动式雾炮机对采掘场地进行降尘，并且要求</w:t>
      </w:r>
      <w:r>
        <w:rPr>
          <w:rFonts w:hint="default" w:ascii="Times New Roman" w:hAnsi="Times New Roman" w:cs="Times New Roman"/>
          <w:color w:val="auto"/>
          <w:sz w:val="24"/>
          <w:szCs w:val="24"/>
          <w:highlight w:val="none"/>
        </w:rPr>
        <w:t>大风天气不得开采、分区分片开采等减缓措施，</w:t>
      </w:r>
      <w:r>
        <w:rPr>
          <w:rFonts w:hint="default" w:ascii="Times New Roman" w:hAnsi="Times New Roman" w:cs="Times New Roman"/>
          <w:color w:val="auto"/>
          <w:sz w:val="24"/>
          <w:szCs w:val="24"/>
          <w:highlight w:val="none"/>
          <w:lang w:val="en-US" w:eastAsia="zh-CN"/>
        </w:rPr>
        <w:t>根据</w:t>
      </w:r>
      <w:r>
        <w:rPr>
          <w:rFonts w:hint="default" w:ascii="Times New Roman" w:hAnsi="Times New Roman" w:cs="Times New Roman"/>
          <w:color w:val="auto"/>
          <w:sz w:val="24"/>
          <w:szCs w:val="24"/>
          <w:highlight w:val="none"/>
        </w:rPr>
        <w:t>《矿用雾炮机喷雾降尘效率实验研究》（《煤炭科学技术》，2018年）</w:t>
      </w:r>
      <w:r>
        <w:rPr>
          <w:rFonts w:hint="default" w:ascii="Times New Roman" w:hAnsi="Times New Roman" w:cs="Times New Roman"/>
          <w:color w:val="auto"/>
          <w:sz w:val="24"/>
          <w:szCs w:val="24"/>
          <w:highlight w:val="none"/>
          <w:lang w:eastAsia="zh-CN"/>
        </w:rPr>
        <w:t>雾炮机在露天矿区的降尘效率可达70%</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eastAsia="zh-CN"/>
        </w:rPr>
        <w:t>85%，</w:t>
      </w:r>
      <w:r>
        <w:rPr>
          <w:rFonts w:hint="default" w:ascii="Times New Roman" w:hAnsi="Times New Roman" w:cs="Times New Roman"/>
          <w:color w:val="auto"/>
          <w:sz w:val="24"/>
          <w:szCs w:val="24"/>
          <w:highlight w:val="none"/>
          <w:lang w:val="en-US" w:eastAsia="zh-CN"/>
        </w:rPr>
        <w:t>本项目取85%，</w:t>
      </w:r>
      <w:r>
        <w:rPr>
          <w:rFonts w:hint="default" w:ascii="Times New Roman" w:hAnsi="Times New Roman" w:cs="Times New Roman"/>
          <w:color w:val="auto"/>
          <w:sz w:val="24"/>
          <w:szCs w:val="24"/>
          <w:highlight w:val="none"/>
        </w:rPr>
        <w:t>通过采取以上措施粉尘控制效率可达</w:t>
      </w:r>
      <w:r>
        <w:rPr>
          <w:rFonts w:hint="default" w:ascii="Times New Roman" w:hAnsi="Times New Roman" w:cs="Times New Roman"/>
          <w:color w:val="auto"/>
          <w:sz w:val="24"/>
          <w:szCs w:val="24"/>
          <w:highlight w:val="none"/>
          <w:lang w:val="en-US" w:eastAsia="zh-CN"/>
        </w:rPr>
        <w:t>85</w:t>
      </w:r>
      <w:r>
        <w:rPr>
          <w:rFonts w:hint="default" w:ascii="Times New Roman" w:hAnsi="Times New Roman" w:cs="Times New Roman"/>
          <w:color w:val="auto"/>
          <w:sz w:val="24"/>
          <w:szCs w:val="24"/>
          <w:highlight w:val="none"/>
        </w:rPr>
        <w:t>%，则开采粉尘排放量为</w:t>
      </w:r>
      <w:r>
        <w:rPr>
          <w:rFonts w:hint="default" w:ascii="Times New Roman" w:hAnsi="Times New Roman" w:cs="Times New Roman"/>
          <w:color w:val="auto"/>
          <w:sz w:val="24"/>
          <w:szCs w:val="24"/>
          <w:highlight w:val="none"/>
          <w:lang w:val="en-US" w:eastAsia="zh-CN"/>
        </w:rPr>
        <w:t>9.84</w:t>
      </w:r>
      <w:r>
        <w:rPr>
          <w:rFonts w:hint="default" w:ascii="Times New Roman" w:hAnsi="Times New Roman" w:cs="Times New Roman"/>
          <w:color w:val="auto"/>
          <w:sz w:val="24"/>
          <w:szCs w:val="24"/>
          <w:highlight w:val="none"/>
        </w:rPr>
        <w:t>t/a</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2.047kg/h</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w:t>
      </w:r>
    </w:p>
    <w:p w14:paraId="4D448C34">
      <w:pPr>
        <w:numPr>
          <w:ilvl w:val="0"/>
          <w:numId w:val="26"/>
        </w:numPr>
        <w:spacing w:beforeLines="0" w:afterLines="0"/>
        <w:ind w:firstLine="500"/>
        <w:rPr>
          <w:rFonts w:hint="default" w:ascii="Times New Roman" w:hAnsi="Times New Roman" w:cs="Times New Roman"/>
          <w:color w:val="auto"/>
          <w:sz w:val="24"/>
          <w:szCs w:val="24"/>
          <w:highlight w:val="none"/>
        </w:rPr>
      </w:pPr>
      <w:bookmarkStart w:id="153" w:name="2）堆场扬尘"/>
      <w:bookmarkEnd w:id="153"/>
      <w:r>
        <w:rPr>
          <w:rFonts w:hint="default" w:ascii="Times New Roman" w:hAnsi="Times New Roman" w:cs="Times New Roman"/>
          <w:color w:val="auto"/>
          <w:sz w:val="24"/>
          <w:szCs w:val="24"/>
          <w:highlight w:val="none"/>
        </w:rPr>
        <w:t>堆场扬尘</w:t>
      </w:r>
    </w:p>
    <w:p w14:paraId="101D22F8">
      <w:pPr>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本项目共设置2个堆场，包括表土堆场，排土场（堆存废料及弃土），在堆存过程中会产生风蚀扬尘，在排料过程会产生装卸扬尘。</w:t>
      </w:r>
    </w:p>
    <w:p w14:paraId="19D98EA5">
      <w:pPr>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本次评价其风蚀扬尘量采用西安治金建筑学院起尘量推荐公式计算:</w:t>
      </w:r>
    </w:p>
    <w:p w14:paraId="519DA1E8">
      <w:pPr>
        <w:spacing w:beforeLines="0" w:afterLine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1571625" cy="357505"/>
            <wp:effectExtent l="0" t="0" r="0" b="0"/>
            <wp:docPr id="16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32"/>
                    <pic:cNvPicPr>
                      <a:picLocks noChangeAspect="1"/>
                    </pic:cNvPicPr>
                  </pic:nvPicPr>
                  <pic:blipFill>
                    <a:blip r:embed="rId16">
                      <a:clrChange>
                        <a:clrFrom>
                          <a:srgbClr val="CDDEC2">
                            <a:alpha val="100000"/>
                          </a:srgbClr>
                        </a:clrFrom>
                        <a:clrTo>
                          <a:srgbClr val="CDDEC2">
                            <a:alpha val="100000"/>
                            <a:alpha val="0"/>
                          </a:srgbClr>
                        </a:clrTo>
                      </a:clrChange>
                    </a:blip>
                    <a:stretch>
                      <a:fillRect/>
                    </a:stretch>
                  </pic:blipFill>
                  <pic:spPr>
                    <a:xfrm>
                      <a:off x="0" y="0"/>
                      <a:ext cx="1571625" cy="357505"/>
                    </a:xfrm>
                    <a:prstGeom prst="rect">
                      <a:avLst/>
                    </a:prstGeom>
                    <a:noFill/>
                    <a:ln>
                      <a:noFill/>
                    </a:ln>
                  </pic:spPr>
                </pic:pic>
              </a:graphicData>
            </a:graphic>
          </wp:inline>
        </w:drawing>
      </w:r>
    </w:p>
    <w:p w14:paraId="6BED5252">
      <w:pPr>
        <w:numPr>
          <w:ilvl w:val="0"/>
          <w:numId w:val="0"/>
        </w:numPr>
        <w:spacing w:beforeLines="0" w:afterLines="0"/>
        <w:ind w:firstLine="48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式中:Q-起尘量，(mg/s);</w:t>
      </w:r>
    </w:p>
    <w:p w14:paraId="1215698D">
      <w:pPr>
        <w:numPr>
          <w:ilvl w:val="0"/>
          <w:numId w:val="0"/>
        </w:numPr>
        <w:spacing w:beforeLines="0" w:afterLines="0"/>
        <w:ind w:firstLine="960" w:firstLineChars="4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AP-起尘面积;</w:t>
      </w:r>
    </w:p>
    <w:p w14:paraId="1F09E23B">
      <w:pPr>
        <w:numPr>
          <w:ilvl w:val="0"/>
          <w:numId w:val="27"/>
        </w:numPr>
        <w:spacing w:beforeLines="0" w:afterLines="0"/>
        <w:ind w:firstLine="960" w:firstLineChars="4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平均风速。</w:t>
      </w:r>
    </w:p>
    <w:p w14:paraId="4A5F3653">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表3</w:t>
      </w:r>
      <w:r>
        <w:rPr>
          <w:rFonts w:hint="eastAsia" w:ascii="Times New Roman" w:hAnsi="Times New Roman" w:cs="Times New Roman"/>
          <w:color w:val="auto"/>
          <w:highlight w:val="none"/>
          <w:lang w:val="en-US" w:eastAsia="zh-CN"/>
        </w:rPr>
        <w:t>.8</w:t>
      </w:r>
      <w:r>
        <w:rPr>
          <w:rFonts w:hint="default" w:ascii="Times New Roman" w:hAnsi="Times New Roman" w:cs="Times New Roman"/>
          <w:color w:val="auto"/>
          <w:highlight w:val="none"/>
          <w:lang w:val="en-US" w:eastAsia="zh-CN"/>
        </w:rPr>
        <w:t>-3    堆场风蚀扬尘产生情况一览表</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7"/>
        <w:gridCol w:w="1233"/>
        <w:gridCol w:w="1900"/>
        <w:gridCol w:w="1326"/>
        <w:gridCol w:w="1358"/>
        <w:gridCol w:w="1331"/>
        <w:gridCol w:w="1341"/>
      </w:tblGrid>
      <w:tr w14:paraId="25937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dxa"/>
          </w:tcPr>
          <w:p w14:paraId="4DF5AAFF">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序号</w:t>
            </w:r>
          </w:p>
        </w:tc>
        <w:tc>
          <w:tcPr>
            <w:tcW w:w="1312" w:type="dxa"/>
          </w:tcPr>
          <w:p w14:paraId="0661801C">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堆场类型</w:t>
            </w:r>
          </w:p>
        </w:tc>
        <w:tc>
          <w:tcPr>
            <w:tcW w:w="1988" w:type="dxa"/>
            <w:vAlign w:val="center"/>
          </w:tcPr>
          <w:p w14:paraId="14CF1773">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U（m/s）</w:t>
            </w:r>
          </w:p>
        </w:tc>
        <w:tc>
          <w:tcPr>
            <w:tcW w:w="1378" w:type="dxa"/>
            <w:vAlign w:val="center"/>
          </w:tcPr>
          <w:p w14:paraId="77D7406C">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Ap</w:t>
            </w:r>
          </w:p>
        </w:tc>
        <w:tc>
          <w:tcPr>
            <w:tcW w:w="1378" w:type="dxa"/>
          </w:tcPr>
          <w:p w14:paraId="04F2F5AB">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Q（mg/s）</w:t>
            </w:r>
          </w:p>
        </w:tc>
        <w:tc>
          <w:tcPr>
            <w:tcW w:w="1378" w:type="dxa"/>
          </w:tcPr>
          <w:p w14:paraId="2B3C47EA">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Q(t/a)</w:t>
            </w:r>
          </w:p>
        </w:tc>
        <w:tc>
          <w:tcPr>
            <w:tcW w:w="1378" w:type="dxa"/>
          </w:tcPr>
          <w:p w14:paraId="767AAAB2">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Q(kg/h)</w:t>
            </w:r>
          </w:p>
        </w:tc>
      </w:tr>
      <w:tr w14:paraId="04115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dxa"/>
          </w:tcPr>
          <w:p w14:paraId="32CCC589">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w:t>
            </w:r>
          </w:p>
        </w:tc>
        <w:tc>
          <w:tcPr>
            <w:tcW w:w="1312" w:type="dxa"/>
          </w:tcPr>
          <w:p w14:paraId="7BA02E60">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表土堆场</w:t>
            </w:r>
          </w:p>
        </w:tc>
        <w:tc>
          <w:tcPr>
            <w:tcW w:w="1988" w:type="dxa"/>
            <w:vAlign w:val="center"/>
          </w:tcPr>
          <w:p w14:paraId="56F75F3F">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w:t>
            </w:r>
          </w:p>
        </w:tc>
        <w:tc>
          <w:tcPr>
            <w:tcW w:w="1378" w:type="dxa"/>
            <w:vAlign w:val="center"/>
          </w:tcPr>
          <w:p w14:paraId="45A7138D">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20000</w:t>
            </w:r>
          </w:p>
        </w:tc>
        <w:tc>
          <w:tcPr>
            <w:tcW w:w="1378" w:type="dxa"/>
            <w:vAlign w:val="center"/>
          </w:tcPr>
          <w:p w14:paraId="46F29669">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252.591</w:t>
            </w:r>
          </w:p>
        </w:tc>
        <w:tc>
          <w:tcPr>
            <w:tcW w:w="1378" w:type="dxa"/>
            <w:vAlign w:val="center"/>
          </w:tcPr>
          <w:p w14:paraId="76F71CF8">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7.966 </w:t>
            </w:r>
          </w:p>
        </w:tc>
        <w:tc>
          <w:tcPr>
            <w:tcW w:w="1378" w:type="dxa"/>
            <w:vAlign w:val="center"/>
          </w:tcPr>
          <w:p w14:paraId="0B8D5235">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0.909 </w:t>
            </w:r>
          </w:p>
        </w:tc>
      </w:tr>
      <w:tr w14:paraId="544FA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dxa"/>
          </w:tcPr>
          <w:p w14:paraId="0EFD9ED5">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w:t>
            </w:r>
          </w:p>
        </w:tc>
        <w:tc>
          <w:tcPr>
            <w:tcW w:w="1312" w:type="dxa"/>
          </w:tcPr>
          <w:p w14:paraId="58890A9C">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排土场</w:t>
            </w:r>
          </w:p>
        </w:tc>
        <w:tc>
          <w:tcPr>
            <w:tcW w:w="1988" w:type="dxa"/>
            <w:vAlign w:val="center"/>
          </w:tcPr>
          <w:p w14:paraId="2191863A">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w:t>
            </w:r>
          </w:p>
        </w:tc>
        <w:tc>
          <w:tcPr>
            <w:tcW w:w="1378" w:type="dxa"/>
            <w:vAlign w:val="center"/>
          </w:tcPr>
          <w:p w14:paraId="14F45719">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45800</w:t>
            </w:r>
          </w:p>
        </w:tc>
        <w:tc>
          <w:tcPr>
            <w:tcW w:w="1378" w:type="dxa"/>
            <w:vAlign w:val="center"/>
          </w:tcPr>
          <w:p w14:paraId="5087D4C2">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578.433</w:t>
            </w:r>
          </w:p>
        </w:tc>
        <w:tc>
          <w:tcPr>
            <w:tcW w:w="1378" w:type="dxa"/>
            <w:vAlign w:val="center"/>
          </w:tcPr>
          <w:p w14:paraId="7D85743D">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18.241 </w:t>
            </w:r>
          </w:p>
        </w:tc>
        <w:tc>
          <w:tcPr>
            <w:tcW w:w="1378" w:type="dxa"/>
            <w:vAlign w:val="center"/>
          </w:tcPr>
          <w:p w14:paraId="467763FE">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2.082 </w:t>
            </w:r>
          </w:p>
        </w:tc>
      </w:tr>
    </w:tbl>
    <w:p w14:paraId="03E98153">
      <w:pPr>
        <w:numPr>
          <w:ilvl w:val="0"/>
          <w:numId w:val="0"/>
        </w:numPr>
        <w:spacing w:beforeLines="0" w:afterLines="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注：堆场年运行时间为365*24=8760h</w:t>
      </w:r>
    </w:p>
    <w:p w14:paraId="2FB9F981">
      <w:pPr>
        <w:numPr>
          <w:ilvl w:val="0"/>
          <w:numId w:val="0"/>
        </w:numPr>
        <w:spacing w:beforeLines="0" w:afterLines="0"/>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堆场装卸扬尘按照以下公式进行估算：</w:t>
      </w:r>
    </w:p>
    <w:p w14:paraId="0F5BFD98">
      <w:pPr>
        <w:pStyle w:val="5"/>
        <w:numPr>
          <w:ilvl w:val="3"/>
          <w:numId w:val="0"/>
        </w:numPr>
        <w:ind w:left="-1" w:leftChars="0"/>
        <w:jc w:val="center"/>
        <w:outlineLvl w:val="9"/>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2136775" cy="477520"/>
            <wp:effectExtent l="0" t="0" r="0" b="0"/>
            <wp:docPr id="16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33"/>
                    <pic:cNvPicPr>
                      <a:picLocks noChangeAspect="1"/>
                    </pic:cNvPicPr>
                  </pic:nvPicPr>
                  <pic:blipFill>
                    <a:blip r:embed="rId17">
                      <a:clrChange>
                        <a:clrFrom>
                          <a:srgbClr val="CDDEC2">
                            <a:alpha val="100000"/>
                          </a:srgbClr>
                        </a:clrFrom>
                        <a:clrTo>
                          <a:srgbClr val="CDDEC2">
                            <a:alpha val="100000"/>
                            <a:alpha val="0"/>
                          </a:srgbClr>
                        </a:clrTo>
                      </a:clrChange>
                    </a:blip>
                    <a:stretch>
                      <a:fillRect/>
                    </a:stretch>
                  </pic:blipFill>
                  <pic:spPr>
                    <a:xfrm>
                      <a:off x="0" y="0"/>
                      <a:ext cx="2136775" cy="477520"/>
                    </a:xfrm>
                    <a:prstGeom prst="rect">
                      <a:avLst/>
                    </a:prstGeom>
                    <a:noFill/>
                    <a:ln>
                      <a:noFill/>
                    </a:ln>
                  </pic:spPr>
                </pic:pic>
              </a:graphicData>
            </a:graphic>
          </wp:inline>
        </w:drawing>
      </w:r>
    </w:p>
    <w:p w14:paraId="4735014A">
      <w:pP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式中：Q-物料装卸扬尘量，g/次；</w:t>
      </w:r>
    </w:p>
    <w:p w14:paraId="68ED594C">
      <w:pPr>
        <w:ind w:firstLine="1200" w:firstLineChars="5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U-风速(m/s)，项目区多年平均风速1.8m/s;</w:t>
      </w:r>
    </w:p>
    <w:p w14:paraId="428C4C97">
      <w:pPr>
        <w:ind w:firstLine="1200" w:firstLineChars="5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M-车辆吨位，30t/辆；</w:t>
      </w:r>
    </w:p>
    <w:p w14:paraId="40BCF382">
      <w:pPr>
        <w:ind w:firstLine="1200" w:firstLineChars="5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H-矿石装卸高度，为2m。</w:t>
      </w:r>
    </w:p>
    <w:p w14:paraId="5BEACE4B">
      <w:pPr>
        <w:ind w:firstLine="1200" w:firstLineChars="5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根据公式计算，物料装卸扬尘量产生我242.379g/次，则两个堆场年产生量及速率如下表</w:t>
      </w:r>
    </w:p>
    <w:p w14:paraId="48CD94D3">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表3.</w:t>
      </w:r>
      <w:r>
        <w:rPr>
          <w:rFonts w:hint="eastAsia" w:ascii="Times New Roman" w:hAnsi="Times New Roman" w:cs="Times New Roman"/>
          <w:color w:val="auto"/>
          <w:highlight w:val="none"/>
          <w:lang w:val="en-US" w:eastAsia="zh-CN"/>
        </w:rPr>
        <w:t>8</w:t>
      </w:r>
      <w:r>
        <w:rPr>
          <w:rFonts w:hint="default" w:ascii="Times New Roman" w:hAnsi="Times New Roman" w:cs="Times New Roman"/>
          <w:color w:val="auto"/>
          <w:highlight w:val="none"/>
          <w:lang w:val="en-US" w:eastAsia="zh-CN"/>
        </w:rPr>
        <w:t>-4    堆场装卸扬尘产生情况一览表</w:t>
      </w:r>
    </w:p>
    <w:tbl>
      <w:tblPr>
        <w:tblStyle w:val="32"/>
        <w:tblW w:w="499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4"/>
        <w:gridCol w:w="1356"/>
        <w:gridCol w:w="2340"/>
        <w:gridCol w:w="1191"/>
        <w:gridCol w:w="1737"/>
        <w:gridCol w:w="1773"/>
      </w:tblGrid>
      <w:tr w14:paraId="4CE5D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 w:type="pct"/>
            <w:vAlign w:val="center"/>
          </w:tcPr>
          <w:p w14:paraId="74EA9D76">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序号</w:t>
            </w:r>
          </w:p>
        </w:tc>
        <w:tc>
          <w:tcPr>
            <w:tcW w:w="731" w:type="pct"/>
            <w:vAlign w:val="center"/>
          </w:tcPr>
          <w:p w14:paraId="765508A1">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堆场类型</w:t>
            </w:r>
          </w:p>
        </w:tc>
        <w:tc>
          <w:tcPr>
            <w:tcW w:w="1261" w:type="pct"/>
            <w:vAlign w:val="center"/>
          </w:tcPr>
          <w:p w14:paraId="2A8BD33D">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年装卸物料总量</w:t>
            </w:r>
          </w:p>
          <w:p w14:paraId="7DA1FFF3">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（万t）</w:t>
            </w:r>
          </w:p>
        </w:tc>
        <w:tc>
          <w:tcPr>
            <w:tcW w:w="642" w:type="pct"/>
            <w:vAlign w:val="center"/>
          </w:tcPr>
          <w:p w14:paraId="0C32AA92">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车次</w:t>
            </w:r>
          </w:p>
        </w:tc>
        <w:tc>
          <w:tcPr>
            <w:tcW w:w="936" w:type="pct"/>
            <w:vAlign w:val="center"/>
          </w:tcPr>
          <w:p w14:paraId="43664C50">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年产生量</w:t>
            </w:r>
          </w:p>
          <w:p w14:paraId="4EC5EA9D">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（t/a）</w:t>
            </w:r>
          </w:p>
        </w:tc>
        <w:tc>
          <w:tcPr>
            <w:tcW w:w="955" w:type="pct"/>
            <w:vAlign w:val="center"/>
          </w:tcPr>
          <w:p w14:paraId="0747D488">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产生速率</w:t>
            </w:r>
          </w:p>
          <w:p w14:paraId="2BB91CE5">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（kg/h）</w:t>
            </w:r>
          </w:p>
        </w:tc>
      </w:tr>
      <w:tr w14:paraId="658F6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 w:type="pct"/>
            <w:vAlign w:val="center"/>
          </w:tcPr>
          <w:p w14:paraId="3B2FB31A">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w:t>
            </w:r>
          </w:p>
        </w:tc>
        <w:tc>
          <w:tcPr>
            <w:tcW w:w="731" w:type="pct"/>
            <w:vAlign w:val="center"/>
          </w:tcPr>
          <w:p w14:paraId="69FB1AD1">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表土堆场</w:t>
            </w:r>
          </w:p>
        </w:tc>
        <w:tc>
          <w:tcPr>
            <w:tcW w:w="1261" w:type="pct"/>
            <w:vAlign w:val="center"/>
          </w:tcPr>
          <w:p w14:paraId="61AD1B97">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15.52</w:t>
            </w:r>
          </w:p>
        </w:tc>
        <w:tc>
          <w:tcPr>
            <w:tcW w:w="642" w:type="pct"/>
            <w:vAlign w:val="center"/>
          </w:tcPr>
          <w:p w14:paraId="6DA86233">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5173</w:t>
            </w:r>
          </w:p>
        </w:tc>
        <w:tc>
          <w:tcPr>
            <w:tcW w:w="1752" w:type="dxa"/>
            <w:vAlign w:val="center"/>
          </w:tcPr>
          <w:p w14:paraId="6494498A">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1.254</w:t>
            </w:r>
          </w:p>
        </w:tc>
        <w:tc>
          <w:tcPr>
            <w:tcW w:w="1787" w:type="dxa"/>
            <w:vAlign w:val="center"/>
          </w:tcPr>
          <w:p w14:paraId="27ED671A">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0.261</w:t>
            </w:r>
          </w:p>
        </w:tc>
      </w:tr>
      <w:tr w14:paraId="2FBD4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 w:type="pct"/>
            <w:vAlign w:val="center"/>
          </w:tcPr>
          <w:p w14:paraId="267519AF">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w:t>
            </w:r>
          </w:p>
        </w:tc>
        <w:tc>
          <w:tcPr>
            <w:tcW w:w="731" w:type="pct"/>
            <w:vAlign w:val="center"/>
          </w:tcPr>
          <w:p w14:paraId="496895F5">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排土场</w:t>
            </w:r>
          </w:p>
        </w:tc>
        <w:tc>
          <w:tcPr>
            <w:tcW w:w="1261" w:type="pct"/>
            <w:vAlign w:val="center"/>
          </w:tcPr>
          <w:p w14:paraId="331617D3">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46</w:t>
            </w:r>
          </w:p>
        </w:tc>
        <w:tc>
          <w:tcPr>
            <w:tcW w:w="642" w:type="pct"/>
            <w:vAlign w:val="center"/>
          </w:tcPr>
          <w:p w14:paraId="268E88E9">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15333</w:t>
            </w:r>
          </w:p>
        </w:tc>
        <w:tc>
          <w:tcPr>
            <w:tcW w:w="1752" w:type="dxa"/>
            <w:vAlign w:val="center"/>
          </w:tcPr>
          <w:p w14:paraId="6467B1F2">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3.716</w:t>
            </w:r>
          </w:p>
        </w:tc>
        <w:tc>
          <w:tcPr>
            <w:tcW w:w="1787" w:type="dxa"/>
            <w:vAlign w:val="center"/>
          </w:tcPr>
          <w:p w14:paraId="71172722">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0.774</w:t>
            </w:r>
          </w:p>
        </w:tc>
      </w:tr>
    </w:tbl>
    <w:p w14:paraId="0D66B186">
      <w:pP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注：装卸年运行小时数为按照300×16=4800h。</w:t>
      </w:r>
    </w:p>
    <w:p w14:paraId="4E884657">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根据以上计算，本项目表土堆场年产生粉尘量为7.966+1.254=9.22t/a（1.171kg/h），排土场为18.241+3.716=21.958t/a（2.857kg/h），堆场通过采取物料遮盖、洒水抑尘等措施进行控制，预计可减少90%的扬尘，因此表土堆场粉尘排放量0.922t/a（0.1171kg/h），排土场为1</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8241+</w:t>
      </w:r>
      <w:r>
        <w:rPr>
          <w:rFonts w:hint="eastAsia" w:cs="Times New Roman"/>
          <w:color w:val="auto"/>
          <w:highlight w:val="none"/>
          <w:lang w:val="en-US" w:eastAsia="zh-CN"/>
        </w:rPr>
        <w:t>0.</w:t>
      </w:r>
      <w:r>
        <w:rPr>
          <w:rFonts w:hint="default" w:ascii="Times New Roman" w:hAnsi="Times New Roman" w:cs="Times New Roman"/>
          <w:color w:val="auto"/>
          <w:highlight w:val="none"/>
          <w:lang w:val="en-US" w:eastAsia="zh-CN"/>
        </w:rPr>
        <w:t>3716=2.1958t/a（0.2857kg/h）。</w:t>
      </w:r>
    </w:p>
    <w:p w14:paraId="4DAC0962">
      <w:pPr>
        <w:numPr>
          <w:ilvl w:val="0"/>
          <w:numId w:val="26"/>
        </w:numPr>
        <w:spacing w:beforeLines="0" w:afterLines="0"/>
        <w:ind w:firstLine="480"/>
        <w:rPr>
          <w:rFonts w:hint="default" w:ascii="Times New Roman" w:hAnsi="Times New Roman" w:cs="Times New Roman"/>
          <w:color w:val="auto"/>
          <w:sz w:val="24"/>
          <w:szCs w:val="24"/>
          <w:highlight w:val="none"/>
        </w:rPr>
      </w:pPr>
      <w:bookmarkStart w:id="154" w:name="3）运输扬尘"/>
      <w:bookmarkEnd w:id="154"/>
      <w:r>
        <w:rPr>
          <w:rFonts w:hint="default" w:ascii="Times New Roman" w:hAnsi="Times New Roman" w:cs="Times New Roman"/>
          <w:color w:val="auto"/>
          <w:sz w:val="24"/>
          <w:szCs w:val="24"/>
          <w:highlight w:val="none"/>
        </w:rPr>
        <w:t>运输扬尘</w:t>
      </w:r>
    </w:p>
    <w:p w14:paraId="540BADB4">
      <w:pPr>
        <w:numPr>
          <w:ilvl w:val="0"/>
          <w:numId w:val="0"/>
        </w:numPr>
        <w:spacing w:beforeLines="0" w:afterLines="0"/>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产生情况：在矿石运输及废料转运过程，尤其是在旱季，有间断的粉尘产生。评价建议采取设专人对运输道路进行定期清扫、洒水，运输车辆采用苫布遮盖密闭运输；控制运输车辆行驶速度及装载量，减少物料转运环节，缩短物料运输距离，严禁在大风及暴雨天气进行物料采装、运输等措施，通过这些措施，可以有效的减少运输扬尘的产生量。</w:t>
      </w:r>
    </w:p>
    <w:p w14:paraId="21569710">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环评采用《无组织排放源常用分析与估算方法》推荐的经验公式估算运输车辆道路扬尘量：</w:t>
      </w:r>
    </w:p>
    <w:p w14:paraId="6A34E2B6">
      <w:pPr>
        <w:spacing w:beforeLines="0" w:afterLine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Qp=0.123(V/5)(M/6.8)</w:t>
      </w:r>
      <w:r>
        <w:rPr>
          <w:rFonts w:hint="default" w:ascii="Times New Roman" w:hAnsi="Times New Roman" w:cs="Times New Roman"/>
          <w:color w:val="auto"/>
          <w:sz w:val="24"/>
          <w:szCs w:val="24"/>
          <w:highlight w:val="none"/>
          <w:vertAlign w:val="superscript"/>
        </w:rPr>
        <w:t>0.85</w:t>
      </w:r>
      <w:r>
        <w:rPr>
          <w:rFonts w:hint="default" w:ascii="Times New Roman" w:hAnsi="Times New Roman" w:cs="Times New Roman"/>
          <w:color w:val="auto"/>
          <w:sz w:val="24"/>
          <w:szCs w:val="24"/>
          <w:highlight w:val="none"/>
        </w:rPr>
        <w:t>(P/0.5)</w:t>
      </w:r>
      <w:r>
        <w:rPr>
          <w:rFonts w:hint="default" w:ascii="Times New Roman" w:hAnsi="Times New Roman" w:cs="Times New Roman"/>
          <w:color w:val="auto"/>
          <w:sz w:val="24"/>
          <w:szCs w:val="24"/>
          <w:highlight w:val="none"/>
          <w:vertAlign w:val="superscript"/>
        </w:rPr>
        <w:t>0.72</w:t>
      </w:r>
    </w:p>
    <w:p w14:paraId="34E3FAF0">
      <w:pPr>
        <w:spacing w:beforeLines="0" w:afterLine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Q′p=Qp·L·Q/M</w:t>
      </w:r>
    </w:p>
    <w:p w14:paraId="25AAE2FD">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计算参数：Qp——汽车行驶时的扬尘，kg/（km·辆）；</w:t>
      </w:r>
    </w:p>
    <w:p w14:paraId="6ECDEDC6">
      <w:pPr>
        <w:spacing w:beforeLines="0" w:afterLines="0"/>
        <w:ind w:firstLine="1680" w:firstLineChars="7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Q′p——运输途中起尘量，（kg/a）；</w:t>
      </w:r>
    </w:p>
    <w:p w14:paraId="63007EFD">
      <w:pPr>
        <w:spacing w:beforeLines="0" w:afterLines="0"/>
        <w:ind w:firstLine="1680" w:firstLineChars="7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V——汽车速度，（15km/h）；</w:t>
      </w:r>
    </w:p>
    <w:p w14:paraId="47550F5B">
      <w:pPr>
        <w:spacing w:beforeLines="0" w:afterLines="0"/>
        <w:ind w:firstLine="1680" w:firstLineChars="7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M——车辆载重，本项目取30t；</w:t>
      </w:r>
    </w:p>
    <w:p w14:paraId="7BFDBF28">
      <w:pPr>
        <w:spacing w:beforeLines="0" w:afterLines="0"/>
        <w:ind w:firstLine="1680" w:firstLineChars="7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P——道路表面粉尘量，kg/m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，本项目取0.2kg/m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w:t>
      </w:r>
    </w:p>
    <w:p w14:paraId="1AF577FB">
      <w:pPr>
        <w:spacing w:beforeLines="0" w:afterLines="0"/>
        <w:ind w:firstLine="1680" w:firstLineChars="7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L——运距，（km，本项目在矿区内</w:t>
      </w:r>
      <w:r>
        <w:rPr>
          <w:rFonts w:hint="default" w:ascii="Times New Roman" w:hAnsi="Times New Roman" w:cs="Times New Roman"/>
          <w:color w:val="auto"/>
          <w:sz w:val="24"/>
          <w:szCs w:val="24"/>
          <w:highlight w:val="none"/>
          <w:lang w:val="en-US" w:eastAsia="zh-CN"/>
        </w:rPr>
        <w:t>平均</w:t>
      </w:r>
      <w:r>
        <w:rPr>
          <w:rFonts w:hint="default" w:ascii="Times New Roman" w:hAnsi="Times New Roman" w:cs="Times New Roman"/>
          <w:color w:val="auto"/>
          <w:sz w:val="24"/>
          <w:szCs w:val="24"/>
          <w:highlight w:val="none"/>
        </w:rPr>
        <w:t>运距取</w:t>
      </w:r>
      <w:r>
        <w:rPr>
          <w:rFonts w:hint="default" w:ascii="Times New Roman" w:hAnsi="Times New Roman" w:cs="Times New Roman"/>
          <w:color w:val="auto"/>
          <w:sz w:val="24"/>
          <w:szCs w:val="24"/>
          <w:highlight w:val="none"/>
          <w:lang w:eastAsia="zh-CN"/>
        </w:rPr>
        <w:t>3km</w:t>
      </w:r>
      <w:r>
        <w:rPr>
          <w:rFonts w:hint="default" w:ascii="Times New Roman" w:hAnsi="Times New Roman" w:cs="Times New Roman"/>
          <w:color w:val="auto"/>
          <w:sz w:val="24"/>
          <w:szCs w:val="24"/>
          <w:highlight w:val="none"/>
        </w:rPr>
        <w:t>）；</w:t>
      </w:r>
    </w:p>
    <w:p w14:paraId="43D7DDEC">
      <w:pPr>
        <w:spacing w:beforeLines="0" w:afterLines="0"/>
        <w:ind w:firstLine="1680" w:firstLineChars="7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Q——运输量，(</w:t>
      </w:r>
      <w:r>
        <w:rPr>
          <w:rFonts w:hint="default" w:ascii="Times New Roman" w:hAnsi="Times New Roman" w:cs="Times New Roman"/>
          <w:color w:val="auto"/>
          <w:sz w:val="24"/>
          <w:szCs w:val="24"/>
          <w:highlight w:val="none"/>
          <w:lang w:val="en-US" w:eastAsia="zh-CN"/>
        </w:rPr>
        <w:t>80</w:t>
      </w:r>
      <w:r>
        <w:rPr>
          <w:rFonts w:hint="default" w:ascii="Times New Roman" w:hAnsi="Times New Roman" w:cs="Times New Roman"/>
          <w:color w:val="auto"/>
          <w:sz w:val="24"/>
          <w:szCs w:val="24"/>
          <w:highlight w:val="none"/>
        </w:rPr>
        <w:t>万t/a)。</w:t>
      </w:r>
    </w:p>
    <w:p w14:paraId="6908E21A">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经计算，矿石在厂区内运输过程中的产尘量为</w:t>
      </w:r>
      <w:r>
        <w:rPr>
          <w:rFonts w:hint="default" w:ascii="Times New Roman" w:hAnsi="Times New Roman" w:cs="Times New Roman"/>
          <w:color w:val="auto"/>
          <w:sz w:val="24"/>
          <w:szCs w:val="24"/>
          <w:highlight w:val="none"/>
          <w:lang w:val="en-US" w:eastAsia="zh-CN"/>
        </w:rPr>
        <w:t>7.18</w:t>
      </w:r>
      <w:r>
        <w:rPr>
          <w:rFonts w:hint="default" w:ascii="Times New Roman" w:hAnsi="Times New Roman" w:cs="Times New Roman"/>
          <w:color w:val="auto"/>
          <w:sz w:val="24"/>
          <w:szCs w:val="24"/>
          <w:highlight w:val="none"/>
        </w:rPr>
        <w:t>t/a，本次环评要求建设方对项目区内路面定期派专人进行洒水降尘，运输车辆加盖篷布，严禁超速、超载。经采取上述措施后厂区道路扬尘状况可以得到明显改善，可抑制80%粉尘产生量，运输过程粉尘排放量为</w:t>
      </w:r>
      <w:r>
        <w:rPr>
          <w:rFonts w:hint="default" w:ascii="Times New Roman" w:hAnsi="Times New Roman" w:cs="Times New Roman"/>
          <w:color w:val="auto"/>
          <w:sz w:val="24"/>
          <w:szCs w:val="24"/>
          <w:highlight w:val="none"/>
          <w:lang w:eastAsia="zh-CN"/>
        </w:rPr>
        <w:t>1.44</w:t>
      </w:r>
      <w:r>
        <w:rPr>
          <w:rFonts w:hint="default" w:ascii="Times New Roman" w:hAnsi="Times New Roman" w:cs="Times New Roman"/>
          <w:color w:val="auto"/>
          <w:sz w:val="24"/>
          <w:szCs w:val="24"/>
          <w:highlight w:val="none"/>
        </w:rPr>
        <w:t>t/a，无组织排放。</w:t>
      </w:r>
    </w:p>
    <w:p w14:paraId="7BF34853">
      <w:pPr>
        <w:numPr>
          <w:ilvl w:val="0"/>
          <w:numId w:val="28"/>
        </w:numPr>
        <w:spacing w:beforeLines="0" w:afterLines="0"/>
        <w:ind w:firstLine="500"/>
        <w:rPr>
          <w:rFonts w:hint="default" w:ascii="Times New Roman" w:hAnsi="Times New Roman" w:cs="Times New Roman"/>
          <w:color w:val="FF0000"/>
          <w:sz w:val="24"/>
          <w:szCs w:val="24"/>
          <w:highlight w:val="none"/>
        </w:rPr>
      </w:pPr>
      <w:bookmarkStart w:id="155" w:name="4）筛分粉尘"/>
      <w:bookmarkEnd w:id="155"/>
      <w:r>
        <w:rPr>
          <w:rFonts w:hint="eastAsia" w:cs="Times New Roman"/>
          <w:color w:val="FF0000"/>
          <w:sz w:val="24"/>
          <w:szCs w:val="24"/>
          <w:highlight w:val="none"/>
          <w:lang w:val="en-US" w:eastAsia="zh-CN"/>
        </w:rPr>
        <w:t>工业广场原料堆场粉尘</w:t>
      </w:r>
    </w:p>
    <w:p w14:paraId="1902A888">
      <w:pPr>
        <w:spacing w:line="360" w:lineRule="auto"/>
        <w:ind w:firstLine="480" w:firstLineChars="200"/>
        <w:rPr>
          <w:rFonts w:hint="default" w:ascii="Times New Roman" w:hAnsi="Times New Roman" w:eastAsia="宋体" w:cs="Times New Roman"/>
          <w:color w:val="FF0000"/>
          <w:sz w:val="24"/>
          <w:szCs w:val="24"/>
          <w:highlight w:val="none"/>
          <w:lang w:val="en-US" w:eastAsia="zh-CN"/>
        </w:rPr>
      </w:pPr>
      <w:r>
        <w:rPr>
          <w:rFonts w:hint="eastAsia" w:ascii="Times New Roman" w:hAnsi="Times New Roman" w:eastAsia="宋体" w:cs="Times New Roman"/>
          <w:color w:val="FF0000"/>
          <w:sz w:val="24"/>
          <w:szCs w:val="24"/>
          <w:highlight w:val="none"/>
          <w:lang w:val="en-US" w:eastAsia="zh-CN"/>
        </w:rPr>
        <w:t>工业广场设置一个原料堆场，占地面积为600m</w:t>
      </w:r>
      <w:r>
        <w:rPr>
          <w:rFonts w:hint="eastAsia" w:ascii="Times New Roman" w:hAnsi="Times New Roman" w:eastAsia="宋体" w:cs="Times New Roman"/>
          <w:color w:val="FF0000"/>
          <w:sz w:val="24"/>
          <w:szCs w:val="24"/>
          <w:highlight w:val="none"/>
          <w:vertAlign w:val="superscript"/>
          <w:lang w:val="en-US" w:eastAsia="zh-CN"/>
        </w:rPr>
        <w:t>2</w:t>
      </w:r>
      <w:r>
        <w:rPr>
          <w:rFonts w:hint="eastAsia" w:ascii="Times New Roman" w:hAnsi="Times New Roman" w:eastAsia="宋体" w:cs="Times New Roman"/>
          <w:color w:val="FF0000"/>
          <w:sz w:val="24"/>
          <w:szCs w:val="24"/>
          <w:highlight w:val="none"/>
          <w:lang w:val="en-US" w:eastAsia="zh-CN"/>
        </w:rPr>
        <w:t>，</w:t>
      </w:r>
      <w:r>
        <w:rPr>
          <w:rFonts w:hint="default" w:ascii="Times New Roman" w:hAnsi="Times New Roman" w:eastAsia="宋体" w:cs="Times New Roman"/>
          <w:color w:val="FF0000"/>
          <w:sz w:val="24"/>
          <w:szCs w:val="24"/>
          <w:highlight w:val="none"/>
          <w:lang w:val="en-US" w:eastAsia="zh-CN"/>
        </w:rPr>
        <w:t>工业企业固体物料堆存颗粒物包括装卸场尘和风蚀扬尘，颗粒物产生量核算参考《工业源固体物料堆场颗粒物核算系数手册》，公式如下：</w:t>
      </w:r>
    </w:p>
    <w:p w14:paraId="3EF676BC">
      <w:pPr>
        <w:spacing w:line="240" w:lineRule="auto"/>
        <w:jc w:val="center"/>
        <w:rPr>
          <w:rFonts w:hint="default" w:ascii="Times New Roman" w:hAnsi="Times New Roman" w:eastAsia="宋体" w:cs="Times New Roman"/>
          <w:color w:val="FF0000"/>
          <w:sz w:val="24"/>
          <w:szCs w:val="24"/>
          <w:highlight w:val="none"/>
          <w:lang w:val="en-US" w:eastAsia="zh-CN"/>
        </w:rPr>
      </w:pPr>
      <w:r>
        <w:rPr>
          <w:rFonts w:hint="default" w:ascii="Times New Roman" w:hAnsi="Times New Roman" w:eastAsia="宋体" w:cs="Times New Roman"/>
          <w:color w:val="FF0000"/>
          <w:sz w:val="24"/>
          <w:szCs w:val="24"/>
          <w:highlight w:val="none"/>
        </w:rPr>
        <w:drawing>
          <wp:inline distT="0" distB="0" distL="114300" distR="114300">
            <wp:extent cx="3609975" cy="299720"/>
            <wp:effectExtent l="0" t="0" r="9525" b="5080"/>
            <wp:docPr id="5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
                    <pic:cNvPicPr>
                      <a:picLocks noChangeAspect="1"/>
                    </pic:cNvPicPr>
                  </pic:nvPicPr>
                  <pic:blipFill>
                    <a:blip r:embed="rId18"/>
                    <a:stretch>
                      <a:fillRect/>
                    </a:stretch>
                  </pic:blipFill>
                  <pic:spPr>
                    <a:xfrm>
                      <a:off x="0" y="0"/>
                      <a:ext cx="3609975" cy="299720"/>
                    </a:xfrm>
                    <a:prstGeom prst="rect">
                      <a:avLst/>
                    </a:prstGeom>
                    <a:noFill/>
                    <a:ln>
                      <a:noFill/>
                    </a:ln>
                  </pic:spPr>
                </pic:pic>
              </a:graphicData>
            </a:graphic>
          </wp:inline>
        </w:drawing>
      </w:r>
    </w:p>
    <w:p w14:paraId="0C57DC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FF0000"/>
          <w:sz w:val="24"/>
          <w:szCs w:val="24"/>
          <w:highlight w:val="none"/>
          <w:lang w:eastAsia="zh-CN"/>
        </w:rPr>
      </w:pPr>
      <w:r>
        <w:rPr>
          <w:rFonts w:hint="default" w:ascii="Times New Roman" w:hAnsi="Times New Roman" w:eastAsia="宋体" w:cs="Times New Roman"/>
          <w:color w:val="FF0000"/>
          <w:sz w:val="24"/>
          <w:szCs w:val="24"/>
          <w:highlight w:val="none"/>
          <w:lang w:eastAsia="zh-CN"/>
        </w:rPr>
        <w:t>式中：P指颗粒物产生量（单位：t）；</w:t>
      </w:r>
    </w:p>
    <w:p w14:paraId="30D507A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eastAsia="宋体" w:cs="Times New Roman"/>
          <w:color w:val="FF0000"/>
          <w:sz w:val="24"/>
          <w:szCs w:val="24"/>
          <w:highlight w:val="none"/>
          <w:lang w:eastAsia="zh-CN"/>
        </w:rPr>
      </w:pPr>
      <w:r>
        <w:rPr>
          <w:rFonts w:hint="default" w:ascii="Times New Roman" w:hAnsi="Times New Roman" w:eastAsia="宋体" w:cs="Times New Roman"/>
          <w:color w:val="FF0000"/>
          <w:sz w:val="24"/>
          <w:szCs w:val="24"/>
          <w:highlight w:val="none"/>
          <w:lang w:eastAsia="zh-CN"/>
        </w:rPr>
        <w:t>ZCy指装卸扬尘产生量（单位：t）；</w:t>
      </w:r>
    </w:p>
    <w:p w14:paraId="36E5229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eastAsia="宋体" w:cs="Times New Roman"/>
          <w:color w:val="FF0000"/>
          <w:sz w:val="24"/>
          <w:szCs w:val="24"/>
          <w:highlight w:val="none"/>
          <w:lang w:eastAsia="zh-CN"/>
        </w:rPr>
      </w:pPr>
      <w:r>
        <w:rPr>
          <w:rFonts w:hint="default" w:ascii="Times New Roman" w:hAnsi="Times New Roman" w:eastAsia="宋体" w:cs="Times New Roman"/>
          <w:color w:val="FF0000"/>
          <w:sz w:val="24"/>
          <w:szCs w:val="24"/>
          <w:highlight w:val="none"/>
          <w:lang w:eastAsia="zh-CN"/>
        </w:rPr>
        <w:t>FCy指风蚀扬尘产生量（单位：t）；</w:t>
      </w:r>
    </w:p>
    <w:p w14:paraId="1D2C5D3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eastAsia="宋体" w:cs="Times New Roman"/>
          <w:color w:val="FF0000"/>
          <w:sz w:val="24"/>
          <w:szCs w:val="24"/>
          <w:highlight w:val="none"/>
          <w:lang w:eastAsia="zh-CN"/>
        </w:rPr>
      </w:pPr>
      <w:r>
        <w:rPr>
          <w:rFonts w:hint="default" w:ascii="Times New Roman" w:hAnsi="Times New Roman" w:eastAsia="宋体" w:cs="Times New Roman"/>
          <w:color w:val="FF0000"/>
          <w:sz w:val="24"/>
          <w:szCs w:val="24"/>
          <w:highlight w:val="none"/>
          <w:lang w:eastAsia="zh-CN"/>
        </w:rPr>
        <w:t>Nc指年物料运载车次（</w:t>
      </w:r>
      <w:r>
        <w:rPr>
          <w:rFonts w:hint="eastAsia" w:ascii="Times New Roman" w:hAnsi="Times New Roman" w:eastAsia="宋体" w:cs="Times New Roman"/>
          <w:color w:val="FF0000"/>
          <w:sz w:val="24"/>
          <w:szCs w:val="24"/>
          <w:highlight w:val="none"/>
          <w:lang w:val="en-US" w:eastAsia="zh-CN"/>
        </w:rPr>
        <w:t>年加工80万</w:t>
      </w:r>
      <w:r>
        <w:rPr>
          <w:rFonts w:hint="default" w:ascii="Times New Roman" w:hAnsi="Times New Roman" w:eastAsia="宋体" w:cs="Times New Roman"/>
          <w:color w:val="FF0000"/>
          <w:sz w:val="24"/>
          <w:szCs w:val="24"/>
          <w:highlight w:val="none"/>
          <w:lang w:val="en-US" w:eastAsia="zh-CN"/>
        </w:rPr>
        <w:t>吨</w:t>
      </w:r>
      <w:r>
        <w:rPr>
          <w:rFonts w:hint="eastAsia" w:ascii="Times New Roman" w:hAnsi="Times New Roman" w:eastAsia="宋体" w:cs="Times New Roman"/>
          <w:color w:val="FF0000"/>
          <w:sz w:val="24"/>
          <w:szCs w:val="24"/>
          <w:highlight w:val="none"/>
          <w:lang w:val="en-US" w:eastAsia="zh-CN"/>
        </w:rPr>
        <w:t>，26667</w:t>
      </w:r>
      <w:r>
        <w:rPr>
          <w:rFonts w:hint="default" w:ascii="Times New Roman" w:hAnsi="Times New Roman" w:eastAsia="宋体" w:cs="Times New Roman"/>
          <w:color w:val="FF0000"/>
          <w:sz w:val="24"/>
          <w:szCs w:val="24"/>
          <w:highlight w:val="none"/>
          <w:lang w:eastAsia="zh-CN"/>
        </w:rPr>
        <w:t>车/a）；</w:t>
      </w:r>
    </w:p>
    <w:p w14:paraId="0435F69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eastAsia="宋体" w:cs="Times New Roman"/>
          <w:color w:val="FF0000"/>
          <w:sz w:val="24"/>
          <w:szCs w:val="24"/>
          <w:highlight w:val="none"/>
          <w:lang w:eastAsia="zh-CN"/>
        </w:rPr>
      </w:pPr>
      <w:r>
        <w:rPr>
          <w:rFonts w:hint="default" w:ascii="Times New Roman" w:hAnsi="Times New Roman" w:eastAsia="宋体" w:cs="Times New Roman"/>
          <w:color w:val="FF0000"/>
          <w:sz w:val="24"/>
          <w:szCs w:val="24"/>
          <w:highlight w:val="none"/>
          <w:lang w:eastAsia="zh-CN"/>
        </w:rPr>
        <w:t>D指单车平均运载量（30t/车）；</w:t>
      </w:r>
    </w:p>
    <w:p w14:paraId="4F08B6E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eastAsia="宋体" w:cs="Times New Roman"/>
          <w:color w:val="FF0000"/>
          <w:sz w:val="24"/>
          <w:szCs w:val="24"/>
          <w:highlight w:val="none"/>
          <w:lang w:eastAsia="zh-CN"/>
        </w:rPr>
      </w:pPr>
      <w:r>
        <w:rPr>
          <w:rFonts w:hint="default" w:ascii="Times New Roman" w:hAnsi="Times New Roman" w:eastAsia="宋体" w:cs="Times New Roman"/>
          <w:color w:val="FF0000"/>
          <w:sz w:val="24"/>
          <w:szCs w:val="24"/>
          <w:highlight w:val="none"/>
          <w:lang w:eastAsia="zh-CN"/>
        </w:rPr>
        <w:t>（a/b）指装卸扬尘概化系数（单位：kg/t），a指各省风速概化系数，见附录1（0.0011），b指物料含水率概化系数，见附录2（0.0</w:t>
      </w:r>
      <w:r>
        <w:rPr>
          <w:rFonts w:hint="default" w:ascii="Times New Roman" w:hAnsi="Times New Roman" w:eastAsia="宋体" w:cs="Times New Roman"/>
          <w:color w:val="FF0000"/>
          <w:sz w:val="24"/>
          <w:szCs w:val="24"/>
          <w:highlight w:val="none"/>
          <w:lang w:val="en-US" w:eastAsia="zh-CN"/>
        </w:rPr>
        <w:t>084</w:t>
      </w:r>
      <w:r>
        <w:rPr>
          <w:rFonts w:hint="default" w:ascii="Times New Roman" w:hAnsi="Times New Roman" w:eastAsia="宋体" w:cs="Times New Roman"/>
          <w:color w:val="FF0000"/>
          <w:sz w:val="24"/>
          <w:szCs w:val="24"/>
          <w:highlight w:val="none"/>
          <w:lang w:eastAsia="zh-CN"/>
        </w:rPr>
        <w:t>）；</w:t>
      </w:r>
    </w:p>
    <w:p w14:paraId="072510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eastAsia="宋体" w:cs="Times New Roman"/>
          <w:color w:val="FF0000"/>
          <w:sz w:val="24"/>
          <w:szCs w:val="24"/>
          <w:highlight w:val="none"/>
          <w:lang w:eastAsia="zh-CN"/>
        </w:rPr>
      </w:pPr>
      <w:r>
        <w:rPr>
          <w:rFonts w:hint="default" w:ascii="Times New Roman" w:hAnsi="Times New Roman" w:eastAsia="宋体" w:cs="Times New Roman"/>
          <w:color w:val="FF0000"/>
          <w:sz w:val="24"/>
          <w:szCs w:val="24"/>
          <w:highlight w:val="none"/>
          <w:lang w:eastAsia="zh-CN"/>
        </w:rPr>
        <w:t>Ef指堆场风蚀扬尘概化系数，见附录3（</w:t>
      </w:r>
      <w:r>
        <w:rPr>
          <w:rFonts w:hint="eastAsia" w:ascii="Times New Roman" w:hAnsi="Times New Roman" w:eastAsia="宋体" w:cs="Times New Roman"/>
          <w:color w:val="FF0000"/>
          <w:sz w:val="24"/>
          <w:szCs w:val="24"/>
          <w:highlight w:val="none"/>
          <w:lang w:val="en-US" w:eastAsia="zh-CN"/>
        </w:rPr>
        <w:t>41.5808</w:t>
      </w:r>
      <w:r>
        <w:rPr>
          <w:rFonts w:hint="default" w:ascii="Times New Roman" w:hAnsi="Times New Roman" w:eastAsia="宋体" w:cs="Times New Roman"/>
          <w:color w:val="FF0000"/>
          <w:sz w:val="24"/>
          <w:szCs w:val="24"/>
          <w:highlight w:val="none"/>
          <w:lang w:eastAsia="zh-CN"/>
        </w:rPr>
        <w:t>kg/m</w:t>
      </w:r>
      <w:r>
        <w:rPr>
          <w:rFonts w:hint="default" w:ascii="Times New Roman" w:hAnsi="Times New Roman" w:eastAsia="宋体" w:cs="Times New Roman"/>
          <w:color w:val="FF0000"/>
          <w:sz w:val="24"/>
          <w:szCs w:val="24"/>
          <w:highlight w:val="none"/>
          <w:vertAlign w:val="superscript"/>
          <w:lang w:eastAsia="zh-CN"/>
        </w:rPr>
        <w:t>2</w:t>
      </w:r>
      <w:r>
        <w:rPr>
          <w:rFonts w:hint="default" w:ascii="Times New Roman" w:hAnsi="Times New Roman" w:eastAsia="宋体" w:cs="Times New Roman"/>
          <w:color w:val="FF0000"/>
          <w:sz w:val="24"/>
          <w:szCs w:val="24"/>
          <w:highlight w:val="none"/>
          <w:lang w:eastAsia="zh-CN"/>
        </w:rPr>
        <w:t>）；</w:t>
      </w:r>
    </w:p>
    <w:p w14:paraId="76823C0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eastAsia="宋体" w:cs="Times New Roman"/>
          <w:color w:val="FF0000"/>
          <w:sz w:val="24"/>
          <w:szCs w:val="24"/>
          <w:highlight w:val="none"/>
          <w:lang w:eastAsia="zh-CN"/>
        </w:rPr>
      </w:pPr>
      <w:r>
        <w:rPr>
          <w:rFonts w:hint="default" w:ascii="Times New Roman" w:hAnsi="Times New Roman" w:eastAsia="宋体" w:cs="Times New Roman"/>
          <w:color w:val="FF0000"/>
          <w:sz w:val="24"/>
          <w:szCs w:val="24"/>
          <w:highlight w:val="none"/>
          <w:lang w:eastAsia="zh-CN"/>
        </w:rPr>
        <w:t>S指堆场占地面积（</w:t>
      </w:r>
      <w:r>
        <w:rPr>
          <w:rFonts w:hint="eastAsia" w:ascii="Times New Roman" w:hAnsi="Times New Roman" w:eastAsia="宋体" w:cs="Times New Roman"/>
          <w:color w:val="FF0000"/>
          <w:sz w:val="24"/>
          <w:szCs w:val="24"/>
          <w:highlight w:val="none"/>
          <w:lang w:val="en-US" w:eastAsia="zh-CN"/>
        </w:rPr>
        <w:t>600</w:t>
      </w:r>
      <w:r>
        <w:rPr>
          <w:rFonts w:hint="default" w:ascii="Times New Roman" w:hAnsi="Times New Roman" w:eastAsia="宋体" w:cs="Times New Roman"/>
          <w:color w:val="FF0000"/>
          <w:sz w:val="24"/>
          <w:szCs w:val="24"/>
          <w:highlight w:val="none"/>
          <w:lang w:eastAsia="zh-CN"/>
        </w:rPr>
        <w:t>m</w:t>
      </w:r>
      <w:r>
        <w:rPr>
          <w:rFonts w:hint="default" w:ascii="Times New Roman" w:hAnsi="Times New Roman" w:eastAsia="宋体" w:cs="Times New Roman"/>
          <w:color w:val="FF0000"/>
          <w:sz w:val="24"/>
          <w:szCs w:val="24"/>
          <w:highlight w:val="none"/>
          <w:vertAlign w:val="superscript"/>
          <w:lang w:eastAsia="zh-CN"/>
        </w:rPr>
        <w:t>2</w:t>
      </w:r>
      <w:r>
        <w:rPr>
          <w:rFonts w:hint="default" w:ascii="Times New Roman" w:hAnsi="Times New Roman" w:eastAsia="宋体" w:cs="Times New Roman"/>
          <w:color w:val="FF0000"/>
          <w:sz w:val="24"/>
          <w:szCs w:val="24"/>
          <w:highlight w:val="none"/>
          <w:lang w:eastAsia="zh-CN"/>
        </w:rPr>
        <w:t>）。</w:t>
      </w:r>
    </w:p>
    <w:p w14:paraId="4D05FC8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FF0000"/>
          <w:sz w:val="24"/>
          <w:szCs w:val="24"/>
          <w:highlight w:val="none"/>
          <w:lang w:eastAsia="zh-CN"/>
        </w:rPr>
      </w:pPr>
      <w:r>
        <w:rPr>
          <w:rFonts w:hint="default" w:ascii="Times New Roman" w:hAnsi="Times New Roman" w:eastAsia="宋体" w:cs="Times New Roman"/>
          <w:color w:val="FF0000"/>
          <w:sz w:val="24"/>
          <w:szCs w:val="24"/>
          <w:highlight w:val="none"/>
          <w:lang w:eastAsia="zh-CN"/>
        </w:rPr>
        <w:t>经计算，项目堆场起尘量为</w:t>
      </w:r>
      <w:r>
        <w:rPr>
          <w:rFonts w:hint="eastAsia" w:ascii="Times New Roman" w:hAnsi="Times New Roman" w:eastAsia="宋体" w:cs="Times New Roman"/>
          <w:color w:val="FF0000"/>
          <w:sz w:val="24"/>
          <w:szCs w:val="24"/>
          <w:highlight w:val="none"/>
          <w:lang w:val="en-US" w:eastAsia="zh-CN"/>
        </w:rPr>
        <w:t>99.86</w:t>
      </w:r>
      <w:r>
        <w:rPr>
          <w:rFonts w:hint="default" w:ascii="Times New Roman" w:hAnsi="Times New Roman" w:eastAsia="宋体" w:cs="Times New Roman"/>
          <w:color w:val="FF0000"/>
          <w:sz w:val="24"/>
          <w:szCs w:val="24"/>
          <w:highlight w:val="none"/>
          <w:lang w:eastAsia="zh-CN"/>
        </w:rPr>
        <w:t>t/a。</w:t>
      </w:r>
    </w:p>
    <w:p w14:paraId="092F522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FF0000"/>
          <w:sz w:val="24"/>
          <w:szCs w:val="24"/>
          <w:highlight w:val="none"/>
          <w:lang w:eastAsia="zh-CN"/>
        </w:rPr>
      </w:pPr>
      <w:r>
        <w:rPr>
          <w:rFonts w:hint="default" w:ascii="Times New Roman" w:hAnsi="Times New Roman" w:eastAsia="宋体" w:cs="Times New Roman"/>
          <w:color w:val="FF0000"/>
          <w:sz w:val="24"/>
          <w:szCs w:val="24"/>
          <w:highlight w:val="none"/>
        </w:rPr>
        <w:t>根据《中华人民共和国大气污染防治法》工业污染防治中相关条款明确工业生产企业应当采取密闭、围挡、遮盖、清扫、洒水等措施，减少内部物料的堆存、装卸等环节产生的粉尘和气态污染物的排放。由此对本项目堆料场采用封闭，采取生产原料少量多次运输方案，并尽可能减少生产原料在堆场的堆放时间；</w:t>
      </w:r>
      <w:r>
        <w:rPr>
          <w:rFonts w:hint="default" w:ascii="Times New Roman" w:hAnsi="Times New Roman" w:eastAsia="宋体" w:cs="Times New Roman"/>
          <w:bCs/>
          <w:snapToGrid w:val="0"/>
          <w:color w:val="FF0000"/>
          <w:sz w:val="24"/>
          <w:szCs w:val="24"/>
          <w:highlight w:val="none"/>
          <w:lang w:val="en-US" w:eastAsia="zh-CN"/>
        </w:rPr>
        <w:t>取料</w:t>
      </w:r>
      <w:r>
        <w:rPr>
          <w:rFonts w:hint="eastAsia" w:cs="Times New Roman"/>
          <w:bCs/>
          <w:snapToGrid w:val="0"/>
          <w:color w:val="FF0000"/>
          <w:sz w:val="24"/>
          <w:szCs w:val="24"/>
          <w:highlight w:val="none"/>
          <w:lang w:val="en-US" w:eastAsia="zh-CN"/>
        </w:rPr>
        <w:t>时</w:t>
      </w:r>
      <w:r>
        <w:rPr>
          <w:rFonts w:hint="default" w:ascii="Times New Roman" w:hAnsi="Times New Roman" w:eastAsia="宋体" w:cs="Times New Roman"/>
          <w:b w:val="0"/>
          <w:bCs w:val="0"/>
          <w:color w:val="FF0000"/>
          <w:sz w:val="24"/>
          <w:szCs w:val="24"/>
          <w:highlight w:val="none"/>
          <w:lang w:val="en-US" w:eastAsia="zh-CN"/>
        </w:rPr>
        <w:t>洒水</w:t>
      </w:r>
      <w:r>
        <w:rPr>
          <w:rFonts w:hint="eastAsia" w:ascii="Times New Roman" w:hAnsi="Times New Roman" w:eastAsia="宋体" w:cs="Times New Roman"/>
          <w:b w:val="0"/>
          <w:bCs w:val="0"/>
          <w:color w:val="FF0000"/>
          <w:sz w:val="24"/>
          <w:szCs w:val="24"/>
          <w:highlight w:val="none"/>
          <w:lang w:val="en-US" w:eastAsia="zh-CN"/>
        </w:rPr>
        <w:t>抑尘</w:t>
      </w:r>
      <w:r>
        <w:rPr>
          <w:rFonts w:hint="default" w:ascii="Times New Roman" w:hAnsi="Times New Roman" w:eastAsia="宋体" w:cs="Times New Roman"/>
          <w:color w:val="FF0000"/>
          <w:sz w:val="24"/>
          <w:szCs w:val="24"/>
          <w:highlight w:val="none"/>
        </w:rPr>
        <w:t>。</w:t>
      </w:r>
      <w:r>
        <w:rPr>
          <w:rFonts w:hint="default" w:ascii="Times New Roman" w:hAnsi="Times New Roman" w:eastAsia="宋体" w:cs="Times New Roman"/>
          <w:color w:val="FF0000"/>
          <w:sz w:val="24"/>
          <w:szCs w:val="24"/>
          <w:highlight w:val="none"/>
          <w:lang w:eastAsia="zh-CN"/>
        </w:rPr>
        <w:t>在采取上述治理措施后，项目堆场最终粉尘排放量详见如下：</w:t>
      </w:r>
    </w:p>
    <w:p w14:paraId="22FBD2D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FF0000"/>
          <w:sz w:val="24"/>
          <w:szCs w:val="24"/>
          <w:highlight w:val="none"/>
          <w:lang w:eastAsia="zh-CN"/>
        </w:rPr>
      </w:pPr>
      <w:r>
        <w:rPr>
          <w:rFonts w:hint="default" w:ascii="Times New Roman" w:hAnsi="Times New Roman" w:eastAsia="宋体" w:cs="Times New Roman"/>
          <w:color w:val="FF0000"/>
          <w:sz w:val="24"/>
          <w:szCs w:val="24"/>
          <w:highlight w:val="none"/>
        </w:rPr>
        <w:drawing>
          <wp:anchor distT="0" distB="0" distL="114300" distR="114300" simplePos="0" relativeHeight="251668480" behindDoc="0" locked="0" layoutInCell="1" allowOverlap="1">
            <wp:simplePos x="0" y="0"/>
            <wp:positionH relativeFrom="column">
              <wp:posOffset>1545590</wp:posOffset>
            </wp:positionH>
            <wp:positionV relativeFrom="paragraph">
              <wp:posOffset>240665</wp:posOffset>
            </wp:positionV>
            <wp:extent cx="2286000" cy="228600"/>
            <wp:effectExtent l="0" t="0" r="0" b="0"/>
            <wp:wrapNone/>
            <wp:docPr id="5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
                    <pic:cNvPicPr>
                      <a:picLocks noChangeAspect="1"/>
                    </pic:cNvPicPr>
                  </pic:nvPicPr>
                  <pic:blipFill>
                    <a:blip r:embed="rId19"/>
                    <a:stretch>
                      <a:fillRect/>
                    </a:stretch>
                  </pic:blipFill>
                  <pic:spPr>
                    <a:xfrm>
                      <a:off x="0" y="0"/>
                      <a:ext cx="2286000" cy="228600"/>
                    </a:xfrm>
                    <a:prstGeom prst="rect">
                      <a:avLst/>
                    </a:prstGeom>
                    <a:noFill/>
                    <a:ln>
                      <a:noFill/>
                    </a:ln>
                  </pic:spPr>
                </pic:pic>
              </a:graphicData>
            </a:graphic>
          </wp:anchor>
        </w:drawing>
      </w:r>
      <w:r>
        <w:rPr>
          <w:rFonts w:hint="default" w:ascii="Times New Roman" w:hAnsi="Times New Roman" w:eastAsia="宋体" w:cs="Times New Roman"/>
          <w:color w:val="FF0000"/>
          <w:sz w:val="24"/>
          <w:szCs w:val="24"/>
          <w:highlight w:val="none"/>
          <w:lang w:eastAsia="zh-CN"/>
        </w:rPr>
        <w:t>工业企业固体物料堆场颗粒物排放量核算公式如下：</w:t>
      </w:r>
    </w:p>
    <w:p w14:paraId="53511C5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FF0000"/>
          <w:sz w:val="24"/>
          <w:szCs w:val="24"/>
          <w:highlight w:val="none"/>
          <w:lang w:eastAsia="zh-CN"/>
        </w:rPr>
      </w:pPr>
    </w:p>
    <w:p w14:paraId="09683CF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FF0000"/>
          <w:sz w:val="24"/>
          <w:szCs w:val="24"/>
          <w:highlight w:val="none"/>
          <w:lang w:eastAsia="zh-CN"/>
        </w:rPr>
      </w:pPr>
      <w:r>
        <w:rPr>
          <w:rFonts w:hint="default" w:ascii="Times New Roman" w:hAnsi="Times New Roman" w:eastAsia="宋体" w:cs="Times New Roman"/>
          <w:color w:val="FF0000"/>
          <w:sz w:val="24"/>
          <w:szCs w:val="24"/>
          <w:highlight w:val="none"/>
          <w:lang w:eastAsia="zh-CN"/>
        </w:rPr>
        <w:t>式中：P指颗粒物产生量（单位：t）；</w:t>
      </w:r>
    </w:p>
    <w:p w14:paraId="1C8F1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eastAsia="宋体" w:cs="Times New Roman"/>
          <w:color w:val="FF0000"/>
          <w:sz w:val="24"/>
          <w:szCs w:val="24"/>
          <w:highlight w:val="none"/>
          <w:lang w:eastAsia="zh-CN"/>
        </w:rPr>
      </w:pPr>
      <w:r>
        <w:rPr>
          <w:rFonts w:hint="default" w:ascii="Times New Roman" w:hAnsi="Times New Roman" w:eastAsia="宋体" w:cs="Times New Roman"/>
          <w:color w:val="FF0000"/>
          <w:sz w:val="24"/>
          <w:szCs w:val="24"/>
          <w:highlight w:val="none"/>
          <w:lang w:eastAsia="zh-CN"/>
        </w:rPr>
        <w:t>Uc指颗粒物排放量（单位：t）；</w:t>
      </w:r>
    </w:p>
    <w:p w14:paraId="39207F3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eastAsia="宋体" w:cs="Times New Roman"/>
          <w:color w:val="FF0000"/>
          <w:sz w:val="24"/>
          <w:szCs w:val="24"/>
          <w:highlight w:val="none"/>
          <w:lang w:eastAsia="zh-CN"/>
        </w:rPr>
      </w:pPr>
      <w:r>
        <w:rPr>
          <w:rFonts w:hint="default" w:ascii="Times New Roman" w:hAnsi="Times New Roman" w:eastAsia="宋体" w:cs="Times New Roman"/>
          <w:color w:val="FF0000"/>
          <w:sz w:val="24"/>
          <w:szCs w:val="24"/>
          <w:highlight w:val="none"/>
          <w:lang w:eastAsia="zh-CN"/>
        </w:rPr>
        <w:t>Cm指颗粒物控制措施控制效率（单位：%），见附录4（</w:t>
      </w:r>
      <w:r>
        <w:rPr>
          <w:rFonts w:hint="eastAsia" w:ascii="Times New Roman" w:hAnsi="Times New Roman" w:eastAsia="宋体" w:cs="Times New Roman"/>
          <w:color w:val="FF0000"/>
          <w:sz w:val="24"/>
          <w:szCs w:val="24"/>
          <w:highlight w:val="none"/>
          <w:lang w:val="en-US" w:eastAsia="zh-CN"/>
        </w:rPr>
        <w:t>洒水74</w:t>
      </w:r>
      <w:r>
        <w:rPr>
          <w:rFonts w:hint="default" w:ascii="Times New Roman" w:hAnsi="Times New Roman" w:eastAsia="宋体" w:cs="Times New Roman"/>
          <w:color w:val="FF0000"/>
          <w:sz w:val="24"/>
          <w:szCs w:val="24"/>
          <w:highlight w:val="none"/>
          <w:lang w:eastAsia="zh-CN"/>
        </w:rPr>
        <w:t>%）；</w:t>
      </w:r>
    </w:p>
    <w:p w14:paraId="00E71BA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eastAsia="宋体" w:cs="Times New Roman"/>
          <w:color w:val="FF0000"/>
          <w:sz w:val="24"/>
          <w:szCs w:val="24"/>
          <w:highlight w:val="none"/>
          <w:lang w:eastAsia="zh-CN"/>
        </w:rPr>
      </w:pPr>
      <w:r>
        <w:rPr>
          <w:rFonts w:hint="default" w:ascii="Times New Roman" w:hAnsi="Times New Roman" w:eastAsia="宋体" w:cs="Times New Roman"/>
          <w:color w:val="FF0000"/>
          <w:sz w:val="24"/>
          <w:szCs w:val="24"/>
          <w:highlight w:val="none"/>
          <w:lang w:eastAsia="zh-CN"/>
        </w:rPr>
        <w:t>Tm指堆场类型控制效率（单位：%），见附录5（</w:t>
      </w:r>
      <w:r>
        <w:rPr>
          <w:rFonts w:hint="eastAsia" w:ascii="Times New Roman" w:hAnsi="Times New Roman" w:eastAsia="宋体" w:cs="Times New Roman"/>
          <w:color w:val="FF0000"/>
          <w:sz w:val="24"/>
          <w:szCs w:val="24"/>
          <w:highlight w:val="none"/>
          <w:lang w:val="en-US" w:eastAsia="zh-CN"/>
        </w:rPr>
        <w:t>全封闭99</w:t>
      </w:r>
      <w:r>
        <w:rPr>
          <w:rFonts w:hint="default" w:ascii="Times New Roman" w:hAnsi="Times New Roman" w:eastAsia="宋体" w:cs="Times New Roman"/>
          <w:color w:val="FF0000"/>
          <w:sz w:val="24"/>
          <w:szCs w:val="24"/>
          <w:highlight w:val="none"/>
          <w:lang w:eastAsia="zh-CN"/>
        </w:rPr>
        <w:t>%）。</w:t>
      </w:r>
    </w:p>
    <w:p w14:paraId="633ED40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FF0000"/>
          <w:sz w:val="24"/>
          <w:szCs w:val="24"/>
          <w:highlight w:val="none"/>
          <w:lang w:eastAsia="zh-CN"/>
        </w:rPr>
      </w:pPr>
      <w:r>
        <w:rPr>
          <w:rFonts w:hint="default" w:ascii="Times New Roman" w:hAnsi="Times New Roman" w:eastAsia="宋体" w:cs="Times New Roman"/>
          <w:color w:val="FF0000"/>
          <w:sz w:val="24"/>
          <w:szCs w:val="24"/>
          <w:highlight w:val="none"/>
          <w:lang w:eastAsia="zh-CN"/>
        </w:rPr>
        <w:t>经理论计算公式可知，项目</w:t>
      </w:r>
      <w:r>
        <w:rPr>
          <w:rFonts w:hint="eastAsia" w:ascii="Times New Roman" w:hAnsi="Times New Roman" w:eastAsia="宋体" w:cs="Times New Roman"/>
          <w:color w:val="FF0000"/>
          <w:sz w:val="24"/>
          <w:szCs w:val="24"/>
          <w:highlight w:val="none"/>
          <w:lang w:val="en-US" w:eastAsia="zh-CN"/>
        </w:rPr>
        <w:t>原料</w:t>
      </w:r>
      <w:r>
        <w:rPr>
          <w:rFonts w:hint="default" w:ascii="Times New Roman" w:hAnsi="Times New Roman" w:eastAsia="宋体" w:cs="Times New Roman"/>
          <w:color w:val="FF0000"/>
          <w:sz w:val="24"/>
          <w:szCs w:val="24"/>
          <w:highlight w:val="none"/>
          <w:lang w:eastAsia="zh-CN"/>
        </w:rPr>
        <w:t>堆场最终粉尘排放量为</w:t>
      </w:r>
      <w:r>
        <w:rPr>
          <w:rFonts w:hint="eastAsia" w:ascii="Times New Roman" w:hAnsi="Times New Roman" w:eastAsia="宋体" w:cs="Times New Roman"/>
          <w:color w:val="FF0000"/>
          <w:sz w:val="24"/>
          <w:szCs w:val="24"/>
          <w:highlight w:val="none"/>
          <w:lang w:val="en-US" w:eastAsia="zh-CN"/>
        </w:rPr>
        <w:t>0.26t/a</w:t>
      </w:r>
      <w:r>
        <w:rPr>
          <w:rFonts w:hint="default" w:ascii="Times New Roman" w:hAnsi="Times New Roman" w:eastAsia="宋体" w:cs="Times New Roman"/>
          <w:color w:val="FF0000"/>
          <w:sz w:val="24"/>
          <w:szCs w:val="24"/>
          <w:highlight w:val="none"/>
          <w:lang w:eastAsia="zh-CN"/>
        </w:rPr>
        <w:t>。</w:t>
      </w:r>
    </w:p>
    <w:p w14:paraId="6EAAAD79">
      <w:pPr>
        <w:numPr>
          <w:ilvl w:val="0"/>
          <w:numId w:val="28"/>
        </w:numPr>
        <w:spacing w:beforeLines="0" w:afterLines="0"/>
        <w:ind w:firstLine="5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筛分粉尘</w:t>
      </w:r>
    </w:p>
    <w:p w14:paraId="4B871A28">
      <w:pPr>
        <w:spacing w:beforeLines="0" w:afterLines="0"/>
        <w:rPr>
          <w:rFonts w:hint="default" w:ascii="Times New Roman" w:hAnsi="Times New Roman" w:cs="Times New Roman"/>
          <w:color w:val="0000FF"/>
          <w:sz w:val="24"/>
          <w:szCs w:val="24"/>
          <w:highlight w:val="none"/>
          <w:lang w:val="en-US" w:eastAsia="zh-CN"/>
        </w:rPr>
      </w:pPr>
      <w:r>
        <w:rPr>
          <w:rFonts w:hint="default" w:ascii="Times New Roman" w:hAnsi="Times New Roman" w:cs="Times New Roman"/>
          <w:color w:val="auto"/>
          <w:sz w:val="24"/>
          <w:szCs w:val="24"/>
          <w:highlight w:val="none"/>
        </w:rPr>
        <w:t>本项目原矿筛分过程中会产生一定量的粉尘。参照《逸散性工业粉尘控制技术》（中国环境科学出版社，1989.12）中表18-1粒料加工逸尘排放因子，筛分粉尘的排放因子为 0.</w:t>
      </w:r>
      <w:r>
        <w:rPr>
          <w:rFonts w:hint="default" w:ascii="Times New Roman" w:hAnsi="Times New Roman" w:cs="Times New Roman"/>
          <w:color w:val="auto"/>
          <w:sz w:val="24"/>
          <w:szCs w:val="24"/>
          <w:highlight w:val="none"/>
          <w:lang w:val="en-US" w:eastAsia="zh-CN"/>
        </w:rPr>
        <w:t>05</w:t>
      </w:r>
      <w:r>
        <w:rPr>
          <w:rFonts w:hint="default" w:ascii="Times New Roman" w:hAnsi="Times New Roman" w:cs="Times New Roman"/>
          <w:color w:val="auto"/>
          <w:sz w:val="24"/>
          <w:szCs w:val="24"/>
          <w:highlight w:val="none"/>
        </w:rPr>
        <w:t>kg/t-物料，</w:t>
      </w:r>
      <w:r>
        <w:rPr>
          <w:rFonts w:hint="default" w:ascii="Times New Roman" w:hAnsi="Times New Roman" w:cs="Times New Roman"/>
          <w:color w:val="0000FF"/>
          <w:sz w:val="24"/>
          <w:szCs w:val="24"/>
          <w:highlight w:val="none"/>
        </w:rPr>
        <w:t>本项目</w:t>
      </w:r>
      <w:r>
        <w:rPr>
          <w:rFonts w:hint="default" w:ascii="Times New Roman" w:hAnsi="Times New Roman" w:cs="Times New Roman"/>
          <w:color w:val="0000FF"/>
          <w:sz w:val="24"/>
          <w:szCs w:val="24"/>
          <w:highlight w:val="none"/>
          <w:lang w:val="en-US" w:eastAsia="zh-CN"/>
        </w:rPr>
        <w:t>石英砂</w:t>
      </w:r>
      <w:r>
        <w:rPr>
          <w:rFonts w:hint="default" w:ascii="Times New Roman" w:hAnsi="Times New Roman" w:cs="Times New Roman"/>
          <w:color w:val="0000FF"/>
          <w:sz w:val="24"/>
          <w:szCs w:val="24"/>
          <w:highlight w:val="none"/>
        </w:rPr>
        <w:t>产量为</w:t>
      </w:r>
      <w:r>
        <w:rPr>
          <w:rFonts w:hint="default" w:ascii="Times New Roman" w:hAnsi="Times New Roman" w:cs="Times New Roman"/>
          <w:color w:val="0000FF"/>
          <w:sz w:val="24"/>
          <w:szCs w:val="24"/>
          <w:highlight w:val="none"/>
          <w:lang w:val="en-US" w:eastAsia="zh-CN"/>
        </w:rPr>
        <w:t>80</w:t>
      </w:r>
      <w:r>
        <w:rPr>
          <w:rFonts w:hint="default" w:ascii="Times New Roman" w:hAnsi="Times New Roman" w:cs="Times New Roman"/>
          <w:color w:val="0000FF"/>
          <w:sz w:val="24"/>
          <w:szCs w:val="24"/>
          <w:highlight w:val="none"/>
        </w:rPr>
        <w:t>万t/a，则筛分粉尘产生量为</w:t>
      </w:r>
      <w:r>
        <w:rPr>
          <w:rFonts w:hint="default" w:ascii="Times New Roman" w:hAnsi="Times New Roman" w:cs="Times New Roman"/>
          <w:color w:val="0000FF"/>
          <w:sz w:val="24"/>
          <w:szCs w:val="24"/>
          <w:highlight w:val="none"/>
          <w:lang w:val="en-US" w:eastAsia="zh-CN"/>
        </w:rPr>
        <w:t>40</w:t>
      </w:r>
      <w:r>
        <w:rPr>
          <w:rFonts w:hint="default" w:ascii="Times New Roman" w:hAnsi="Times New Roman" w:cs="Times New Roman"/>
          <w:color w:val="0000FF"/>
          <w:sz w:val="24"/>
          <w:szCs w:val="24"/>
          <w:highlight w:val="none"/>
        </w:rPr>
        <w:t>t/a，</w:t>
      </w:r>
      <w:r>
        <w:rPr>
          <w:rFonts w:hint="default" w:ascii="Times New Roman" w:hAnsi="Times New Roman" w:cs="Times New Roman"/>
          <w:color w:val="0000FF"/>
          <w:sz w:val="24"/>
          <w:szCs w:val="24"/>
          <w:highlight w:val="none"/>
          <w:lang w:val="en-US" w:eastAsia="zh-CN"/>
        </w:rPr>
        <w:t>产生</w:t>
      </w:r>
      <w:r>
        <w:rPr>
          <w:rFonts w:hint="default" w:ascii="Times New Roman" w:hAnsi="Times New Roman" w:cs="Times New Roman"/>
          <w:color w:val="0000FF"/>
          <w:sz w:val="24"/>
          <w:szCs w:val="24"/>
          <w:highlight w:val="none"/>
        </w:rPr>
        <w:t>速率为</w:t>
      </w:r>
      <w:r>
        <w:rPr>
          <w:rFonts w:hint="eastAsia" w:cs="Times New Roman"/>
          <w:color w:val="0000FF"/>
          <w:sz w:val="24"/>
          <w:szCs w:val="24"/>
          <w:highlight w:val="none"/>
          <w:lang w:val="en-US" w:eastAsia="zh-CN"/>
        </w:rPr>
        <w:t>8.33</w:t>
      </w:r>
      <w:r>
        <w:rPr>
          <w:rFonts w:hint="default" w:ascii="Times New Roman" w:hAnsi="Times New Roman" w:cs="Times New Roman"/>
          <w:color w:val="0000FF"/>
          <w:sz w:val="24"/>
          <w:szCs w:val="24"/>
          <w:highlight w:val="none"/>
        </w:rPr>
        <w:t>kg/h</w:t>
      </w:r>
      <w:r>
        <w:rPr>
          <w:rFonts w:hint="default" w:ascii="Times New Roman" w:hAnsi="Times New Roman" w:cs="Times New Roman"/>
          <w:color w:val="0000FF"/>
          <w:sz w:val="24"/>
          <w:szCs w:val="24"/>
          <w:highlight w:val="none"/>
          <w:lang w:eastAsia="zh-CN"/>
        </w:rPr>
        <w:t>，</w:t>
      </w:r>
      <w:r>
        <w:rPr>
          <w:rFonts w:hint="default" w:ascii="Times New Roman" w:hAnsi="Times New Roman" w:cs="Times New Roman"/>
          <w:color w:val="0000FF"/>
          <w:sz w:val="24"/>
          <w:szCs w:val="24"/>
          <w:highlight w:val="none"/>
          <w:lang w:val="en-US" w:eastAsia="zh-CN"/>
        </w:rPr>
        <w:t>这部分废气采用在设备上方</w:t>
      </w:r>
      <w:r>
        <w:rPr>
          <w:rFonts w:hint="default" w:ascii="Times New Roman" w:hAnsi="Times New Roman" w:cs="Times New Roman"/>
          <w:color w:val="0000FF"/>
          <w:sz w:val="24"/>
          <w:szCs w:val="24"/>
          <w:highlight w:val="none"/>
        </w:rPr>
        <w:t>设置集气罩</w:t>
      </w:r>
      <w:r>
        <w:rPr>
          <w:rFonts w:hint="default" w:ascii="Times New Roman" w:hAnsi="Times New Roman" w:cs="Times New Roman"/>
          <w:color w:val="0000FF"/>
          <w:sz w:val="24"/>
          <w:szCs w:val="24"/>
          <w:highlight w:val="none"/>
          <w:lang w:val="en-US" w:eastAsia="zh-CN"/>
        </w:rPr>
        <w:t>+布袋除尘器处理后经15m高排气筒排放，集气罩收集效率为90%，</w:t>
      </w:r>
      <w:r>
        <w:rPr>
          <w:rFonts w:hint="default" w:ascii="Times New Roman" w:hAnsi="Times New Roman" w:cs="Times New Roman"/>
          <w:color w:val="0000FF"/>
          <w:sz w:val="24"/>
          <w:szCs w:val="24"/>
          <w:highlight w:val="none"/>
        </w:rPr>
        <w:t>布袋除尘器的除尘效率按99.</w:t>
      </w:r>
      <w:r>
        <w:rPr>
          <w:rFonts w:hint="default" w:ascii="Times New Roman" w:hAnsi="Times New Roman" w:cs="Times New Roman"/>
          <w:color w:val="0000FF"/>
          <w:sz w:val="24"/>
          <w:szCs w:val="24"/>
          <w:highlight w:val="none"/>
          <w:lang w:val="en-US" w:eastAsia="zh-CN"/>
        </w:rPr>
        <w:t>6</w:t>
      </w:r>
      <w:r>
        <w:rPr>
          <w:rFonts w:hint="default" w:ascii="Times New Roman" w:hAnsi="Times New Roman" w:cs="Times New Roman"/>
          <w:color w:val="0000FF"/>
          <w:sz w:val="24"/>
          <w:szCs w:val="24"/>
          <w:highlight w:val="none"/>
        </w:rPr>
        <w:t>%计</w:t>
      </w:r>
      <w:r>
        <w:rPr>
          <w:rFonts w:hint="default" w:ascii="Times New Roman" w:hAnsi="Times New Roman" w:cs="Times New Roman"/>
          <w:color w:val="0000FF"/>
          <w:sz w:val="24"/>
          <w:szCs w:val="24"/>
          <w:highlight w:val="none"/>
          <w:lang w:eastAsia="zh-CN"/>
        </w:rPr>
        <w:t>，</w:t>
      </w:r>
      <w:r>
        <w:rPr>
          <w:rFonts w:hint="default" w:ascii="Times New Roman" w:hAnsi="Times New Roman" w:cs="Times New Roman"/>
          <w:color w:val="0000FF"/>
          <w:sz w:val="24"/>
          <w:szCs w:val="24"/>
          <w:highlight w:val="none"/>
        </w:rPr>
        <w:t>除尘器风量为1</w:t>
      </w:r>
      <w:r>
        <w:rPr>
          <w:rFonts w:hint="default" w:ascii="Times New Roman" w:hAnsi="Times New Roman" w:cs="Times New Roman"/>
          <w:color w:val="0000FF"/>
          <w:sz w:val="24"/>
          <w:szCs w:val="24"/>
          <w:highlight w:val="none"/>
          <w:lang w:val="en-US" w:eastAsia="zh-CN"/>
        </w:rPr>
        <w:t>2</w:t>
      </w:r>
      <w:r>
        <w:rPr>
          <w:rFonts w:hint="default" w:ascii="Times New Roman" w:hAnsi="Times New Roman" w:cs="Times New Roman"/>
          <w:color w:val="0000FF"/>
          <w:sz w:val="24"/>
          <w:szCs w:val="24"/>
          <w:highlight w:val="none"/>
        </w:rPr>
        <w:t>000m</w:t>
      </w:r>
      <w:r>
        <w:rPr>
          <w:rFonts w:hint="default" w:ascii="Times New Roman" w:hAnsi="Times New Roman" w:cs="Times New Roman"/>
          <w:color w:val="0000FF"/>
          <w:sz w:val="24"/>
          <w:szCs w:val="24"/>
          <w:highlight w:val="none"/>
          <w:vertAlign w:val="superscript"/>
        </w:rPr>
        <w:t>3</w:t>
      </w:r>
      <w:r>
        <w:rPr>
          <w:rFonts w:hint="default" w:ascii="Times New Roman" w:hAnsi="Times New Roman" w:cs="Times New Roman"/>
          <w:color w:val="0000FF"/>
          <w:sz w:val="24"/>
          <w:szCs w:val="24"/>
          <w:highlight w:val="none"/>
        </w:rPr>
        <w:t>/h</w:t>
      </w:r>
      <w:r>
        <w:rPr>
          <w:rFonts w:hint="default" w:ascii="Times New Roman" w:hAnsi="Times New Roman" w:cs="Times New Roman"/>
          <w:color w:val="0000FF"/>
          <w:sz w:val="24"/>
          <w:szCs w:val="24"/>
          <w:highlight w:val="none"/>
          <w:lang w:eastAsia="zh-CN"/>
        </w:rPr>
        <w:t>，</w:t>
      </w:r>
      <w:r>
        <w:rPr>
          <w:rFonts w:hint="default" w:ascii="Times New Roman" w:hAnsi="Times New Roman" w:cs="Times New Roman"/>
          <w:color w:val="0000FF"/>
          <w:sz w:val="24"/>
          <w:szCs w:val="24"/>
          <w:highlight w:val="none"/>
          <w:lang w:val="en-US" w:eastAsia="zh-CN"/>
        </w:rPr>
        <w:t>本项目污染物产生情况如下表。</w:t>
      </w:r>
    </w:p>
    <w:p w14:paraId="727A53F0">
      <w:pPr>
        <w:pStyle w:val="45"/>
        <w:spacing w:beforeLines="0" w:afterLines="0"/>
        <w:rPr>
          <w:rFonts w:hint="default" w:ascii="Times New Roman" w:hAnsi="Times New Roman" w:cs="Times New Roman"/>
          <w:color w:val="0000FF"/>
          <w:sz w:val="24"/>
          <w:szCs w:val="24"/>
          <w:highlight w:val="none"/>
          <w:lang w:val="en-US" w:eastAsia="zh-CN"/>
        </w:rPr>
      </w:pPr>
      <w:r>
        <w:rPr>
          <w:rFonts w:hint="default" w:ascii="Times New Roman" w:hAnsi="Times New Roman" w:cs="Times New Roman"/>
          <w:color w:val="0000FF"/>
          <w:sz w:val="24"/>
          <w:szCs w:val="24"/>
          <w:highlight w:val="none"/>
          <w:lang w:val="en-US" w:eastAsia="zh-CN"/>
        </w:rPr>
        <w:t>表3.</w:t>
      </w:r>
      <w:r>
        <w:rPr>
          <w:rFonts w:hint="eastAsia" w:ascii="Times New Roman" w:hAnsi="Times New Roman" w:cs="Times New Roman"/>
          <w:color w:val="0000FF"/>
          <w:sz w:val="24"/>
          <w:szCs w:val="24"/>
          <w:highlight w:val="none"/>
          <w:lang w:val="en-US" w:eastAsia="zh-CN"/>
        </w:rPr>
        <w:t>8</w:t>
      </w:r>
      <w:r>
        <w:rPr>
          <w:rFonts w:hint="default" w:ascii="Times New Roman" w:hAnsi="Times New Roman" w:cs="Times New Roman"/>
          <w:color w:val="0000FF"/>
          <w:sz w:val="24"/>
          <w:szCs w:val="24"/>
          <w:highlight w:val="none"/>
          <w:lang w:val="en-US" w:eastAsia="zh-CN"/>
        </w:rPr>
        <w:t>-5   筛分环节</w:t>
      </w:r>
      <w:r>
        <w:rPr>
          <w:rFonts w:hint="eastAsia" w:ascii="Times New Roman" w:hAnsi="Times New Roman" w:cs="Times New Roman"/>
          <w:color w:val="0000FF"/>
          <w:sz w:val="24"/>
          <w:szCs w:val="24"/>
          <w:highlight w:val="none"/>
          <w:lang w:val="en-US" w:eastAsia="zh-CN"/>
        </w:rPr>
        <w:t>有组织</w:t>
      </w:r>
      <w:r>
        <w:rPr>
          <w:rFonts w:hint="default" w:ascii="Times New Roman" w:hAnsi="Times New Roman" w:cs="Times New Roman"/>
          <w:color w:val="0000FF"/>
          <w:sz w:val="24"/>
          <w:szCs w:val="24"/>
          <w:highlight w:val="none"/>
          <w:lang w:val="en-US" w:eastAsia="zh-CN"/>
        </w:rPr>
        <w:t>粉尘产生排放情况一览表</w:t>
      </w:r>
    </w:p>
    <w:tbl>
      <w:tblPr>
        <w:tblStyle w:val="31"/>
        <w:tblW w:w="496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26"/>
        <w:gridCol w:w="1026"/>
        <w:gridCol w:w="1293"/>
        <w:gridCol w:w="1026"/>
        <w:gridCol w:w="1293"/>
        <w:gridCol w:w="1293"/>
        <w:gridCol w:w="1026"/>
        <w:gridCol w:w="1239"/>
      </w:tblGrid>
      <w:tr w14:paraId="2F2D45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556" w:type="pct"/>
            <w:tcBorders>
              <w:top w:val="single" w:color="auto" w:sz="4" w:space="0"/>
              <w:left w:val="single" w:color="auto" w:sz="4" w:space="0"/>
              <w:bottom w:val="single" w:color="auto" w:sz="4" w:space="0"/>
              <w:right w:val="single" w:color="auto" w:sz="4" w:space="0"/>
              <w:tl2br w:val="nil"/>
              <w:tr2bl w:val="nil"/>
            </w:tcBorders>
            <w:noWrap/>
            <w:vAlign w:val="center"/>
          </w:tcPr>
          <w:p w14:paraId="014D6FFB">
            <w:pPr>
              <w:pStyle w:val="48"/>
              <w:spacing w:beforeLines="0" w:afterLines="0"/>
              <w:rPr>
                <w:rFonts w:hint="default" w:ascii="Times New Roman" w:hAnsi="Times New Roman" w:cs="Times New Roman"/>
                <w:color w:val="0000FF"/>
                <w:sz w:val="24"/>
                <w:szCs w:val="24"/>
                <w:highlight w:val="none"/>
              </w:rPr>
            </w:pPr>
            <w:r>
              <w:rPr>
                <w:rFonts w:hint="default" w:ascii="Times New Roman" w:hAnsi="Times New Roman" w:cs="Times New Roman"/>
                <w:color w:val="0000FF"/>
                <w:sz w:val="24"/>
                <w:szCs w:val="24"/>
                <w:highlight w:val="none"/>
                <w:lang w:val="en-US" w:eastAsia="zh-CN"/>
              </w:rPr>
              <w:t>污染物</w:t>
            </w:r>
          </w:p>
        </w:tc>
        <w:tc>
          <w:tcPr>
            <w:tcW w:w="556" w:type="pct"/>
            <w:tcBorders>
              <w:top w:val="single" w:color="auto" w:sz="4" w:space="0"/>
              <w:left w:val="single" w:color="auto" w:sz="4" w:space="0"/>
              <w:bottom w:val="single" w:color="auto" w:sz="4" w:space="0"/>
              <w:right w:val="single" w:color="auto" w:sz="4" w:space="0"/>
              <w:tl2br w:val="nil"/>
              <w:tr2bl w:val="nil"/>
            </w:tcBorders>
            <w:noWrap/>
            <w:vAlign w:val="center"/>
          </w:tcPr>
          <w:p w14:paraId="442B53FA">
            <w:pPr>
              <w:pStyle w:val="48"/>
              <w:spacing w:beforeLines="0" w:afterLines="0"/>
              <w:jc w:val="center"/>
              <w:rPr>
                <w:rFonts w:hint="default" w:ascii="Times New Roman" w:hAnsi="Times New Roman" w:cs="Times New Roman"/>
                <w:color w:val="0000FF"/>
                <w:sz w:val="24"/>
                <w:szCs w:val="24"/>
                <w:highlight w:val="none"/>
                <w:lang w:val="en-US" w:eastAsia="zh-CN"/>
              </w:rPr>
            </w:pPr>
            <w:r>
              <w:rPr>
                <w:rFonts w:hint="default" w:ascii="Times New Roman" w:hAnsi="Times New Roman" w:cs="Times New Roman"/>
                <w:color w:val="0000FF"/>
                <w:sz w:val="24"/>
                <w:szCs w:val="24"/>
                <w:highlight w:val="none"/>
                <w:lang w:val="en-US" w:eastAsia="zh-CN"/>
              </w:rPr>
              <w:t>废气量</w:t>
            </w:r>
          </w:p>
          <w:p w14:paraId="473054E0">
            <w:pPr>
              <w:pStyle w:val="48"/>
              <w:spacing w:beforeLines="0" w:afterLines="0"/>
              <w:jc w:val="center"/>
              <w:rPr>
                <w:rFonts w:hint="default" w:ascii="Times New Roman" w:hAnsi="Times New Roman" w:cs="Times New Roman"/>
                <w:color w:val="0000FF"/>
                <w:sz w:val="24"/>
                <w:szCs w:val="24"/>
                <w:highlight w:val="none"/>
              </w:rPr>
            </w:pPr>
            <w:r>
              <w:rPr>
                <w:rFonts w:hint="default" w:ascii="Times New Roman" w:hAnsi="Times New Roman" w:cs="Times New Roman"/>
                <w:color w:val="0000FF"/>
                <w:sz w:val="24"/>
                <w:szCs w:val="24"/>
                <w:highlight w:val="none"/>
              </w:rPr>
              <w:t>m</w:t>
            </w:r>
            <w:r>
              <w:rPr>
                <w:rFonts w:hint="default" w:ascii="Times New Roman" w:hAnsi="Times New Roman" w:cs="Times New Roman"/>
                <w:color w:val="0000FF"/>
                <w:sz w:val="24"/>
                <w:szCs w:val="24"/>
                <w:highlight w:val="none"/>
                <w:vertAlign w:val="superscript"/>
              </w:rPr>
              <w:t>3</w:t>
            </w:r>
            <w:r>
              <w:rPr>
                <w:rFonts w:hint="default" w:ascii="Times New Roman" w:hAnsi="Times New Roman" w:cs="Times New Roman"/>
                <w:color w:val="0000FF"/>
                <w:sz w:val="24"/>
                <w:szCs w:val="24"/>
                <w:highlight w:val="none"/>
              </w:rPr>
              <w:t>/h</w:t>
            </w:r>
          </w:p>
        </w:tc>
        <w:tc>
          <w:tcPr>
            <w:tcW w:w="700" w:type="pct"/>
            <w:tcBorders>
              <w:top w:val="single" w:color="auto" w:sz="4" w:space="0"/>
              <w:left w:val="single" w:color="auto" w:sz="4" w:space="0"/>
              <w:bottom w:val="single" w:color="auto" w:sz="4" w:space="0"/>
              <w:right w:val="single" w:color="auto" w:sz="4" w:space="0"/>
              <w:tl2br w:val="nil"/>
              <w:tr2bl w:val="nil"/>
            </w:tcBorders>
            <w:noWrap/>
            <w:vAlign w:val="center"/>
          </w:tcPr>
          <w:p w14:paraId="71DF7C42">
            <w:pPr>
              <w:pStyle w:val="48"/>
              <w:spacing w:beforeLines="0" w:afterLines="0"/>
              <w:jc w:val="center"/>
              <w:rPr>
                <w:rFonts w:hint="default" w:ascii="Times New Roman" w:hAnsi="Times New Roman" w:cs="Times New Roman"/>
                <w:color w:val="0000FF"/>
                <w:sz w:val="24"/>
                <w:szCs w:val="24"/>
                <w:highlight w:val="none"/>
                <w:lang w:val="en-US" w:eastAsia="zh-CN"/>
              </w:rPr>
            </w:pPr>
            <w:r>
              <w:rPr>
                <w:rFonts w:hint="default" w:ascii="Times New Roman" w:hAnsi="Times New Roman" w:cs="Times New Roman"/>
                <w:color w:val="0000FF"/>
                <w:sz w:val="24"/>
                <w:szCs w:val="24"/>
                <w:highlight w:val="none"/>
                <w:lang w:val="en-US" w:eastAsia="zh-CN"/>
              </w:rPr>
              <w:t>产生浓度</w:t>
            </w:r>
          </w:p>
          <w:p w14:paraId="27C01CD6">
            <w:pPr>
              <w:pStyle w:val="48"/>
              <w:spacing w:beforeLines="0" w:afterLines="0"/>
              <w:jc w:val="center"/>
              <w:rPr>
                <w:rFonts w:hint="default" w:ascii="Times New Roman" w:hAnsi="Times New Roman" w:cs="Times New Roman"/>
                <w:color w:val="0000FF"/>
                <w:sz w:val="24"/>
                <w:szCs w:val="24"/>
                <w:highlight w:val="none"/>
              </w:rPr>
            </w:pPr>
            <w:r>
              <w:rPr>
                <w:rFonts w:hint="default" w:ascii="Times New Roman" w:hAnsi="Times New Roman" w:cs="Times New Roman"/>
                <w:color w:val="0000FF"/>
                <w:sz w:val="24"/>
                <w:szCs w:val="24"/>
                <w:highlight w:val="none"/>
              </w:rPr>
              <w:t>mg/m</w:t>
            </w:r>
            <w:r>
              <w:rPr>
                <w:rFonts w:hint="default" w:ascii="Times New Roman" w:hAnsi="Times New Roman" w:cs="Times New Roman"/>
                <w:color w:val="0000FF"/>
                <w:sz w:val="24"/>
                <w:szCs w:val="24"/>
                <w:highlight w:val="none"/>
                <w:vertAlign w:val="superscript"/>
              </w:rPr>
              <w:t>3</w:t>
            </w:r>
          </w:p>
        </w:tc>
        <w:tc>
          <w:tcPr>
            <w:tcW w:w="556" w:type="pct"/>
            <w:tcBorders>
              <w:top w:val="single" w:color="auto" w:sz="4" w:space="0"/>
              <w:left w:val="single" w:color="auto" w:sz="4" w:space="0"/>
              <w:bottom w:val="single" w:color="auto" w:sz="4" w:space="0"/>
              <w:right w:val="single" w:color="auto" w:sz="4" w:space="0"/>
              <w:tl2br w:val="nil"/>
              <w:tr2bl w:val="nil"/>
            </w:tcBorders>
            <w:noWrap/>
            <w:vAlign w:val="center"/>
          </w:tcPr>
          <w:p w14:paraId="7B28E3AA">
            <w:pPr>
              <w:pStyle w:val="48"/>
              <w:spacing w:beforeLines="0" w:afterLines="0"/>
              <w:jc w:val="center"/>
              <w:rPr>
                <w:rFonts w:hint="default" w:ascii="Times New Roman" w:hAnsi="Times New Roman" w:cs="Times New Roman"/>
                <w:color w:val="0000FF"/>
                <w:sz w:val="24"/>
                <w:szCs w:val="24"/>
                <w:highlight w:val="none"/>
                <w:lang w:val="en-US" w:eastAsia="zh-CN"/>
              </w:rPr>
            </w:pPr>
            <w:r>
              <w:rPr>
                <w:rFonts w:hint="default" w:ascii="Times New Roman" w:hAnsi="Times New Roman" w:cs="Times New Roman"/>
                <w:color w:val="0000FF"/>
                <w:sz w:val="24"/>
                <w:szCs w:val="24"/>
                <w:highlight w:val="none"/>
                <w:lang w:val="en-US" w:eastAsia="zh-CN"/>
              </w:rPr>
              <w:t>产生量</w:t>
            </w:r>
          </w:p>
          <w:p w14:paraId="49991EE1">
            <w:pPr>
              <w:pStyle w:val="48"/>
              <w:spacing w:beforeLines="0" w:afterLines="0"/>
              <w:jc w:val="center"/>
              <w:rPr>
                <w:rFonts w:hint="default" w:ascii="Times New Roman" w:hAnsi="Times New Roman" w:cs="Times New Roman"/>
                <w:color w:val="0000FF"/>
                <w:sz w:val="24"/>
                <w:szCs w:val="24"/>
                <w:highlight w:val="none"/>
              </w:rPr>
            </w:pPr>
            <w:r>
              <w:rPr>
                <w:rFonts w:hint="default" w:ascii="Times New Roman" w:hAnsi="Times New Roman" w:cs="Times New Roman"/>
                <w:color w:val="0000FF"/>
                <w:sz w:val="24"/>
                <w:szCs w:val="24"/>
                <w:highlight w:val="none"/>
                <w:lang w:val="en-US" w:eastAsia="zh-CN"/>
              </w:rPr>
              <w:t>t/a</w:t>
            </w:r>
          </w:p>
        </w:tc>
        <w:tc>
          <w:tcPr>
            <w:tcW w:w="700" w:type="pct"/>
            <w:tcBorders>
              <w:top w:val="single" w:color="auto" w:sz="4" w:space="0"/>
              <w:left w:val="single" w:color="auto" w:sz="4" w:space="0"/>
              <w:bottom w:val="single" w:color="auto" w:sz="4" w:space="0"/>
              <w:right w:val="single" w:color="auto" w:sz="4" w:space="0"/>
              <w:tl2br w:val="nil"/>
              <w:tr2bl w:val="nil"/>
            </w:tcBorders>
            <w:noWrap/>
            <w:vAlign w:val="center"/>
          </w:tcPr>
          <w:p w14:paraId="37DFB042">
            <w:pPr>
              <w:pStyle w:val="48"/>
              <w:spacing w:beforeLines="0" w:afterLines="0"/>
              <w:jc w:val="center"/>
              <w:rPr>
                <w:rFonts w:hint="default" w:ascii="Times New Roman" w:hAnsi="Times New Roman" w:cs="Times New Roman"/>
                <w:color w:val="0000FF"/>
                <w:sz w:val="24"/>
                <w:szCs w:val="24"/>
                <w:highlight w:val="none"/>
                <w:lang w:val="en-US" w:eastAsia="zh-CN"/>
              </w:rPr>
            </w:pPr>
            <w:r>
              <w:rPr>
                <w:rFonts w:hint="default" w:ascii="Times New Roman" w:hAnsi="Times New Roman" w:cs="Times New Roman"/>
                <w:color w:val="0000FF"/>
                <w:sz w:val="24"/>
                <w:szCs w:val="24"/>
                <w:highlight w:val="none"/>
                <w:lang w:val="en-US" w:eastAsia="zh-CN"/>
              </w:rPr>
              <w:t>产生速率</w:t>
            </w:r>
          </w:p>
          <w:p w14:paraId="00F4B0A7">
            <w:pPr>
              <w:pStyle w:val="48"/>
              <w:spacing w:beforeLines="0" w:afterLines="0"/>
              <w:jc w:val="center"/>
              <w:rPr>
                <w:rFonts w:hint="default" w:ascii="Times New Roman" w:hAnsi="Times New Roman" w:cs="Times New Roman"/>
                <w:color w:val="0000FF"/>
                <w:sz w:val="24"/>
                <w:szCs w:val="24"/>
                <w:highlight w:val="none"/>
              </w:rPr>
            </w:pPr>
            <w:r>
              <w:rPr>
                <w:rFonts w:hint="default" w:ascii="Times New Roman" w:hAnsi="Times New Roman" w:cs="Times New Roman"/>
                <w:color w:val="0000FF"/>
                <w:sz w:val="24"/>
                <w:szCs w:val="24"/>
                <w:highlight w:val="none"/>
                <w:lang w:val="en-US" w:eastAsia="zh-CN"/>
              </w:rPr>
              <w:t>kg/h</w:t>
            </w:r>
          </w:p>
        </w:tc>
        <w:tc>
          <w:tcPr>
            <w:tcW w:w="700" w:type="pct"/>
            <w:tcBorders>
              <w:top w:val="single" w:color="auto" w:sz="4" w:space="0"/>
              <w:left w:val="single" w:color="auto" w:sz="4" w:space="0"/>
              <w:bottom w:val="single" w:color="auto" w:sz="4" w:space="0"/>
              <w:right w:val="single" w:color="auto" w:sz="4" w:space="0"/>
              <w:tl2br w:val="nil"/>
              <w:tr2bl w:val="nil"/>
            </w:tcBorders>
            <w:noWrap/>
            <w:vAlign w:val="center"/>
          </w:tcPr>
          <w:p w14:paraId="4E043BD3">
            <w:pPr>
              <w:pStyle w:val="48"/>
              <w:spacing w:beforeLines="0" w:afterLines="0"/>
              <w:jc w:val="center"/>
              <w:rPr>
                <w:rFonts w:hint="default" w:ascii="Times New Roman" w:hAnsi="Times New Roman" w:cs="Times New Roman"/>
                <w:color w:val="0000FF"/>
                <w:sz w:val="24"/>
                <w:szCs w:val="24"/>
                <w:highlight w:val="none"/>
                <w:lang w:val="en-US" w:eastAsia="zh-CN"/>
              </w:rPr>
            </w:pPr>
            <w:r>
              <w:rPr>
                <w:rFonts w:hint="default" w:ascii="Times New Roman" w:hAnsi="Times New Roman" w:cs="Times New Roman"/>
                <w:color w:val="0000FF"/>
                <w:sz w:val="24"/>
                <w:szCs w:val="24"/>
                <w:highlight w:val="none"/>
                <w:lang w:val="en-US" w:eastAsia="zh-CN"/>
              </w:rPr>
              <w:t>排放浓度</w:t>
            </w:r>
          </w:p>
          <w:p w14:paraId="799086A9">
            <w:pPr>
              <w:pStyle w:val="48"/>
              <w:spacing w:beforeLines="0" w:afterLines="0"/>
              <w:jc w:val="center"/>
              <w:rPr>
                <w:rFonts w:hint="default" w:ascii="Times New Roman" w:hAnsi="Times New Roman" w:cs="Times New Roman"/>
                <w:color w:val="0000FF"/>
                <w:sz w:val="24"/>
                <w:szCs w:val="24"/>
                <w:highlight w:val="none"/>
              </w:rPr>
            </w:pPr>
            <w:r>
              <w:rPr>
                <w:rFonts w:hint="default" w:ascii="Times New Roman" w:hAnsi="Times New Roman" w:cs="Times New Roman"/>
                <w:color w:val="0000FF"/>
                <w:sz w:val="24"/>
                <w:szCs w:val="24"/>
                <w:highlight w:val="none"/>
              </w:rPr>
              <w:t>mg/m</w:t>
            </w:r>
            <w:r>
              <w:rPr>
                <w:rFonts w:hint="default" w:ascii="Times New Roman" w:hAnsi="Times New Roman" w:cs="Times New Roman"/>
                <w:color w:val="0000FF"/>
                <w:sz w:val="24"/>
                <w:szCs w:val="24"/>
                <w:highlight w:val="none"/>
                <w:vertAlign w:val="superscript"/>
              </w:rPr>
              <w:t>3</w:t>
            </w:r>
          </w:p>
        </w:tc>
        <w:tc>
          <w:tcPr>
            <w:tcW w:w="556" w:type="pct"/>
            <w:tcBorders>
              <w:top w:val="single" w:color="auto" w:sz="4" w:space="0"/>
              <w:left w:val="single" w:color="auto" w:sz="4" w:space="0"/>
              <w:bottom w:val="single" w:color="auto" w:sz="4" w:space="0"/>
              <w:right w:val="single" w:color="auto" w:sz="4" w:space="0"/>
              <w:tl2br w:val="nil"/>
              <w:tr2bl w:val="nil"/>
            </w:tcBorders>
            <w:noWrap/>
            <w:vAlign w:val="center"/>
          </w:tcPr>
          <w:p w14:paraId="10123061">
            <w:pPr>
              <w:pStyle w:val="48"/>
              <w:spacing w:beforeLines="0" w:afterLines="0"/>
              <w:jc w:val="center"/>
              <w:rPr>
                <w:rFonts w:hint="default" w:ascii="Times New Roman" w:hAnsi="Times New Roman" w:cs="Times New Roman"/>
                <w:color w:val="0000FF"/>
                <w:sz w:val="24"/>
                <w:szCs w:val="24"/>
                <w:highlight w:val="none"/>
                <w:lang w:val="en-US" w:eastAsia="zh-CN"/>
              </w:rPr>
            </w:pPr>
            <w:r>
              <w:rPr>
                <w:rFonts w:hint="default" w:ascii="Times New Roman" w:hAnsi="Times New Roman" w:cs="Times New Roman"/>
                <w:color w:val="0000FF"/>
                <w:sz w:val="24"/>
                <w:szCs w:val="24"/>
                <w:highlight w:val="none"/>
                <w:lang w:val="en-US" w:eastAsia="zh-CN"/>
              </w:rPr>
              <w:t>排放量</w:t>
            </w:r>
          </w:p>
          <w:p w14:paraId="1DD2672D">
            <w:pPr>
              <w:pStyle w:val="48"/>
              <w:spacing w:beforeLines="0" w:afterLines="0"/>
              <w:jc w:val="center"/>
              <w:rPr>
                <w:rFonts w:hint="default" w:ascii="Times New Roman" w:hAnsi="Times New Roman" w:cs="Times New Roman"/>
                <w:color w:val="0000FF"/>
                <w:sz w:val="24"/>
                <w:szCs w:val="24"/>
                <w:highlight w:val="none"/>
              </w:rPr>
            </w:pPr>
            <w:r>
              <w:rPr>
                <w:rFonts w:hint="default" w:ascii="Times New Roman" w:hAnsi="Times New Roman" w:cs="Times New Roman"/>
                <w:color w:val="0000FF"/>
                <w:sz w:val="24"/>
                <w:szCs w:val="24"/>
                <w:highlight w:val="none"/>
                <w:lang w:val="en-US" w:eastAsia="zh-CN"/>
              </w:rPr>
              <w:t>t/a</w:t>
            </w:r>
          </w:p>
        </w:tc>
        <w:tc>
          <w:tcPr>
            <w:tcW w:w="671" w:type="pct"/>
            <w:tcBorders>
              <w:top w:val="single" w:color="auto" w:sz="4" w:space="0"/>
              <w:left w:val="single" w:color="auto" w:sz="4" w:space="0"/>
              <w:bottom w:val="single" w:color="auto" w:sz="4" w:space="0"/>
              <w:right w:val="single" w:color="auto" w:sz="4" w:space="0"/>
              <w:tl2br w:val="nil"/>
              <w:tr2bl w:val="nil"/>
            </w:tcBorders>
            <w:noWrap/>
            <w:vAlign w:val="center"/>
          </w:tcPr>
          <w:p w14:paraId="7A7837F6">
            <w:pPr>
              <w:pStyle w:val="48"/>
              <w:spacing w:beforeLines="0" w:afterLines="0"/>
              <w:jc w:val="center"/>
              <w:rPr>
                <w:rFonts w:hint="default" w:ascii="Times New Roman" w:hAnsi="Times New Roman" w:cs="Times New Roman"/>
                <w:color w:val="0000FF"/>
                <w:sz w:val="24"/>
                <w:szCs w:val="24"/>
                <w:highlight w:val="none"/>
                <w:lang w:val="en-US" w:eastAsia="zh-CN"/>
              </w:rPr>
            </w:pPr>
            <w:r>
              <w:rPr>
                <w:rFonts w:hint="default" w:ascii="Times New Roman" w:hAnsi="Times New Roman" w:cs="Times New Roman"/>
                <w:color w:val="0000FF"/>
                <w:sz w:val="24"/>
                <w:szCs w:val="24"/>
                <w:highlight w:val="none"/>
                <w:lang w:val="en-US" w:eastAsia="zh-CN"/>
              </w:rPr>
              <w:t>排放速率</w:t>
            </w:r>
          </w:p>
          <w:p w14:paraId="6465AE17">
            <w:pPr>
              <w:pStyle w:val="48"/>
              <w:spacing w:beforeLines="0" w:afterLines="0"/>
              <w:jc w:val="center"/>
              <w:rPr>
                <w:rFonts w:hint="default" w:ascii="Times New Roman" w:hAnsi="Times New Roman" w:cs="Times New Roman"/>
                <w:color w:val="0000FF"/>
                <w:sz w:val="24"/>
                <w:szCs w:val="24"/>
                <w:highlight w:val="none"/>
              </w:rPr>
            </w:pPr>
            <w:r>
              <w:rPr>
                <w:rFonts w:hint="default" w:ascii="Times New Roman" w:hAnsi="Times New Roman" w:cs="Times New Roman"/>
                <w:color w:val="0000FF"/>
                <w:sz w:val="24"/>
                <w:szCs w:val="24"/>
                <w:highlight w:val="none"/>
                <w:lang w:val="en-US" w:eastAsia="zh-CN"/>
              </w:rPr>
              <w:t>kg/h</w:t>
            </w:r>
          </w:p>
        </w:tc>
      </w:tr>
      <w:tr w14:paraId="72DEC7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556" w:type="pct"/>
            <w:tcBorders>
              <w:top w:val="single" w:color="auto" w:sz="4" w:space="0"/>
              <w:left w:val="single" w:color="auto" w:sz="4" w:space="0"/>
              <w:bottom w:val="single" w:color="auto" w:sz="4" w:space="0"/>
              <w:right w:val="single" w:color="auto" w:sz="4" w:space="0"/>
              <w:tl2br w:val="nil"/>
              <w:tr2bl w:val="nil"/>
            </w:tcBorders>
            <w:noWrap/>
            <w:vAlign w:val="center"/>
          </w:tcPr>
          <w:p w14:paraId="4231D10C">
            <w:pPr>
              <w:pStyle w:val="48"/>
              <w:spacing w:beforeLines="0" w:afterLines="0"/>
              <w:rPr>
                <w:rFonts w:hint="default" w:ascii="Times New Roman" w:hAnsi="Times New Roman" w:cs="Times New Roman"/>
                <w:color w:val="0000FF"/>
                <w:sz w:val="24"/>
                <w:szCs w:val="24"/>
                <w:highlight w:val="none"/>
              </w:rPr>
            </w:pPr>
            <w:r>
              <w:rPr>
                <w:rFonts w:hint="default" w:ascii="Times New Roman" w:hAnsi="Times New Roman" w:cs="Times New Roman"/>
                <w:color w:val="0000FF"/>
                <w:sz w:val="24"/>
                <w:szCs w:val="24"/>
                <w:highlight w:val="none"/>
                <w:lang w:val="en-US" w:eastAsia="zh-CN"/>
              </w:rPr>
              <w:t>颗粒物</w:t>
            </w:r>
          </w:p>
        </w:tc>
        <w:tc>
          <w:tcPr>
            <w:tcW w:w="1035" w:type="dxa"/>
            <w:tcBorders>
              <w:top w:val="single" w:color="auto" w:sz="4" w:space="0"/>
              <w:left w:val="single" w:color="auto" w:sz="4" w:space="0"/>
              <w:bottom w:val="single" w:color="auto" w:sz="4" w:space="0"/>
              <w:right w:val="single" w:color="auto" w:sz="4" w:space="0"/>
              <w:tl2br w:val="nil"/>
              <w:tr2bl w:val="nil"/>
            </w:tcBorders>
            <w:noWrap/>
            <w:vAlign w:val="center"/>
          </w:tcPr>
          <w:p w14:paraId="01A6E2E1">
            <w:pPr>
              <w:keepNext w:val="0"/>
              <w:keepLines w:val="0"/>
              <w:pageBreakBefore w:val="0"/>
              <w:widowControl/>
              <w:suppressLineNumbers w:val="0"/>
              <w:kinsoku/>
              <w:wordWrap/>
              <w:overflowPunct/>
              <w:topLinePunct w:val="0"/>
              <w:autoSpaceDE w:val="0"/>
              <w:autoSpaceDN w:val="0"/>
              <w:bidi w:val="0"/>
              <w:adjustRightInd w:val="0"/>
              <w:snapToGrid/>
              <w:spacing w:line="240" w:lineRule="auto"/>
              <w:ind w:firstLine="0" w:firstLineChars="0"/>
              <w:jc w:val="center"/>
              <w:textAlignment w:val="center"/>
              <w:rPr>
                <w:rFonts w:hint="default" w:ascii="Times New Roman" w:hAnsi="Times New Roman" w:cs="Times New Roman"/>
                <w:color w:val="0000FF"/>
                <w:highlight w:val="none"/>
                <w:lang w:val="en-US" w:eastAsia="zh-CN"/>
              </w:rPr>
            </w:pPr>
            <w:r>
              <w:rPr>
                <w:rFonts w:hint="default" w:ascii="Times New Roman" w:hAnsi="Times New Roman" w:eastAsia="宋体" w:cs="Times New Roman"/>
                <w:i w:val="0"/>
                <w:iCs w:val="0"/>
                <w:color w:val="0000FF"/>
                <w:kern w:val="0"/>
                <w:sz w:val="24"/>
                <w:szCs w:val="24"/>
                <w:highlight w:val="none"/>
                <w:u w:val="none"/>
                <w:lang w:val="en-US" w:eastAsia="zh-CN" w:bidi="ar"/>
              </w:rPr>
              <w:t>12000</w:t>
            </w:r>
          </w:p>
        </w:tc>
        <w:tc>
          <w:tcPr>
            <w:tcW w:w="1304" w:type="dxa"/>
            <w:tcBorders>
              <w:top w:val="single" w:color="auto" w:sz="4" w:space="0"/>
              <w:left w:val="single" w:color="auto" w:sz="4" w:space="0"/>
              <w:bottom w:val="single" w:color="auto" w:sz="4" w:space="0"/>
              <w:right w:val="single" w:color="auto" w:sz="4" w:space="0"/>
              <w:tl2br w:val="nil"/>
              <w:tr2bl w:val="nil"/>
            </w:tcBorders>
            <w:noWrap/>
            <w:vAlign w:val="center"/>
          </w:tcPr>
          <w:p w14:paraId="6895B8F3">
            <w:pPr>
              <w:keepNext w:val="0"/>
              <w:keepLines w:val="0"/>
              <w:pageBreakBefore w:val="0"/>
              <w:widowControl/>
              <w:suppressLineNumbers w:val="0"/>
              <w:kinsoku/>
              <w:wordWrap/>
              <w:overflowPunct/>
              <w:topLinePunct w:val="0"/>
              <w:autoSpaceDE w:val="0"/>
              <w:autoSpaceDN w:val="0"/>
              <w:bidi w:val="0"/>
              <w:adjustRightInd w:val="0"/>
              <w:snapToGrid/>
              <w:spacing w:line="240" w:lineRule="auto"/>
              <w:ind w:firstLine="0" w:firstLineChars="0"/>
              <w:jc w:val="center"/>
              <w:textAlignment w:val="center"/>
              <w:rPr>
                <w:rFonts w:hint="default" w:ascii="Times New Roman" w:hAnsi="Times New Roman" w:cs="Times New Roman"/>
                <w:color w:val="0000FF"/>
                <w:highlight w:val="none"/>
                <w:lang w:val="en-US" w:eastAsia="zh-CN"/>
              </w:rPr>
            </w:pPr>
            <w:r>
              <w:rPr>
                <w:rFonts w:hint="eastAsia" w:cs="Times New Roman"/>
                <w:i w:val="0"/>
                <w:iCs w:val="0"/>
                <w:color w:val="0000FF"/>
                <w:kern w:val="0"/>
                <w:sz w:val="24"/>
                <w:szCs w:val="24"/>
                <w:highlight w:val="none"/>
                <w:u w:val="none"/>
                <w:lang w:val="en-US" w:eastAsia="zh-CN" w:bidi="ar"/>
              </w:rPr>
              <w:t>694.4</w:t>
            </w:r>
          </w:p>
        </w:tc>
        <w:tc>
          <w:tcPr>
            <w:tcW w:w="1035" w:type="dxa"/>
            <w:tcBorders>
              <w:top w:val="single" w:color="auto" w:sz="4" w:space="0"/>
              <w:left w:val="single" w:color="auto" w:sz="4" w:space="0"/>
              <w:bottom w:val="single" w:color="auto" w:sz="4" w:space="0"/>
              <w:right w:val="single" w:color="auto" w:sz="4" w:space="0"/>
              <w:tl2br w:val="nil"/>
              <w:tr2bl w:val="nil"/>
            </w:tcBorders>
            <w:noWrap/>
            <w:vAlign w:val="center"/>
          </w:tcPr>
          <w:p w14:paraId="5DE05656">
            <w:pPr>
              <w:keepNext w:val="0"/>
              <w:keepLines w:val="0"/>
              <w:pageBreakBefore w:val="0"/>
              <w:widowControl/>
              <w:suppressLineNumbers w:val="0"/>
              <w:kinsoku/>
              <w:wordWrap/>
              <w:overflowPunct/>
              <w:topLinePunct w:val="0"/>
              <w:autoSpaceDE w:val="0"/>
              <w:autoSpaceDN w:val="0"/>
              <w:bidi w:val="0"/>
              <w:adjustRightInd w:val="0"/>
              <w:snapToGrid/>
              <w:spacing w:line="240" w:lineRule="auto"/>
              <w:ind w:firstLine="0" w:firstLineChars="0"/>
              <w:jc w:val="center"/>
              <w:textAlignment w:val="center"/>
              <w:rPr>
                <w:rFonts w:hint="default" w:ascii="Times New Roman" w:hAnsi="Times New Roman" w:cs="Times New Roman"/>
                <w:color w:val="0000FF"/>
                <w:highlight w:val="none"/>
                <w:lang w:val="en-US" w:eastAsia="zh-CN"/>
              </w:rPr>
            </w:pPr>
            <w:r>
              <w:rPr>
                <w:rFonts w:hint="eastAsia" w:cs="Times New Roman"/>
                <w:i w:val="0"/>
                <w:iCs w:val="0"/>
                <w:color w:val="0000FF"/>
                <w:kern w:val="0"/>
                <w:sz w:val="24"/>
                <w:szCs w:val="24"/>
                <w:highlight w:val="none"/>
                <w:u w:val="none"/>
                <w:lang w:val="en-US" w:eastAsia="zh-CN" w:bidi="ar"/>
              </w:rPr>
              <w:t>40</w:t>
            </w:r>
          </w:p>
        </w:tc>
        <w:tc>
          <w:tcPr>
            <w:tcW w:w="1304" w:type="dxa"/>
            <w:tcBorders>
              <w:top w:val="single" w:color="auto" w:sz="4" w:space="0"/>
              <w:left w:val="single" w:color="auto" w:sz="4" w:space="0"/>
              <w:bottom w:val="single" w:color="auto" w:sz="4" w:space="0"/>
              <w:right w:val="single" w:color="auto" w:sz="4" w:space="0"/>
              <w:tl2br w:val="nil"/>
              <w:tr2bl w:val="nil"/>
            </w:tcBorders>
            <w:noWrap/>
            <w:vAlign w:val="center"/>
          </w:tcPr>
          <w:p w14:paraId="69BE7F08">
            <w:pPr>
              <w:keepNext w:val="0"/>
              <w:keepLines w:val="0"/>
              <w:pageBreakBefore w:val="0"/>
              <w:widowControl/>
              <w:suppressLineNumbers w:val="0"/>
              <w:kinsoku/>
              <w:wordWrap/>
              <w:overflowPunct/>
              <w:topLinePunct w:val="0"/>
              <w:autoSpaceDE w:val="0"/>
              <w:autoSpaceDN w:val="0"/>
              <w:bidi w:val="0"/>
              <w:adjustRightInd w:val="0"/>
              <w:snapToGrid/>
              <w:spacing w:line="240" w:lineRule="auto"/>
              <w:ind w:firstLine="0" w:firstLineChars="0"/>
              <w:jc w:val="center"/>
              <w:textAlignment w:val="center"/>
              <w:rPr>
                <w:rFonts w:hint="default" w:ascii="Times New Roman" w:hAnsi="Times New Roman" w:cs="Times New Roman"/>
                <w:color w:val="0000FF"/>
                <w:highlight w:val="none"/>
                <w:lang w:val="en-US" w:eastAsia="zh-CN"/>
              </w:rPr>
            </w:pPr>
            <w:r>
              <w:rPr>
                <w:rFonts w:hint="eastAsia" w:cs="Times New Roman"/>
                <w:i w:val="0"/>
                <w:iCs w:val="0"/>
                <w:color w:val="0000FF"/>
                <w:kern w:val="0"/>
                <w:sz w:val="24"/>
                <w:szCs w:val="24"/>
                <w:highlight w:val="none"/>
                <w:u w:val="none"/>
                <w:lang w:val="en-US" w:eastAsia="zh-CN" w:bidi="ar"/>
              </w:rPr>
              <w:t>8.33</w:t>
            </w:r>
          </w:p>
        </w:tc>
        <w:tc>
          <w:tcPr>
            <w:tcW w:w="1304" w:type="dxa"/>
            <w:tcBorders>
              <w:top w:val="single" w:color="auto" w:sz="4" w:space="0"/>
              <w:left w:val="single" w:color="auto" w:sz="4" w:space="0"/>
              <w:bottom w:val="single" w:color="auto" w:sz="4" w:space="0"/>
              <w:right w:val="single" w:color="auto" w:sz="4" w:space="0"/>
              <w:tl2br w:val="nil"/>
              <w:tr2bl w:val="nil"/>
            </w:tcBorders>
            <w:noWrap/>
            <w:vAlign w:val="center"/>
          </w:tcPr>
          <w:p w14:paraId="3E6DC23F">
            <w:pPr>
              <w:keepNext w:val="0"/>
              <w:keepLines w:val="0"/>
              <w:pageBreakBefore w:val="0"/>
              <w:widowControl/>
              <w:suppressLineNumbers w:val="0"/>
              <w:kinsoku/>
              <w:wordWrap/>
              <w:overflowPunct/>
              <w:topLinePunct w:val="0"/>
              <w:autoSpaceDE w:val="0"/>
              <w:autoSpaceDN w:val="0"/>
              <w:bidi w:val="0"/>
              <w:adjustRightInd w:val="0"/>
              <w:snapToGrid/>
              <w:spacing w:line="240" w:lineRule="auto"/>
              <w:ind w:firstLine="0" w:firstLineChars="0"/>
              <w:jc w:val="center"/>
              <w:textAlignment w:val="center"/>
              <w:rPr>
                <w:rFonts w:hint="default" w:ascii="Times New Roman" w:hAnsi="Times New Roman" w:cs="Times New Roman"/>
                <w:color w:val="0000FF"/>
                <w:highlight w:val="none"/>
                <w:lang w:val="en-US" w:eastAsia="zh-CN"/>
              </w:rPr>
            </w:pPr>
            <w:r>
              <w:rPr>
                <w:rFonts w:hint="default" w:ascii="Times New Roman" w:hAnsi="Times New Roman" w:eastAsia="宋体" w:cs="Times New Roman"/>
                <w:i w:val="0"/>
                <w:iCs w:val="0"/>
                <w:color w:val="0000FF"/>
                <w:kern w:val="0"/>
                <w:sz w:val="24"/>
                <w:szCs w:val="24"/>
                <w:highlight w:val="none"/>
                <w:u w:val="none"/>
                <w:lang w:val="en-US" w:eastAsia="zh-CN" w:bidi="ar"/>
              </w:rPr>
              <w:t>2.</w:t>
            </w:r>
            <w:r>
              <w:rPr>
                <w:rFonts w:hint="eastAsia" w:cs="Times New Roman"/>
                <w:i w:val="0"/>
                <w:iCs w:val="0"/>
                <w:color w:val="0000FF"/>
                <w:kern w:val="0"/>
                <w:sz w:val="24"/>
                <w:szCs w:val="24"/>
                <w:highlight w:val="none"/>
                <w:u w:val="none"/>
                <w:lang w:val="en-US" w:eastAsia="zh-CN" w:bidi="ar"/>
              </w:rPr>
              <w:t>22</w:t>
            </w:r>
          </w:p>
        </w:tc>
        <w:tc>
          <w:tcPr>
            <w:tcW w:w="1035" w:type="dxa"/>
            <w:tcBorders>
              <w:top w:val="single" w:color="auto" w:sz="4" w:space="0"/>
              <w:left w:val="single" w:color="auto" w:sz="4" w:space="0"/>
              <w:bottom w:val="single" w:color="auto" w:sz="4" w:space="0"/>
              <w:right w:val="single" w:color="auto" w:sz="4" w:space="0"/>
              <w:tl2br w:val="nil"/>
              <w:tr2bl w:val="nil"/>
            </w:tcBorders>
            <w:noWrap/>
            <w:vAlign w:val="center"/>
          </w:tcPr>
          <w:p w14:paraId="7BB5ABBD">
            <w:pPr>
              <w:keepNext w:val="0"/>
              <w:keepLines w:val="0"/>
              <w:pageBreakBefore w:val="0"/>
              <w:widowControl/>
              <w:suppressLineNumbers w:val="0"/>
              <w:kinsoku/>
              <w:wordWrap/>
              <w:overflowPunct/>
              <w:topLinePunct w:val="0"/>
              <w:autoSpaceDE w:val="0"/>
              <w:autoSpaceDN w:val="0"/>
              <w:bidi w:val="0"/>
              <w:adjustRightInd w:val="0"/>
              <w:snapToGrid/>
              <w:spacing w:line="240" w:lineRule="auto"/>
              <w:ind w:firstLine="0" w:firstLineChars="0"/>
              <w:jc w:val="center"/>
              <w:textAlignment w:val="center"/>
              <w:rPr>
                <w:rFonts w:hint="default" w:ascii="Times New Roman" w:hAnsi="Times New Roman" w:cs="Times New Roman"/>
                <w:color w:val="0000FF"/>
                <w:highlight w:val="none"/>
                <w:lang w:val="en-US" w:eastAsia="zh-CN"/>
              </w:rPr>
            </w:pPr>
            <w:r>
              <w:rPr>
                <w:rFonts w:hint="default" w:ascii="Times New Roman" w:hAnsi="Times New Roman" w:eastAsia="宋体" w:cs="Times New Roman"/>
                <w:i w:val="0"/>
                <w:iCs w:val="0"/>
                <w:color w:val="0000FF"/>
                <w:kern w:val="0"/>
                <w:sz w:val="24"/>
                <w:szCs w:val="24"/>
                <w:highlight w:val="none"/>
                <w:u w:val="none"/>
                <w:lang w:val="en-US" w:eastAsia="zh-CN" w:bidi="ar"/>
              </w:rPr>
              <w:t>0.144</w:t>
            </w:r>
          </w:p>
        </w:tc>
        <w:tc>
          <w:tcPr>
            <w:tcW w:w="1250" w:type="dxa"/>
            <w:tcBorders>
              <w:top w:val="single" w:color="auto" w:sz="4" w:space="0"/>
              <w:left w:val="single" w:color="auto" w:sz="4" w:space="0"/>
              <w:bottom w:val="single" w:color="auto" w:sz="4" w:space="0"/>
              <w:right w:val="single" w:color="auto" w:sz="4" w:space="0"/>
              <w:tl2br w:val="nil"/>
              <w:tr2bl w:val="nil"/>
            </w:tcBorders>
            <w:noWrap/>
            <w:vAlign w:val="center"/>
          </w:tcPr>
          <w:p w14:paraId="2135206F">
            <w:pPr>
              <w:keepNext w:val="0"/>
              <w:keepLines w:val="0"/>
              <w:pageBreakBefore w:val="0"/>
              <w:widowControl/>
              <w:suppressLineNumbers w:val="0"/>
              <w:kinsoku/>
              <w:wordWrap/>
              <w:overflowPunct/>
              <w:topLinePunct w:val="0"/>
              <w:autoSpaceDE w:val="0"/>
              <w:autoSpaceDN w:val="0"/>
              <w:bidi w:val="0"/>
              <w:adjustRightInd w:val="0"/>
              <w:snapToGrid/>
              <w:spacing w:line="240" w:lineRule="auto"/>
              <w:ind w:firstLine="0" w:firstLineChars="0"/>
              <w:jc w:val="center"/>
              <w:textAlignment w:val="center"/>
              <w:rPr>
                <w:rFonts w:hint="default" w:ascii="Times New Roman" w:hAnsi="Times New Roman" w:cs="Times New Roman"/>
                <w:color w:val="0000FF"/>
                <w:highlight w:val="none"/>
                <w:lang w:val="en-US" w:eastAsia="zh-CN"/>
              </w:rPr>
            </w:pPr>
            <w:r>
              <w:rPr>
                <w:rFonts w:hint="default" w:ascii="Times New Roman" w:hAnsi="Times New Roman" w:eastAsia="宋体" w:cs="Times New Roman"/>
                <w:i w:val="0"/>
                <w:iCs w:val="0"/>
                <w:color w:val="0000FF"/>
                <w:kern w:val="0"/>
                <w:sz w:val="24"/>
                <w:szCs w:val="24"/>
                <w:highlight w:val="none"/>
                <w:u w:val="none"/>
                <w:lang w:val="en-US" w:eastAsia="zh-CN" w:bidi="ar"/>
              </w:rPr>
              <w:t>0.03</w:t>
            </w:r>
          </w:p>
        </w:tc>
      </w:tr>
    </w:tbl>
    <w:p w14:paraId="751EBE9E">
      <w:pPr>
        <w:spacing w:beforeLines="0" w:afterLines="0"/>
        <w:rPr>
          <w:rFonts w:hint="default" w:ascii="Times New Roman" w:hAnsi="Times New Roman" w:cs="Times New Roman"/>
          <w:color w:val="0000FF"/>
          <w:sz w:val="24"/>
          <w:szCs w:val="24"/>
          <w:highlight w:val="none"/>
        </w:rPr>
      </w:pPr>
      <w:r>
        <w:rPr>
          <w:rFonts w:hint="default" w:ascii="Times New Roman" w:hAnsi="Times New Roman" w:cs="Times New Roman"/>
          <w:color w:val="0000FF"/>
          <w:sz w:val="24"/>
          <w:szCs w:val="24"/>
          <w:highlight w:val="none"/>
        </w:rPr>
        <w:t>有组织颗粒物排放浓度满足《大气污染物综合排放标准》（GB 6297-1996）表2新污染源大气污染物排放限值中有组织排放限制要求。</w:t>
      </w:r>
    </w:p>
    <w:p w14:paraId="040B67E3">
      <w:pPr>
        <w:spacing w:beforeLines="0" w:afterLines="0"/>
        <w:rPr>
          <w:rFonts w:hint="default" w:ascii="Times New Roman" w:hAnsi="Times New Roman" w:eastAsia="宋体" w:cs="Times New Roman"/>
          <w:color w:val="0000FF"/>
          <w:sz w:val="24"/>
          <w:szCs w:val="24"/>
          <w:highlight w:val="none"/>
          <w:lang w:val="en-US" w:eastAsia="zh-CN"/>
        </w:rPr>
      </w:pPr>
      <w:r>
        <w:rPr>
          <w:rFonts w:hint="default" w:ascii="Times New Roman" w:hAnsi="Times New Roman" w:cs="Times New Roman"/>
          <w:color w:val="0000FF"/>
          <w:sz w:val="24"/>
          <w:szCs w:val="24"/>
          <w:highlight w:val="none"/>
        </w:rPr>
        <w:t>根据有组织粉尘计算，筛分工序未收集的无组织粉尘约为</w:t>
      </w:r>
      <w:r>
        <w:rPr>
          <w:rFonts w:hint="default" w:ascii="Times New Roman" w:hAnsi="Times New Roman" w:cs="Times New Roman"/>
          <w:color w:val="0000FF"/>
          <w:sz w:val="24"/>
          <w:szCs w:val="24"/>
          <w:highlight w:val="none"/>
          <w:lang w:val="en-US" w:eastAsia="zh-CN"/>
        </w:rPr>
        <w:t>40×0.1=4</w:t>
      </w:r>
      <w:r>
        <w:rPr>
          <w:rFonts w:hint="default" w:ascii="Times New Roman" w:hAnsi="Times New Roman" w:cs="Times New Roman"/>
          <w:color w:val="0000FF"/>
          <w:sz w:val="24"/>
          <w:szCs w:val="24"/>
          <w:highlight w:val="none"/>
        </w:rPr>
        <w:t>t/a</w:t>
      </w:r>
      <w:r>
        <w:rPr>
          <w:rFonts w:hint="default" w:ascii="Times New Roman" w:hAnsi="Times New Roman" w:cs="Times New Roman"/>
          <w:color w:val="0000FF"/>
          <w:sz w:val="24"/>
          <w:szCs w:val="24"/>
          <w:highlight w:val="none"/>
          <w:lang w:eastAsia="zh-CN"/>
        </w:rPr>
        <w:t>（</w:t>
      </w:r>
      <w:r>
        <w:rPr>
          <w:rFonts w:hint="default" w:ascii="Times New Roman" w:hAnsi="Times New Roman" w:cs="Times New Roman"/>
          <w:color w:val="0000FF"/>
          <w:sz w:val="24"/>
          <w:szCs w:val="24"/>
          <w:highlight w:val="none"/>
          <w:lang w:val="en-US" w:eastAsia="zh-CN"/>
        </w:rPr>
        <w:t>0.833kg/h</w:t>
      </w:r>
      <w:r>
        <w:rPr>
          <w:rFonts w:hint="default" w:ascii="Times New Roman" w:hAnsi="Times New Roman" w:cs="Times New Roman"/>
          <w:color w:val="0000FF"/>
          <w:sz w:val="24"/>
          <w:szCs w:val="24"/>
          <w:highlight w:val="none"/>
          <w:lang w:eastAsia="zh-CN"/>
        </w:rPr>
        <w:t>）</w:t>
      </w:r>
      <w:r>
        <w:rPr>
          <w:rFonts w:hint="default" w:ascii="Times New Roman" w:hAnsi="Times New Roman" w:cs="Times New Roman"/>
          <w:color w:val="0000FF"/>
          <w:sz w:val="24"/>
          <w:szCs w:val="24"/>
          <w:highlight w:val="none"/>
        </w:rPr>
        <w:t>。</w:t>
      </w:r>
      <w:r>
        <w:rPr>
          <w:rFonts w:hint="eastAsia" w:cs="Times New Roman"/>
          <w:color w:val="0000FF"/>
          <w:sz w:val="24"/>
          <w:szCs w:val="24"/>
          <w:highlight w:val="none"/>
          <w:lang w:val="en-US" w:eastAsia="zh-CN"/>
        </w:rPr>
        <w:t>筛分环节在封闭车间内进行，无组织粉尘排放到外环境中的量取10%，排放量为0.4t/a（0.083kg/h）。</w:t>
      </w:r>
    </w:p>
    <w:p w14:paraId="6C715FB5">
      <w:pPr>
        <w:numPr>
          <w:ilvl w:val="0"/>
          <w:numId w:val="28"/>
        </w:numPr>
        <w:spacing w:beforeLines="0" w:afterLines="0"/>
        <w:ind w:firstLine="480"/>
        <w:rPr>
          <w:rFonts w:hint="default" w:ascii="Times New Roman" w:hAnsi="Times New Roman" w:cs="Times New Roman"/>
          <w:color w:val="auto"/>
          <w:sz w:val="24"/>
          <w:szCs w:val="24"/>
          <w:highlight w:val="none"/>
        </w:rPr>
      </w:pPr>
      <w:bookmarkStart w:id="156" w:name="5）机械设备燃油废气"/>
      <w:bookmarkEnd w:id="156"/>
      <w:r>
        <w:rPr>
          <w:rFonts w:hint="default" w:ascii="Times New Roman" w:hAnsi="Times New Roman" w:cs="Times New Roman"/>
          <w:color w:val="auto"/>
          <w:sz w:val="24"/>
          <w:szCs w:val="24"/>
          <w:highlight w:val="none"/>
          <w:lang w:val="en-US" w:eastAsia="zh-CN"/>
        </w:rPr>
        <w:t>烘干废气</w:t>
      </w:r>
    </w:p>
    <w:p w14:paraId="772CAF5E">
      <w:pPr>
        <w:numPr>
          <w:ilvl w:val="0"/>
          <w:numId w:val="0"/>
        </w:numPr>
        <w:autoSpaceDE/>
        <w:autoSpaceDN/>
        <w:adjustRightInd/>
        <w:spacing w:beforeLines="0" w:afterLines="0"/>
        <w:ind w:firstLine="480"/>
        <w:rPr>
          <w:rFonts w:hint="default" w:ascii="Times New Roman" w:hAnsi="Times New Roman" w:cs="Times New Roman"/>
          <w:snapToGrid w:val="0"/>
          <w:color w:val="FF0000"/>
          <w:sz w:val="24"/>
          <w:szCs w:val="24"/>
          <w:highlight w:val="none"/>
        </w:rPr>
      </w:pPr>
      <w:r>
        <w:rPr>
          <w:rFonts w:hint="default" w:ascii="Times New Roman" w:hAnsi="Times New Roman" w:cs="Times New Roman"/>
          <w:snapToGrid w:val="0"/>
          <w:color w:val="FF0000"/>
          <w:sz w:val="24"/>
          <w:szCs w:val="24"/>
          <w:highlight w:val="none"/>
          <w:lang w:val="en-US" w:eastAsia="zh-CN"/>
        </w:rPr>
        <w:t>热风与石英砂直接接触，石英砂在热风的作用下，会有粉尘产生，</w:t>
      </w:r>
      <w:r>
        <w:rPr>
          <w:rFonts w:hint="default" w:ascii="Times New Roman" w:hAnsi="Times New Roman" w:cs="Times New Roman"/>
          <w:snapToGrid w:val="0"/>
          <w:color w:val="FF0000"/>
          <w:sz w:val="24"/>
          <w:szCs w:val="24"/>
          <w:highlight w:val="none"/>
        </w:rPr>
        <w:t>类比同类</w:t>
      </w:r>
      <w:r>
        <w:rPr>
          <w:rFonts w:hint="default" w:ascii="Times New Roman" w:hAnsi="Times New Roman" w:cs="Times New Roman"/>
          <w:snapToGrid w:val="0"/>
          <w:color w:val="FF0000"/>
          <w:sz w:val="24"/>
          <w:szCs w:val="24"/>
          <w:highlight w:val="none"/>
          <w:lang w:val="en-US" w:eastAsia="zh-CN"/>
        </w:rPr>
        <w:t>项目</w:t>
      </w:r>
      <w:r>
        <w:rPr>
          <w:rFonts w:hint="default" w:ascii="Times New Roman" w:hAnsi="Times New Roman" w:cs="Times New Roman"/>
          <w:snapToGrid w:val="0"/>
          <w:color w:val="FF0000"/>
          <w:sz w:val="24"/>
          <w:szCs w:val="24"/>
          <w:highlight w:val="none"/>
        </w:rPr>
        <w:t>烘干滚筒粉尘产生量，粉尘产生量</w:t>
      </w:r>
      <w:r>
        <w:rPr>
          <w:rFonts w:hint="default" w:ascii="Times New Roman" w:hAnsi="Times New Roman" w:cs="Times New Roman"/>
          <w:snapToGrid w:val="0"/>
          <w:color w:val="FF0000"/>
          <w:sz w:val="24"/>
          <w:szCs w:val="24"/>
          <w:highlight w:val="none"/>
          <w:lang w:val="en-US" w:eastAsia="zh-CN"/>
        </w:rPr>
        <w:t>为石英砂用量</w:t>
      </w:r>
      <w:r>
        <w:rPr>
          <w:rFonts w:hint="default" w:ascii="Times New Roman" w:hAnsi="Times New Roman" w:cs="Times New Roman"/>
          <w:snapToGrid w:val="0"/>
          <w:color w:val="FF0000"/>
          <w:sz w:val="24"/>
          <w:szCs w:val="24"/>
          <w:highlight w:val="none"/>
        </w:rPr>
        <w:t>的0.</w:t>
      </w:r>
      <w:r>
        <w:rPr>
          <w:rFonts w:hint="default" w:ascii="Times New Roman" w:hAnsi="Times New Roman" w:cs="Times New Roman"/>
          <w:snapToGrid w:val="0"/>
          <w:color w:val="FF0000"/>
          <w:sz w:val="24"/>
          <w:szCs w:val="24"/>
          <w:highlight w:val="none"/>
          <w:lang w:val="en-US" w:eastAsia="zh-CN"/>
        </w:rPr>
        <w:t>05</w:t>
      </w:r>
      <w:r>
        <w:rPr>
          <w:rFonts w:hint="default" w:ascii="Times New Roman" w:hAnsi="Times New Roman" w:cs="Times New Roman"/>
          <w:snapToGrid w:val="0"/>
          <w:color w:val="FF0000"/>
          <w:sz w:val="24"/>
          <w:szCs w:val="24"/>
          <w:highlight w:val="none"/>
        </w:rPr>
        <w:t>%，项目</w:t>
      </w:r>
      <w:r>
        <w:rPr>
          <w:rFonts w:hint="default" w:ascii="Times New Roman" w:hAnsi="Times New Roman" w:cs="Times New Roman"/>
          <w:snapToGrid w:val="0"/>
          <w:color w:val="FF0000"/>
          <w:sz w:val="24"/>
          <w:szCs w:val="24"/>
          <w:highlight w:val="none"/>
          <w:lang w:val="en-US" w:eastAsia="zh-CN"/>
        </w:rPr>
        <w:t>年烘干石英砂</w:t>
      </w:r>
      <w:r>
        <w:rPr>
          <w:rFonts w:hint="default" w:ascii="Times New Roman" w:hAnsi="Times New Roman" w:cs="Times New Roman"/>
          <w:snapToGrid w:val="0"/>
          <w:color w:val="FF0000"/>
          <w:sz w:val="24"/>
          <w:szCs w:val="24"/>
          <w:highlight w:val="none"/>
        </w:rPr>
        <w:t>为</w:t>
      </w:r>
      <w:r>
        <w:rPr>
          <w:rFonts w:hint="default" w:ascii="Times New Roman" w:hAnsi="Times New Roman" w:cs="Times New Roman"/>
          <w:snapToGrid w:val="0"/>
          <w:color w:val="FF0000"/>
          <w:sz w:val="24"/>
          <w:szCs w:val="24"/>
          <w:highlight w:val="none"/>
          <w:lang w:val="en-US" w:eastAsia="zh-CN"/>
        </w:rPr>
        <w:t>340000</w:t>
      </w:r>
      <w:r>
        <w:rPr>
          <w:rFonts w:hint="default" w:ascii="Times New Roman" w:hAnsi="Times New Roman" w:cs="Times New Roman"/>
          <w:snapToGrid w:val="0"/>
          <w:color w:val="FF0000"/>
          <w:sz w:val="24"/>
          <w:szCs w:val="24"/>
          <w:highlight w:val="none"/>
        </w:rPr>
        <w:t>t，则烘干滚筒粉尘产生量约</w:t>
      </w:r>
      <w:r>
        <w:rPr>
          <w:rFonts w:hint="default" w:ascii="Times New Roman" w:hAnsi="Times New Roman" w:cs="Times New Roman"/>
          <w:b/>
          <w:snapToGrid w:val="0"/>
          <w:color w:val="FF0000"/>
          <w:sz w:val="24"/>
          <w:szCs w:val="24"/>
          <w:highlight w:val="none"/>
          <w:lang w:val="en-US" w:eastAsia="zh-CN"/>
        </w:rPr>
        <w:t>170</w:t>
      </w:r>
      <w:r>
        <w:rPr>
          <w:rFonts w:hint="default" w:ascii="Times New Roman" w:hAnsi="Times New Roman" w:cs="Times New Roman"/>
          <w:b/>
          <w:snapToGrid w:val="0"/>
          <w:color w:val="FF0000"/>
          <w:sz w:val="24"/>
          <w:szCs w:val="24"/>
          <w:highlight w:val="none"/>
        </w:rPr>
        <w:t>t/a</w:t>
      </w:r>
      <w:r>
        <w:rPr>
          <w:rFonts w:hint="default" w:ascii="Times New Roman" w:hAnsi="Times New Roman" w:cs="Times New Roman"/>
          <w:snapToGrid w:val="0"/>
          <w:color w:val="FF0000"/>
          <w:sz w:val="24"/>
          <w:szCs w:val="24"/>
          <w:highlight w:val="none"/>
        </w:rPr>
        <w:t>，粉尘产生的速率约为</w:t>
      </w:r>
      <w:r>
        <w:rPr>
          <w:rFonts w:hint="default" w:ascii="Times New Roman" w:hAnsi="Times New Roman" w:cs="Times New Roman"/>
          <w:snapToGrid w:val="0"/>
          <w:color w:val="FF0000"/>
          <w:sz w:val="24"/>
          <w:szCs w:val="24"/>
          <w:highlight w:val="none"/>
          <w:lang w:val="en-US" w:eastAsia="zh-CN"/>
        </w:rPr>
        <w:t>35.4</w:t>
      </w:r>
      <w:r>
        <w:rPr>
          <w:rFonts w:hint="eastAsia" w:cs="Times New Roman"/>
          <w:snapToGrid w:val="0"/>
          <w:color w:val="FF0000"/>
          <w:sz w:val="24"/>
          <w:szCs w:val="24"/>
          <w:highlight w:val="none"/>
          <w:lang w:val="en-US" w:eastAsia="zh-CN"/>
        </w:rPr>
        <w:t>17</w:t>
      </w:r>
      <w:r>
        <w:rPr>
          <w:rFonts w:hint="default" w:ascii="Times New Roman" w:hAnsi="Times New Roman" w:cs="Times New Roman"/>
          <w:snapToGrid w:val="0"/>
          <w:color w:val="FF0000"/>
          <w:sz w:val="24"/>
          <w:szCs w:val="24"/>
          <w:highlight w:val="none"/>
        </w:rPr>
        <w:t>kg/h（烘干</w:t>
      </w:r>
      <w:r>
        <w:rPr>
          <w:rFonts w:hint="eastAsia" w:cs="Times New Roman"/>
          <w:snapToGrid w:val="0"/>
          <w:color w:val="FF0000"/>
          <w:sz w:val="24"/>
          <w:szCs w:val="24"/>
          <w:highlight w:val="none"/>
          <w:lang w:val="en-US" w:eastAsia="zh-CN"/>
        </w:rPr>
        <w:t>机</w:t>
      </w:r>
      <w:r>
        <w:rPr>
          <w:rFonts w:hint="default" w:ascii="Times New Roman" w:hAnsi="Times New Roman" w:cs="Times New Roman"/>
          <w:snapToGrid w:val="0"/>
          <w:color w:val="FF0000"/>
          <w:sz w:val="24"/>
          <w:szCs w:val="24"/>
          <w:highlight w:val="none"/>
        </w:rPr>
        <w:t>年工作</w:t>
      </w:r>
      <w:r>
        <w:rPr>
          <w:rFonts w:hint="default" w:ascii="Times New Roman" w:hAnsi="Times New Roman" w:cs="Times New Roman"/>
          <w:snapToGrid w:val="0"/>
          <w:color w:val="FF0000"/>
          <w:sz w:val="24"/>
          <w:szCs w:val="24"/>
          <w:highlight w:val="none"/>
          <w:lang w:val="en-US" w:eastAsia="zh-CN"/>
        </w:rPr>
        <w:t>300</w:t>
      </w:r>
      <w:r>
        <w:rPr>
          <w:rFonts w:hint="default" w:ascii="Times New Roman" w:hAnsi="Times New Roman" w:cs="Times New Roman"/>
          <w:snapToGrid w:val="0"/>
          <w:color w:val="FF0000"/>
          <w:sz w:val="24"/>
          <w:szCs w:val="24"/>
          <w:highlight w:val="none"/>
        </w:rPr>
        <w:t>d，每天工作</w:t>
      </w:r>
      <w:r>
        <w:rPr>
          <w:rFonts w:hint="default" w:ascii="Times New Roman" w:hAnsi="Times New Roman" w:cs="Times New Roman"/>
          <w:snapToGrid w:val="0"/>
          <w:color w:val="FF0000"/>
          <w:sz w:val="24"/>
          <w:szCs w:val="24"/>
          <w:highlight w:val="none"/>
          <w:lang w:val="en-US" w:eastAsia="zh-CN"/>
        </w:rPr>
        <w:t>16</w:t>
      </w:r>
      <w:r>
        <w:rPr>
          <w:rFonts w:hint="default" w:ascii="Times New Roman" w:hAnsi="Times New Roman" w:cs="Times New Roman"/>
          <w:snapToGrid w:val="0"/>
          <w:color w:val="FF0000"/>
          <w:sz w:val="24"/>
          <w:szCs w:val="24"/>
          <w:highlight w:val="none"/>
        </w:rPr>
        <w:t>h）。</w:t>
      </w:r>
      <w:r>
        <w:rPr>
          <w:rFonts w:hint="default" w:ascii="Times New Roman" w:hAnsi="Times New Roman" w:cs="Times New Roman"/>
          <w:snapToGrid w:val="0"/>
          <w:color w:val="FF0000"/>
          <w:sz w:val="24"/>
          <w:szCs w:val="24"/>
          <w:highlight w:val="green"/>
        </w:rPr>
        <w:t>烘干</w:t>
      </w:r>
      <w:r>
        <w:rPr>
          <w:rFonts w:hint="eastAsia" w:cs="Times New Roman"/>
          <w:snapToGrid w:val="0"/>
          <w:color w:val="FF0000"/>
          <w:sz w:val="24"/>
          <w:szCs w:val="24"/>
          <w:highlight w:val="green"/>
          <w:lang w:val="en-US" w:eastAsia="zh-CN"/>
        </w:rPr>
        <w:t>废气</w:t>
      </w:r>
      <w:r>
        <w:rPr>
          <w:rFonts w:hint="default" w:ascii="Times New Roman" w:hAnsi="Times New Roman" w:cs="Times New Roman"/>
          <w:snapToGrid w:val="0"/>
          <w:color w:val="FF0000"/>
          <w:sz w:val="24"/>
          <w:szCs w:val="24"/>
          <w:highlight w:val="green"/>
        </w:rPr>
        <w:t>通过引风机（总风量为</w:t>
      </w:r>
      <w:r>
        <w:rPr>
          <w:rFonts w:hint="default" w:ascii="Times New Roman" w:hAnsi="Times New Roman" w:cs="Times New Roman"/>
          <w:snapToGrid w:val="0"/>
          <w:color w:val="FF0000"/>
          <w:sz w:val="24"/>
          <w:szCs w:val="24"/>
          <w:highlight w:val="green"/>
          <w:lang w:val="en-US" w:eastAsia="zh-CN"/>
        </w:rPr>
        <w:t>120</w:t>
      </w:r>
      <w:r>
        <w:rPr>
          <w:rFonts w:hint="default" w:ascii="Times New Roman" w:hAnsi="Times New Roman" w:cs="Times New Roman"/>
          <w:snapToGrid w:val="0"/>
          <w:color w:val="FF0000"/>
          <w:sz w:val="24"/>
          <w:szCs w:val="24"/>
          <w:highlight w:val="green"/>
        </w:rPr>
        <w:t>00m</w:t>
      </w:r>
      <w:r>
        <w:rPr>
          <w:rFonts w:hint="default" w:ascii="Times New Roman" w:hAnsi="Times New Roman" w:cs="Times New Roman"/>
          <w:snapToGrid w:val="0"/>
          <w:color w:val="FF0000"/>
          <w:sz w:val="24"/>
          <w:szCs w:val="24"/>
          <w:highlight w:val="green"/>
          <w:vertAlign w:val="superscript"/>
        </w:rPr>
        <w:t>3</w:t>
      </w:r>
      <w:r>
        <w:rPr>
          <w:rFonts w:hint="default" w:ascii="Times New Roman" w:hAnsi="Times New Roman" w:cs="Times New Roman"/>
          <w:snapToGrid w:val="0"/>
          <w:color w:val="FF0000"/>
          <w:sz w:val="24"/>
          <w:szCs w:val="24"/>
          <w:highlight w:val="green"/>
        </w:rPr>
        <w:t>/h）引入布袋除尘器（除尘效率达99</w:t>
      </w:r>
      <w:r>
        <w:rPr>
          <w:rFonts w:hint="default" w:ascii="Times New Roman" w:hAnsi="Times New Roman" w:cs="Times New Roman"/>
          <w:snapToGrid w:val="0"/>
          <w:color w:val="FF0000"/>
          <w:sz w:val="24"/>
          <w:szCs w:val="24"/>
          <w:highlight w:val="green"/>
          <w:lang w:val="en-US" w:eastAsia="zh-CN"/>
        </w:rPr>
        <w:t>.6</w:t>
      </w:r>
      <w:r>
        <w:rPr>
          <w:rFonts w:hint="default" w:ascii="Times New Roman" w:hAnsi="Times New Roman" w:cs="Times New Roman"/>
          <w:snapToGrid w:val="0"/>
          <w:color w:val="FF0000"/>
          <w:sz w:val="24"/>
          <w:szCs w:val="24"/>
          <w:highlight w:val="green"/>
        </w:rPr>
        <w:t>%以上）</w:t>
      </w:r>
      <w:r>
        <w:rPr>
          <w:rFonts w:hint="default" w:ascii="Times New Roman" w:hAnsi="Times New Roman" w:cs="Times New Roman"/>
          <w:snapToGrid w:val="0"/>
          <w:color w:val="FF0000"/>
          <w:sz w:val="24"/>
          <w:szCs w:val="24"/>
          <w:highlight w:val="none"/>
        </w:rPr>
        <w:t>中进行处理后通过一根高15m排气筒排放。</w:t>
      </w:r>
    </w:p>
    <w:p w14:paraId="78DB26C5">
      <w:pPr>
        <w:snapToGrid w:val="0"/>
        <w:spacing w:beforeLines="0" w:afterLines="0"/>
        <w:ind w:firstLine="480"/>
        <w:rPr>
          <w:rFonts w:hint="default" w:ascii="Times New Roman" w:hAnsi="Times New Roman" w:cs="Times New Roman"/>
          <w:snapToGrid w:val="0"/>
          <w:color w:val="00B050"/>
          <w:sz w:val="24"/>
          <w:szCs w:val="24"/>
          <w:highlight w:val="none"/>
        </w:rPr>
      </w:pPr>
      <w:r>
        <w:rPr>
          <w:rFonts w:hint="default" w:ascii="Times New Roman" w:hAnsi="Times New Roman" w:cs="Times New Roman"/>
          <w:snapToGrid w:val="0"/>
          <w:color w:val="00B050"/>
          <w:sz w:val="24"/>
          <w:szCs w:val="24"/>
          <w:highlight w:val="none"/>
        </w:rPr>
        <w:t>颗粒物有组织排放浓度满足</w:t>
      </w:r>
      <w:r>
        <w:rPr>
          <w:rFonts w:hint="default" w:ascii="Times New Roman" w:hAnsi="Times New Roman" w:cs="Times New Roman"/>
          <w:color w:val="00B050"/>
          <w:sz w:val="24"/>
          <w:szCs w:val="24"/>
          <w:highlight w:val="none"/>
        </w:rPr>
        <w:t>《</w:t>
      </w:r>
      <w:r>
        <w:rPr>
          <w:rFonts w:hint="default" w:ascii="Times New Roman" w:hAnsi="Times New Roman" w:cs="Times New Roman"/>
          <w:color w:val="00B050"/>
          <w:sz w:val="24"/>
          <w:szCs w:val="24"/>
          <w:highlight w:val="none"/>
          <w:lang w:val="en-US" w:eastAsia="zh-CN"/>
        </w:rPr>
        <w:t>新疆维吾尔自治区工业炉窑大气污染综合治理实施方案</w:t>
      </w:r>
      <w:r>
        <w:rPr>
          <w:rFonts w:hint="default" w:ascii="Times New Roman" w:hAnsi="Times New Roman" w:cs="Times New Roman"/>
          <w:color w:val="00B050"/>
          <w:sz w:val="24"/>
          <w:szCs w:val="24"/>
          <w:highlight w:val="none"/>
        </w:rPr>
        <w:t>》</w:t>
      </w:r>
      <w:r>
        <w:rPr>
          <w:rFonts w:hint="default" w:ascii="Times New Roman" w:hAnsi="Times New Roman" w:cs="Times New Roman"/>
          <w:snapToGrid w:val="0"/>
          <w:color w:val="00B050"/>
          <w:sz w:val="24"/>
          <w:szCs w:val="24"/>
          <w:highlight w:val="none"/>
        </w:rPr>
        <w:t>的通知：“重点区域原则上颗粒物排放限值分别不高于30毫克/立方米”。</w:t>
      </w:r>
    </w:p>
    <w:p w14:paraId="7B22BD6F">
      <w:pPr>
        <w:pStyle w:val="45"/>
        <w:bidi w:val="0"/>
        <w:rPr>
          <w:rFonts w:hint="default" w:ascii="Times New Roman" w:hAnsi="Times New Roman" w:cs="Times New Roman"/>
          <w:color w:val="00B050"/>
          <w:highlight w:val="none"/>
        </w:rPr>
      </w:pPr>
      <w:r>
        <w:rPr>
          <w:rFonts w:hint="default" w:ascii="Times New Roman" w:hAnsi="Times New Roman" w:cs="Times New Roman"/>
          <w:color w:val="00B050"/>
          <w:highlight w:val="none"/>
        </w:rPr>
        <w:t>表</w:t>
      </w:r>
      <w:r>
        <w:rPr>
          <w:rFonts w:hint="default" w:ascii="Times New Roman" w:hAnsi="Times New Roman" w:cs="Times New Roman"/>
          <w:color w:val="00B050"/>
          <w:highlight w:val="none"/>
          <w:lang w:val="en-US" w:eastAsia="zh-CN"/>
        </w:rPr>
        <w:t>3.</w:t>
      </w:r>
      <w:r>
        <w:rPr>
          <w:rFonts w:hint="eastAsia" w:ascii="Times New Roman" w:hAnsi="Times New Roman" w:cs="Times New Roman"/>
          <w:color w:val="00B050"/>
          <w:highlight w:val="none"/>
          <w:lang w:val="en-US" w:eastAsia="zh-CN"/>
        </w:rPr>
        <w:t>8</w:t>
      </w:r>
      <w:r>
        <w:rPr>
          <w:rFonts w:hint="default" w:ascii="Times New Roman" w:hAnsi="Times New Roman" w:cs="Times New Roman"/>
          <w:color w:val="00B050"/>
          <w:highlight w:val="none"/>
          <w:lang w:val="en-US" w:eastAsia="zh-CN"/>
        </w:rPr>
        <w:t xml:space="preserve">-10     </w:t>
      </w:r>
      <w:r>
        <w:rPr>
          <w:rFonts w:hint="default" w:ascii="Times New Roman" w:hAnsi="Times New Roman" w:cs="Times New Roman"/>
          <w:color w:val="00B050"/>
          <w:highlight w:val="none"/>
        </w:rPr>
        <w:t>烘干废气污染物排放情况一览表</w:t>
      </w:r>
    </w:p>
    <w:tbl>
      <w:tblPr>
        <w:tblStyle w:val="31"/>
        <w:tblW w:w="5001"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73"/>
        <w:gridCol w:w="1144"/>
        <w:gridCol w:w="1396"/>
        <w:gridCol w:w="1195"/>
        <w:gridCol w:w="1195"/>
        <w:gridCol w:w="1195"/>
        <w:gridCol w:w="1095"/>
        <w:gridCol w:w="1095"/>
      </w:tblGrid>
      <w:tr w14:paraId="028B9A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523" w:type="pct"/>
            <w:tcBorders>
              <w:top w:val="single" w:color="000000" w:sz="4" w:space="0"/>
              <w:left w:val="single" w:color="000000" w:sz="4" w:space="0"/>
              <w:bottom w:val="single" w:color="000000" w:sz="4" w:space="0"/>
              <w:right w:val="single" w:color="000000" w:sz="4" w:space="0"/>
              <w:tl2br w:val="nil"/>
              <w:tr2bl w:val="nil"/>
            </w:tcBorders>
            <w:noWrap/>
            <w:vAlign w:val="center"/>
          </w:tcPr>
          <w:p w14:paraId="2B497E0E">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center"/>
              <w:rPr>
                <w:rFonts w:hint="default" w:ascii="Times New Roman" w:hAnsi="Times New Roman" w:cs="Times New Roman"/>
                <w:color w:val="00B050"/>
                <w:sz w:val="21"/>
                <w:szCs w:val="21"/>
                <w:highlight w:val="none"/>
              </w:rPr>
            </w:pPr>
            <w:r>
              <w:rPr>
                <w:rFonts w:hint="default" w:ascii="Times New Roman" w:hAnsi="Times New Roman" w:cs="Times New Roman"/>
                <w:color w:val="00B050"/>
                <w:sz w:val="21"/>
                <w:szCs w:val="21"/>
                <w:highlight w:val="none"/>
                <w:lang w:val="en-US" w:eastAsia="zh-CN" w:bidi="ar"/>
              </w:rPr>
              <w:t>污染物</w:t>
            </w:r>
          </w:p>
        </w:tc>
        <w:tc>
          <w:tcPr>
            <w:tcW w:w="615" w:type="pct"/>
            <w:tcBorders>
              <w:top w:val="single" w:color="000000" w:sz="4" w:space="0"/>
              <w:left w:val="single" w:color="000000" w:sz="4" w:space="0"/>
              <w:bottom w:val="single" w:color="000000" w:sz="4" w:space="0"/>
              <w:right w:val="single" w:color="000000" w:sz="4" w:space="0"/>
              <w:tl2br w:val="nil"/>
              <w:tr2bl w:val="nil"/>
            </w:tcBorders>
            <w:noWrap/>
            <w:vAlign w:val="center"/>
          </w:tcPr>
          <w:p w14:paraId="081D5D0A">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center"/>
              <w:rPr>
                <w:rFonts w:hint="default" w:ascii="Times New Roman" w:hAnsi="Times New Roman" w:cs="Times New Roman"/>
                <w:color w:val="00B050"/>
                <w:sz w:val="21"/>
                <w:szCs w:val="21"/>
                <w:highlight w:val="none"/>
                <w:lang w:val="en-US" w:eastAsia="zh-CN" w:bidi="ar"/>
              </w:rPr>
            </w:pPr>
            <w:r>
              <w:rPr>
                <w:rFonts w:hint="default" w:ascii="Times New Roman" w:hAnsi="Times New Roman" w:cs="Times New Roman"/>
                <w:color w:val="00B050"/>
                <w:sz w:val="21"/>
                <w:szCs w:val="21"/>
                <w:highlight w:val="none"/>
                <w:lang w:val="en-US" w:eastAsia="zh-CN" w:bidi="ar"/>
              </w:rPr>
              <w:t>废气量</w:t>
            </w:r>
          </w:p>
          <w:p w14:paraId="7E4AC496">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center"/>
              <w:rPr>
                <w:rFonts w:hint="default" w:ascii="Times New Roman" w:hAnsi="Times New Roman" w:cs="Times New Roman"/>
                <w:color w:val="00B050"/>
                <w:sz w:val="21"/>
                <w:szCs w:val="21"/>
                <w:highlight w:val="none"/>
              </w:rPr>
            </w:pPr>
            <w:r>
              <w:rPr>
                <w:rFonts w:hint="default" w:ascii="Times New Roman" w:hAnsi="Times New Roman" w:cs="Times New Roman"/>
                <w:color w:val="00B050"/>
                <w:sz w:val="21"/>
                <w:szCs w:val="21"/>
                <w:highlight w:val="none"/>
                <w:lang w:val="en-US" w:eastAsia="zh-CN" w:bidi="ar"/>
              </w:rPr>
              <w:t>（m</w:t>
            </w:r>
            <w:r>
              <w:rPr>
                <w:rFonts w:hint="default" w:ascii="Times New Roman" w:hAnsi="Times New Roman" w:cs="Times New Roman"/>
                <w:color w:val="00B050"/>
                <w:sz w:val="21"/>
                <w:szCs w:val="21"/>
                <w:highlight w:val="none"/>
                <w:vertAlign w:val="superscript"/>
                <w:lang w:val="en-US" w:eastAsia="zh-CN" w:bidi="ar"/>
              </w:rPr>
              <w:t>3</w:t>
            </w:r>
            <w:r>
              <w:rPr>
                <w:rFonts w:hint="default" w:ascii="Times New Roman" w:hAnsi="Times New Roman" w:cs="Times New Roman"/>
                <w:color w:val="00B050"/>
                <w:sz w:val="21"/>
                <w:szCs w:val="21"/>
                <w:highlight w:val="none"/>
                <w:lang w:val="en-US" w:eastAsia="zh-CN" w:bidi="ar"/>
              </w:rPr>
              <w:t>/h）</w:t>
            </w:r>
          </w:p>
        </w:tc>
        <w:tc>
          <w:tcPr>
            <w:tcW w:w="751" w:type="pct"/>
            <w:tcBorders>
              <w:top w:val="single" w:color="000000" w:sz="4" w:space="0"/>
              <w:left w:val="single" w:color="000000" w:sz="4" w:space="0"/>
              <w:bottom w:val="single" w:color="000000" w:sz="4" w:space="0"/>
              <w:right w:val="single" w:color="000000" w:sz="4" w:space="0"/>
              <w:tl2br w:val="nil"/>
              <w:tr2bl w:val="nil"/>
            </w:tcBorders>
            <w:noWrap/>
            <w:vAlign w:val="center"/>
          </w:tcPr>
          <w:p w14:paraId="3F682C17">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center"/>
              <w:rPr>
                <w:rFonts w:hint="default" w:ascii="Times New Roman" w:hAnsi="Times New Roman" w:cs="Times New Roman"/>
                <w:color w:val="00B050"/>
                <w:sz w:val="21"/>
                <w:szCs w:val="21"/>
                <w:highlight w:val="none"/>
                <w:lang w:val="en-US" w:eastAsia="zh-CN" w:bidi="ar"/>
              </w:rPr>
            </w:pPr>
            <w:r>
              <w:rPr>
                <w:rFonts w:hint="default" w:ascii="Times New Roman" w:hAnsi="Times New Roman" w:cs="Times New Roman"/>
                <w:color w:val="00B050"/>
                <w:sz w:val="21"/>
                <w:szCs w:val="21"/>
                <w:highlight w:val="none"/>
                <w:lang w:val="en-US" w:eastAsia="zh-CN" w:bidi="ar"/>
              </w:rPr>
              <w:t>产生浓度</w:t>
            </w:r>
          </w:p>
          <w:p w14:paraId="1A7E7E12">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center"/>
              <w:rPr>
                <w:rFonts w:hint="default" w:ascii="Times New Roman" w:hAnsi="Times New Roman" w:cs="Times New Roman"/>
                <w:color w:val="00B050"/>
                <w:sz w:val="21"/>
                <w:szCs w:val="21"/>
                <w:highlight w:val="none"/>
              </w:rPr>
            </w:pPr>
            <w:r>
              <w:rPr>
                <w:rFonts w:hint="default" w:ascii="Times New Roman" w:hAnsi="Times New Roman" w:cs="Times New Roman"/>
                <w:color w:val="00B050"/>
                <w:sz w:val="21"/>
                <w:szCs w:val="21"/>
                <w:highlight w:val="none"/>
                <w:lang w:val="en-US" w:eastAsia="zh-CN" w:bidi="ar"/>
              </w:rPr>
              <w:t>mg/m</w:t>
            </w:r>
            <w:r>
              <w:rPr>
                <w:rFonts w:hint="default" w:ascii="Times New Roman" w:hAnsi="Times New Roman" w:cs="Times New Roman"/>
                <w:color w:val="00B050"/>
                <w:sz w:val="21"/>
                <w:szCs w:val="21"/>
                <w:highlight w:val="none"/>
                <w:vertAlign w:val="superscript"/>
                <w:lang w:val="en-US" w:eastAsia="zh-CN" w:bidi="ar"/>
              </w:rPr>
              <w:t>3</w:t>
            </w:r>
          </w:p>
        </w:tc>
        <w:tc>
          <w:tcPr>
            <w:tcW w:w="643" w:type="pct"/>
            <w:tcBorders>
              <w:top w:val="single" w:color="000000" w:sz="4" w:space="0"/>
              <w:left w:val="single" w:color="000000" w:sz="4" w:space="0"/>
              <w:bottom w:val="single" w:color="000000" w:sz="4" w:space="0"/>
              <w:right w:val="single" w:color="000000" w:sz="4" w:space="0"/>
              <w:tl2br w:val="nil"/>
              <w:tr2bl w:val="nil"/>
            </w:tcBorders>
            <w:noWrap/>
            <w:vAlign w:val="center"/>
          </w:tcPr>
          <w:p w14:paraId="54817289">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center"/>
              <w:rPr>
                <w:rFonts w:hint="default" w:ascii="Times New Roman" w:hAnsi="Times New Roman" w:cs="Times New Roman"/>
                <w:color w:val="00B050"/>
                <w:sz w:val="21"/>
                <w:szCs w:val="21"/>
                <w:highlight w:val="none"/>
                <w:lang w:val="en-US" w:eastAsia="zh-CN" w:bidi="ar"/>
              </w:rPr>
            </w:pPr>
            <w:r>
              <w:rPr>
                <w:rFonts w:hint="default" w:ascii="Times New Roman" w:hAnsi="Times New Roman" w:cs="Times New Roman"/>
                <w:color w:val="00B050"/>
                <w:sz w:val="21"/>
                <w:szCs w:val="21"/>
                <w:highlight w:val="none"/>
                <w:lang w:val="en-US" w:eastAsia="zh-CN" w:bidi="ar"/>
              </w:rPr>
              <w:t>产生量</w:t>
            </w:r>
          </w:p>
          <w:p w14:paraId="04EEB5F3">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center"/>
              <w:rPr>
                <w:rFonts w:hint="default" w:ascii="Times New Roman" w:hAnsi="Times New Roman" w:cs="Times New Roman"/>
                <w:color w:val="00B050"/>
                <w:sz w:val="21"/>
                <w:szCs w:val="21"/>
                <w:highlight w:val="none"/>
              </w:rPr>
            </w:pPr>
            <w:r>
              <w:rPr>
                <w:rFonts w:hint="default" w:ascii="Times New Roman" w:hAnsi="Times New Roman" w:cs="Times New Roman"/>
                <w:color w:val="00B050"/>
                <w:sz w:val="21"/>
                <w:szCs w:val="21"/>
                <w:highlight w:val="none"/>
                <w:lang w:val="en-US" w:eastAsia="zh-CN" w:bidi="ar"/>
              </w:rPr>
              <w:t>t/a</w:t>
            </w:r>
          </w:p>
        </w:tc>
        <w:tc>
          <w:tcPr>
            <w:tcW w:w="643" w:type="pct"/>
            <w:tcBorders>
              <w:top w:val="single" w:color="000000" w:sz="4" w:space="0"/>
              <w:left w:val="single" w:color="000000" w:sz="4" w:space="0"/>
              <w:bottom w:val="single" w:color="000000" w:sz="4" w:space="0"/>
              <w:right w:val="single" w:color="000000" w:sz="4" w:space="0"/>
              <w:tl2br w:val="nil"/>
              <w:tr2bl w:val="nil"/>
            </w:tcBorders>
            <w:noWrap/>
            <w:vAlign w:val="center"/>
          </w:tcPr>
          <w:p w14:paraId="0A3EB8E4">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center"/>
              <w:rPr>
                <w:rFonts w:hint="default" w:ascii="Times New Roman" w:hAnsi="Times New Roman" w:cs="Times New Roman"/>
                <w:color w:val="00B050"/>
                <w:sz w:val="21"/>
                <w:szCs w:val="21"/>
                <w:highlight w:val="none"/>
                <w:lang w:val="en-US" w:eastAsia="zh-CN" w:bidi="ar"/>
              </w:rPr>
            </w:pPr>
            <w:r>
              <w:rPr>
                <w:rFonts w:hint="default" w:ascii="Times New Roman" w:hAnsi="Times New Roman" w:cs="Times New Roman"/>
                <w:color w:val="00B050"/>
                <w:sz w:val="21"/>
                <w:szCs w:val="21"/>
                <w:highlight w:val="none"/>
                <w:lang w:val="en-US" w:eastAsia="zh-CN" w:bidi="ar"/>
              </w:rPr>
              <w:t>产生速率</w:t>
            </w:r>
          </w:p>
          <w:p w14:paraId="1F20067B">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center"/>
              <w:rPr>
                <w:rFonts w:hint="default" w:ascii="Times New Roman" w:hAnsi="Times New Roman" w:cs="Times New Roman"/>
                <w:color w:val="00B050"/>
                <w:sz w:val="21"/>
                <w:szCs w:val="21"/>
                <w:highlight w:val="none"/>
              </w:rPr>
            </w:pPr>
            <w:r>
              <w:rPr>
                <w:rFonts w:hint="default" w:ascii="Times New Roman" w:hAnsi="Times New Roman" w:cs="Times New Roman"/>
                <w:color w:val="00B050"/>
                <w:sz w:val="21"/>
                <w:szCs w:val="21"/>
                <w:highlight w:val="none"/>
                <w:lang w:val="en-US" w:eastAsia="zh-CN" w:bidi="ar"/>
              </w:rPr>
              <w:t>kg/h</w:t>
            </w:r>
          </w:p>
        </w:tc>
        <w:tc>
          <w:tcPr>
            <w:tcW w:w="643" w:type="pct"/>
            <w:tcBorders>
              <w:top w:val="single" w:color="000000" w:sz="4" w:space="0"/>
              <w:left w:val="single" w:color="000000" w:sz="4" w:space="0"/>
              <w:bottom w:val="single" w:color="000000" w:sz="4" w:space="0"/>
              <w:right w:val="single" w:color="000000" w:sz="4" w:space="0"/>
              <w:tl2br w:val="nil"/>
              <w:tr2bl w:val="nil"/>
            </w:tcBorders>
            <w:noWrap/>
            <w:vAlign w:val="center"/>
          </w:tcPr>
          <w:p w14:paraId="708E56BB">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center"/>
              <w:rPr>
                <w:rFonts w:hint="default" w:ascii="Times New Roman" w:hAnsi="Times New Roman" w:cs="Times New Roman"/>
                <w:color w:val="00B050"/>
                <w:sz w:val="21"/>
                <w:szCs w:val="21"/>
                <w:highlight w:val="none"/>
                <w:lang w:val="en-US" w:eastAsia="zh-CN" w:bidi="ar"/>
              </w:rPr>
            </w:pPr>
            <w:r>
              <w:rPr>
                <w:rFonts w:hint="default" w:ascii="Times New Roman" w:hAnsi="Times New Roman" w:cs="Times New Roman"/>
                <w:color w:val="00B050"/>
                <w:sz w:val="21"/>
                <w:szCs w:val="21"/>
                <w:highlight w:val="none"/>
                <w:lang w:val="en-US" w:eastAsia="zh-CN" w:bidi="ar"/>
              </w:rPr>
              <w:t>排放浓度</w:t>
            </w:r>
          </w:p>
          <w:p w14:paraId="079C8C0E">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center"/>
              <w:rPr>
                <w:rFonts w:hint="default" w:ascii="Times New Roman" w:hAnsi="Times New Roman" w:cs="Times New Roman"/>
                <w:color w:val="00B050"/>
                <w:sz w:val="21"/>
                <w:szCs w:val="21"/>
                <w:highlight w:val="none"/>
              </w:rPr>
            </w:pPr>
            <w:r>
              <w:rPr>
                <w:rFonts w:hint="default" w:ascii="Times New Roman" w:hAnsi="Times New Roman" w:cs="Times New Roman"/>
                <w:color w:val="00B050"/>
                <w:sz w:val="21"/>
                <w:szCs w:val="21"/>
                <w:highlight w:val="none"/>
                <w:lang w:val="en-US" w:eastAsia="zh-CN" w:bidi="ar"/>
              </w:rPr>
              <w:t>mg/m</w:t>
            </w:r>
            <w:r>
              <w:rPr>
                <w:rFonts w:hint="default" w:ascii="Times New Roman" w:hAnsi="Times New Roman" w:cs="Times New Roman"/>
                <w:color w:val="00B050"/>
                <w:sz w:val="21"/>
                <w:szCs w:val="21"/>
                <w:highlight w:val="none"/>
                <w:vertAlign w:val="superscript"/>
                <w:lang w:val="en-US" w:eastAsia="zh-CN" w:bidi="ar"/>
              </w:rPr>
              <w:t>3</w:t>
            </w:r>
          </w:p>
        </w:tc>
        <w:tc>
          <w:tcPr>
            <w:tcW w:w="589" w:type="pct"/>
            <w:tcBorders>
              <w:top w:val="single" w:color="000000" w:sz="4" w:space="0"/>
              <w:left w:val="single" w:color="000000" w:sz="4" w:space="0"/>
              <w:bottom w:val="single" w:color="000000" w:sz="4" w:space="0"/>
              <w:right w:val="single" w:color="000000" w:sz="4" w:space="0"/>
              <w:tl2br w:val="nil"/>
              <w:tr2bl w:val="nil"/>
            </w:tcBorders>
            <w:noWrap/>
            <w:vAlign w:val="center"/>
          </w:tcPr>
          <w:p w14:paraId="5229D810">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center"/>
              <w:rPr>
                <w:rFonts w:hint="default" w:ascii="Times New Roman" w:hAnsi="Times New Roman" w:cs="Times New Roman"/>
                <w:color w:val="00B050"/>
                <w:sz w:val="21"/>
                <w:szCs w:val="21"/>
                <w:highlight w:val="none"/>
                <w:lang w:val="en-US" w:eastAsia="zh-CN" w:bidi="ar"/>
              </w:rPr>
            </w:pPr>
            <w:r>
              <w:rPr>
                <w:rFonts w:hint="default" w:ascii="Times New Roman" w:hAnsi="Times New Roman" w:cs="Times New Roman"/>
                <w:color w:val="00B050"/>
                <w:sz w:val="21"/>
                <w:szCs w:val="21"/>
                <w:highlight w:val="none"/>
                <w:lang w:val="en-US" w:eastAsia="zh-CN" w:bidi="ar"/>
              </w:rPr>
              <w:t>排放量</w:t>
            </w:r>
          </w:p>
          <w:p w14:paraId="1965CADB">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center"/>
              <w:rPr>
                <w:rFonts w:hint="default" w:ascii="Times New Roman" w:hAnsi="Times New Roman" w:cs="Times New Roman"/>
                <w:color w:val="00B050"/>
                <w:sz w:val="21"/>
                <w:szCs w:val="21"/>
                <w:highlight w:val="none"/>
              </w:rPr>
            </w:pPr>
            <w:r>
              <w:rPr>
                <w:rFonts w:hint="default" w:ascii="Times New Roman" w:hAnsi="Times New Roman" w:cs="Times New Roman"/>
                <w:color w:val="00B050"/>
                <w:sz w:val="21"/>
                <w:szCs w:val="21"/>
                <w:highlight w:val="none"/>
                <w:lang w:val="en-US" w:eastAsia="zh-CN" w:bidi="ar"/>
              </w:rPr>
              <w:t>t/a</w:t>
            </w:r>
          </w:p>
        </w:tc>
        <w:tc>
          <w:tcPr>
            <w:tcW w:w="589" w:type="pct"/>
            <w:tcBorders>
              <w:top w:val="single" w:color="000000" w:sz="4" w:space="0"/>
              <w:left w:val="single" w:color="000000" w:sz="4" w:space="0"/>
              <w:bottom w:val="single" w:color="000000" w:sz="4" w:space="0"/>
              <w:right w:val="single" w:color="000000" w:sz="4" w:space="0"/>
              <w:tl2br w:val="nil"/>
              <w:tr2bl w:val="nil"/>
            </w:tcBorders>
            <w:noWrap/>
            <w:vAlign w:val="center"/>
          </w:tcPr>
          <w:p w14:paraId="748DBE61">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center"/>
              <w:rPr>
                <w:rFonts w:hint="default" w:ascii="Times New Roman" w:hAnsi="Times New Roman" w:cs="Times New Roman"/>
                <w:color w:val="00B050"/>
                <w:sz w:val="21"/>
                <w:szCs w:val="21"/>
                <w:highlight w:val="none"/>
                <w:lang w:val="en-US" w:eastAsia="zh-CN" w:bidi="ar"/>
              </w:rPr>
            </w:pPr>
            <w:r>
              <w:rPr>
                <w:rFonts w:hint="default" w:ascii="Times New Roman" w:hAnsi="Times New Roman" w:cs="Times New Roman"/>
                <w:color w:val="00B050"/>
                <w:sz w:val="21"/>
                <w:szCs w:val="21"/>
                <w:highlight w:val="none"/>
                <w:lang w:val="en-US" w:eastAsia="zh-CN" w:bidi="ar"/>
              </w:rPr>
              <w:t>排放速率</w:t>
            </w:r>
          </w:p>
          <w:p w14:paraId="44583844">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center"/>
              <w:rPr>
                <w:rFonts w:hint="default" w:ascii="Times New Roman" w:hAnsi="Times New Roman" w:cs="Times New Roman"/>
                <w:color w:val="00B050"/>
                <w:sz w:val="21"/>
                <w:szCs w:val="21"/>
                <w:highlight w:val="none"/>
              </w:rPr>
            </w:pPr>
            <w:r>
              <w:rPr>
                <w:rFonts w:hint="default" w:ascii="Times New Roman" w:hAnsi="Times New Roman" w:cs="Times New Roman"/>
                <w:color w:val="00B050"/>
                <w:sz w:val="21"/>
                <w:szCs w:val="21"/>
                <w:highlight w:val="none"/>
                <w:lang w:val="en-US" w:eastAsia="zh-CN" w:bidi="ar"/>
              </w:rPr>
              <w:t>kg/h</w:t>
            </w:r>
          </w:p>
        </w:tc>
      </w:tr>
      <w:tr w14:paraId="3086B6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523" w:type="pct"/>
            <w:tcBorders>
              <w:top w:val="single" w:color="000000" w:sz="4" w:space="0"/>
              <w:left w:val="single" w:color="000000" w:sz="4" w:space="0"/>
              <w:bottom w:val="single" w:color="000000" w:sz="4" w:space="0"/>
              <w:right w:val="single" w:color="000000" w:sz="4" w:space="0"/>
              <w:tl2br w:val="nil"/>
              <w:tr2bl w:val="nil"/>
            </w:tcBorders>
            <w:noWrap/>
            <w:vAlign w:val="center"/>
          </w:tcPr>
          <w:p w14:paraId="73F31EC9">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center"/>
              <w:rPr>
                <w:rFonts w:hint="default" w:ascii="Times New Roman" w:hAnsi="Times New Roman" w:cs="Times New Roman"/>
                <w:color w:val="00B050"/>
                <w:sz w:val="21"/>
                <w:szCs w:val="21"/>
                <w:highlight w:val="none"/>
              </w:rPr>
            </w:pPr>
            <w:r>
              <w:rPr>
                <w:rFonts w:hint="default" w:ascii="Times New Roman" w:hAnsi="Times New Roman" w:cs="Times New Roman"/>
                <w:color w:val="00B050"/>
                <w:sz w:val="21"/>
                <w:szCs w:val="21"/>
                <w:highlight w:val="none"/>
                <w:lang w:val="en-US" w:eastAsia="zh-CN" w:bidi="ar"/>
              </w:rPr>
              <w:t>颗粒物</w:t>
            </w:r>
          </w:p>
        </w:tc>
        <w:tc>
          <w:tcPr>
            <w:tcW w:w="615" w:type="pct"/>
            <w:tcBorders>
              <w:top w:val="single" w:color="000000" w:sz="4" w:space="0"/>
              <w:left w:val="single" w:color="000000" w:sz="4" w:space="0"/>
              <w:bottom w:val="single" w:color="000000" w:sz="4" w:space="0"/>
              <w:right w:val="single" w:color="000000" w:sz="4" w:space="0"/>
              <w:tl2br w:val="nil"/>
              <w:tr2bl w:val="nil"/>
            </w:tcBorders>
            <w:noWrap/>
            <w:vAlign w:val="center"/>
          </w:tcPr>
          <w:p w14:paraId="52CC9290">
            <w:pPr>
              <w:keepNext w:val="0"/>
              <w:keepLines w:val="0"/>
              <w:pageBreakBefore w:val="0"/>
              <w:widowControl/>
              <w:suppressLineNumbers w:val="0"/>
              <w:kinsoku/>
              <w:wordWrap/>
              <w:overflowPunct/>
              <w:topLinePunct w:val="0"/>
              <w:bidi w:val="0"/>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2"/>
                <w:szCs w:val="22"/>
                <w:highlight w:val="none"/>
                <w:u w:val="none"/>
                <w:lang w:val="en-US" w:eastAsia="zh-CN" w:bidi="ar"/>
              </w:rPr>
            </w:pPr>
            <w:r>
              <w:rPr>
                <w:rFonts w:hint="default" w:ascii="Times New Roman" w:hAnsi="Times New Roman" w:eastAsia="宋体" w:cs="Times New Roman"/>
                <w:i w:val="0"/>
                <w:iCs w:val="0"/>
                <w:color w:val="00B050"/>
                <w:kern w:val="0"/>
                <w:sz w:val="22"/>
                <w:szCs w:val="22"/>
                <w:highlight w:val="none"/>
                <w:u w:val="none"/>
                <w:lang w:val="en-US" w:eastAsia="zh-CN" w:bidi="ar"/>
              </w:rPr>
              <w:t>12000</w:t>
            </w:r>
          </w:p>
        </w:tc>
        <w:tc>
          <w:tcPr>
            <w:tcW w:w="1396"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1360DD28">
            <w:pPr>
              <w:keepNext w:val="0"/>
              <w:keepLines w:val="0"/>
              <w:pageBreakBefore w:val="0"/>
              <w:widowControl/>
              <w:suppressLineNumbers w:val="0"/>
              <w:kinsoku/>
              <w:wordWrap/>
              <w:overflowPunct/>
              <w:topLinePunct w:val="0"/>
              <w:bidi w:val="0"/>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2"/>
                <w:szCs w:val="22"/>
                <w:highlight w:val="none"/>
                <w:u w:val="none"/>
                <w:lang w:val="en-US" w:eastAsia="zh-CN" w:bidi="ar"/>
              </w:rPr>
            </w:pPr>
            <w:r>
              <w:rPr>
                <w:rFonts w:hint="default" w:ascii="Times New Roman" w:hAnsi="Times New Roman" w:eastAsia="宋体" w:cs="Times New Roman"/>
                <w:i w:val="0"/>
                <w:iCs w:val="0"/>
                <w:color w:val="00B050"/>
                <w:kern w:val="0"/>
                <w:sz w:val="22"/>
                <w:szCs w:val="22"/>
                <w:highlight w:val="none"/>
                <w:u w:val="none"/>
                <w:lang w:val="en-US" w:eastAsia="zh-CN" w:bidi="ar"/>
              </w:rPr>
              <w:t xml:space="preserve">2951.389 </w:t>
            </w:r>
          </w:p>
        </w:tc>
        <w:tc>
          <w:tcPr>
            <w:tcW w:w="1195"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58F508EF">
            <w:pPr>
              <w:keepNext w:val="0"/>
              <w:keepLines w:val="0"/>
              <w:pageBreakBefore w:val="0"/>
              <w:widowControl/>
              <w:suppressLineNumbers w:val="0"/>
              <w:kinsoku/>
              <w:wordWrap/>
              <w:overflowPunct/>
              <w:topLinePunct w:val="0"/>
              <w:bidi w:val="0"/>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2"/>
                <w:szCs w:val="22"/>
                <w:highlight w:val="none"/>
                <w:u w:val="none"/>
                <w:lang w:val="en-US" w:eastAsia="zh-CN" w:bidi="ar"/>
              </w:rPr>
            </w:pPr>
            <w:r>
              <w:rPr>
                <w:rFonts w:hint="default" w:ascii="Times New Roman" w:hAnsi="Times New Roman" w:eastAsia="宋体" w:cs="Times New Roman"/>
                <w:i w:val="0"/>
                <w:iCs w:val="0"/>
                <w:color w:val="00B050"/>
                <w:kern w:val="0"/>
                <w:sz w:val="22"/>
                <w:szCs w:val="22"/>
                <w:highlight w:val="none"/>
                <w:u w:val="none"/>
                <w:lang w:val="en-US" w:eastAsia="zh-CN" w:bidi="ar"/>
              </w:rPr>
              <w:t xml:space="preserve">170.000 </w:t>
            </w:r>
          </w:p>
        </w:tc>
        <w:tc>
          <w:tcPr>
            <w:tcW w:w="1195"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373FD9C0">
            <w:pPr>
              <w:keepNext w:val="0"/>
              <w:keepLines w:val="0"/>
              <w:pageBreakBefore w:val="0"/>
              <w:widowControl/>
              <w:suppressLineNumbers w:val="0"/>
              <w:kinsoku/>
              <w:wordWrap/>
              <w:overflowPunct/>
              <w:topLinePunct w:val="0"/>
              <w:bidi w:val="0"/>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2"/>
                <w:szCs w:val="22"/>
                <w:highlight w:val="none"/>
                <w:u w:val="none"/>
                <w:lang w:val="en-US" w:eastAsia="zh-CN" w:bidi="ar"/>
              </w:rPr>
            </w:pPr>
            <w:r>
              <w:rPr>
                <w:rFonts w:hint="default" w:ascii="Times New Roman" w:hAnsi="Times New Roman" w:eastAsia="宋体" w:cs="Times New Roman"/>
                <w:i w:val="0"/>
                <w:iCs w:val="0"/>
                <w:color w:val="00B050"/>
                <w:kern w:val="0"/>
                <w:sz w:val="22"/>
                <w:szCs w:val="22"/>
                <w:highlight w:val="none"/>
                <w:u w:val="none"/>
                <w:lang w:val="en-US" w:eastAsia="zh-CN" w:bidi="ar"/>
              </w:rPr>
              <w:t xml:space="preserve">35.417 </w:t>
            </w:r>
          </w:p>
        </w:tc>
        <w:tc>
          <w:tcPr>
            <w:tcW w:w="1195"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4757B5BA">
            <w:pPr>
              <w:keepNext w:val="0"/>
              <w:keepLines w:val="0"/>
              <w:pageBreakBefore w:val="0"/>
              <w:widowControl/>
              <w:suppressLineNumbers w:val="0"/>
              <w:kinsoku/>
              <w:wordWrap/>
              <w:overflowPunct/>
              <w:topLinePunct w:val="0"/>
              <w:bidi w:val="0"/>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2"/>
                <w:szCs w:val="22"/>
                <w:highlight w:val="none"/>
                <w:u w:val="none"/>
                <w:lang w:val="en-US" w:eastAsia="zh-CN" w:bidi="ar"/>
              </w:rPr>
            </w:pPr>
            <w:r>
              <w:rPr>
                <w:rFonts w:hint="default" w:ascii="Times New Roman" w:hAnsi="Times New Roman" w:eastAsia="宋体" w:cs="Times New Roman"/>
                <w:i w:val="0"/>
                <w:iCs w:val="0"/>
                <w:color w:val="00B050"/>
                <w:kern w:val="0"/>
                <w:sz w:val="22"/>
                <w:szCs w:val="22"/>
                <w:highlight w:val="none"/>
                <w:u w:val="none"/>
                <w:lang w:val="en-US" w:eastAsia="zh-CN" w:bidi="ar"/>
              </w:rPr>
              <w:t xml:space="preserve">11.806 </w:t>
            </w:r>
          </w:p>
        </w:tc>
        <w:tc>
          <w:tcPr>
            <w:tcW w:w="1095"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1994D031">
            <w:pPr>
              <w:keepNext w:val="0"/>
              <w:keepLines w:val="0"/>
              <w:pageBreakBefore w:val="0"/>
              <w:widowControl/>
              <w:suppressLineNumbers w:val="0"/>
              <w:kinsoku/>
              <w:wordWrap/>
              <w:overflowPunct/>
              <w:topLinePunct w:val="0"/>
              <w:bidi w:val="0"/>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2"/>
                <w:szCs w:val="22"/>
                <w:highlight w:val="none"/>
                <w:u w:val="none"/>
                <w:lang w:val="en-US" w:eastAsia="zh-CN" w:bidi="ar"/>
              </w:rPr>
            </w:pPr>
            <w:r>
              <w:rPr>
                <w:rFonts w:hint="default" w:ascii="Times New Roman" w:hAnsi="Times New Roman" w:eastAsia="宋体" w:cs="Times New Roman"/>
                <w:i w:val="0"/>
                <w:iCs w:val="0"/>
                <w:color w:val="00B050"/>
                <w:kern w:val="0"/>
                <w:sz w:val="22"/>
                <w:szCs w:val="22"/>
                <w:highlight w:val="none"/>
                <w:u w:val="none"/>
                <w:lang w:val="en-US" w:eastAsia="zh-CN" w:bidi="ar"/>
              </w:rPr>
              <w:t xml:space="preserve">0.680 </w:t>
            </w:r>
          </w:p>
        </w:tc>
        <w:tc>
          <w:tcPr>
            <w:tcW w:w="1095"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5E5F6C2D">
            <w:pPr>
              <w:keepNext w:val="0"/>
              <w:keepLines w:val="0"/>
              <w:pageBreakBefore w:val="0"/>
              <w:widowControl/>
              <w:suppressLineNumbers w:val="0"/>
              <w:kinsoku/>
              <w:wordWrap/>
              <w:overflowPunct/>
              <w:topLinePunct w:val="0"/>
              <w:bidi w:val="0"/>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2"/>
                <w:szCs w:val="22"/>
                <w:highlight w:val="none"/>
                <w:u w:val="none"/>
                <w:lang w:val="en-US" w:eastAsia="zh-CN" w:bidi="ar"/>
              </w:rPr>
            </w:pPr>
            <w:r>
              <w:rPr>
                <w:rFonts w:hint="default" w:ascii="Times New Roman" w:hAnsi="Times New Roman" w:eastAsia="宋体" w:cs="Times New Roman"/>
                <w:i w:val="0"/>
                <w:iCs w:val="0"/>
                <w:color w:val="00B050"/>
                <w:kern w:val="0"/>
                <w:sz w:val="22"/>
                <w:szCs w:val="22"/>
                <w:highlight w:val="none"/>
                <w:u w:val="none"/>
                <w:lang w:val="en-US" w:eastAsia="zh-CN" w:bidi="ar"/>
              </w:rPr>
              <w:t xml:space="preserve">0.142 </w:t>
            </w:r>
          </w:p>
        </w:tc>
      </w:tr>
    </w:tbl>
    <w:p w14:paraId="1193A974">
      <w:pPr>
        <w:numPr>
          <w:ilvl w:val="0"/>
          <w:numId w:val="28"/>
        </w:numPr>
        <w:spacing w:beforeLines="0" w:afterLines="0"/>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机械设备燃油废气</w:t>
      </w:r>
    </w:p>
    <w:p w14:paraId="4CCD3C0B">
      <w:pPr>
        <w:numPr>
          <w:ilvl w:val="0"/>
          <w:numId w:val="0"/>
        </w:numPr>
        <w:spacing w:beforeLines="0" w:afterLines="0"/>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施工机械主要有挖土机、空压机及各种运输车辆。大部分使用柴油作为能源，少量使用汽油，这部分机械主要在土石方开挖、运输、填埋阶段使用，是废气的主要来源。项目建设施工中施工机械运行产生的废气、运输车辆运输产生的尾气均由柴油燃烧产生，为影响空气环境的主要污染物之一。根据《环境影响评价技术导则大气环境》（HJ2.2-2018）的要求，参照《公路建设项目环境影响建设规范》（JTGB03-2006）中机动车污染物排放系数，计算机械设备运行过程中产生的废气污染物。</w:t>
      </w:r>
    </w:p>
    <w:p w14:paraId="0D178DBD">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施工机械、机动车废气污染物主要来自曲轴箱漏气、燃油系统挥发和排气管的排放，主要有CO、NOx等。CO是燃料在发动机内不完全燃烧的产物，主要取决于空燃比和各种汽缸燃料分配的均匀性。NOx是汽缸内过量空气中的氧气和氮气在高温下形成的产物。</w:t>
      </w:r>
    </w:p>
    <w:p w14:paraId="52046894">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本项目总运输量为</w:t>
      </w:r>
      <w:r>
        <w:rPr>
          <w:rFonts w:hint="default" w:ascii="Times New Roman" w:hAnsi="Times New Roman" w:cs="Times New Roman"/>
          <w:color w:val="auto"/>
          <w:sz w:val="24"/>
          <w:szCs w:val="24"/>
          <w:highlight w:val="none"/>
          <w:lang w:val="en-US" w:eastAsia="zh-CN"/>
        </w:rPr>
        <w:t>80</w:t>
      </w:r>
      <w:r>
        <w:rPr>
          <w:rFonts w:hint="default" w:ascii="Times New Roman" w:hAnsi="Times New Roman" w:cs="Times New Roman"/>
          <w:color w:val="auto"/>
          <w:sz w:val="24"/>
          <w:szCs w:val="24"/>
          <w:highlight w:val="none"/>
        </w:rPr>
        <w:t>万t/a，平均每天需运输</w:t>
      </w:r>
      <w:r>
        <w:rPr>
          <w:rFonts w:hint="default" w:ascii="Times New Roman" w:hAnsi="Times New Roman" w:cs="Times New Roman"/>
          <w:color w:val="auto"/>
          <w:sz w:val="24"/>
          <w:szCs w:val="24"/>
          <w:highlight w:val="none"/>
          <w:lang w:val="en-US" w:eastAsia="zh-CN"/>
        </w:rPr>
        <w:t>112</w:t>
      </w:r>
      <w:r>
        <w:rPr>
          <w:rFonts w:hint="default" w:ascii="Times New Roman" w:hAnsi="Times New Roman" w:cs="Times New Roman"/>
          <w:color w:val="auto"/>
          <w:sz w:val="24"/>
          <w:szCs w:val="24"/>
          <w:highlight w:val="none"/>
        </w:rPr>
        <w:t>车次，按每车次平均运距约</w:t>
      </w:r>
      <w:r>
        <w:rPr>
          <w:rFonts w:hint="default" w:ascii="Times New Roman" w:hAnsi="Times New Roman" w:cs="Times New Roman"/>
          <w:color w:val="auto"/>
          <w:sz w:val="24"/>
          <w:szCs w:val="24"/>
          <w:highlight w:val="none"/>
          <w:lang w:val="en-US" w:eastAsia="zh-CN"/>
        </w:rPr>
        <w:t>3km</w:t>
      </w:r>
      <w:r>
        <w:rPr>
          <w:rFonts w:hint="default" w:ascii="Times New Roman" w:hAnsi="Times New Roman" w:cs="Times New Roman"/>
          <w:color w:val="auto"/>
          <w:sz w:val="24"/>
          <w:szCs w:val="24"/>
          <w:highlight w:val="none"/>
        </w:rPr>
        <w:t>计。根据《公路建设项目环境影响评价规范》（JTGB03-2006）推荐的单车排放因子，污染物排放量见</w:t>
      </w:r>
      <w:r>
        <w:rPr>
          <w:rFonts w:hint="default" w:ascii="Times New Roman" w:hAnsi="Times New Roman" w:cs="Times New Roman"/>
          <w:color w:val="auto"/>
          <w:sz w:val="24"/>
          <w:szCs w:val="24"/>
          <w:highlight w:val="none"/>
          <w:lang w:val="en-US" w:eastAsia="zh-CN"/>
        </w:rPr>
        <w:t>下</w:t>
      </w:r>
      <w:r>
        <w:rPr>
          <w:rFonts w:hint="default" w:ascii="Times New Roman" w:hAnsi="Times New Roman" w:cs="Times New Roman"/>
          <w:color w:val="auto"/>
          <w:sz w:val="24"/>
          <w:szCs w:val="24"/>
          <w:highlight w:val="none"/>
        </w:rPr>
        <w:t>表。</w:t>
      </w:r>
    </w:p>
    <w:p w14:paraId="484E0EE2">
      <w:pPr>
        <w:pStyle w:val="45"/>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表 3.</w:t>
      </w:r>
      <w:r>
        <w:rPr>
          <w:rFonts w:hint="eastAsia" w:ascii="Times New Roman" w:hAnsi="Times New Roman" w:cs="Times New Roman"/>
          <w:color w:val="auto"/>
          <w:sz w:val="24"/>
          <w:szCs w:val="24"/>
          <w:highlight w:val="none"/>
          <w:lang w:val="en-US" w:eastAsia="zh-CN"/>
        </w:rPr>
        <w:t>8</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11</w:t>
      </w:r>
      <w:r>
        <w:rPr>
          <w:rFonts w:hint="default" w:ascii="Times New Roman" w:hAnsi="Times New Roman" w:cs="Times New Roman"/>
          <w:color w:val="auto"/>
          <w:sz w:val="24"/>
          <w:szCs w:val="24"/>
          <w:highlight w:val="none"/>
        </w:rPr>
        <w:tab/>
      </w:r>
      <w:r>
        <w:rPr>
          <w:rFonts w:hint="default" w:ascii="Times New Roman" w:hAnsi="Times New Roman" w:cs="Times New Roman"/>
          <w:color w:val="auto"/>
          <w:sz w:val="24"/>
          <w:szCs w:val="24"/>
          <w:highlight w:val="none"/>
        </w:rPr>
        <w:t>项目新增燃油废气污染物排放估算一览表</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58"/>
        <w:gridCol w:w="3058"/>
        <w:gridCol w:w="3058"/>
      </w:tblGrid>
      <w:tr w14:paraId="68363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exact"/>
          <w:jc w:val="center"/>
        </w:trPr>
        <w:tc>
          <w:tcPr>
            <w:tcW w:w="3058" w:type="dxa"/>
            <w:tcBorders>
              <w:top w:val="single" w:color="auto" w:sz="4" w:space="0"/>
              <w:left w:val="single" w:color="auto" w:sz="4" w:space="0"/>
              <w:bottom w:val="single" w:color="auto" w:sz="4" w:space="0"/>
              <w:right w:val="single" w:color="auto" w:sz="4" w:space="0"/>
              <w:tl2br w:val="nil"/>
              <w:tr2bl w:val="nil"/>
            </w:tcBorders>
            <w:noWrap w:val="0"/>
            <w:vAlign w:val="top"/>
          </w:tcPr>
          <w:p w14:paraId="08354C9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污染物</w:t>
            </w:r>
          </w:p>
        </w:tc>
        <w:tc>
          <w:tcPr>
            <w:tcW w:w="3058" w:type="dxa"/>
            <w:tcBorders>
              <w:top w:val="single" w:color="auto" w:sz="4" w:space="0"/>
              <w:left w:val="single" w:color="auto" w:sz="4" w:space="0"/>
              <w:bottom w:val="single" w:color="auto" w:sz="4" w:space="0"/>
              <w:right w:val="single" w:color="auto" w:sz="4" w:space="0"/>
              <w:tl2br w:val="nil"/>
              <w:tr2bl w:val="nil"/>
            </w:tcBorders>
            <w:noWrap w:val="0"/>
            <w:vAlign w:val="top"/>
          </w:tcPr>
          <w:p w14:paraId="739884B1">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CO</w:t>
            </w:r>
          </w:p>
        </w:tc>
        <w:tc>
          <w:tcPr>
            <w:tcW w:w="3058" w:type="dxa"/>
            <w:tcBorders>
              <w:top w:val="single" w:color="auto" w:sz="4" w:space="0"/>
              <w:left w:val="single" w:color="auto" w:sz="4" w:space="0"/>
              <w:bottom w:val="single" w:color="auto" w:sz="4" w:space="0"/>
              <w:right w:val="single" w:color="auto" w:sz="4" w:space="0"/>
              <w:tl2br w:val="nil"/>
              <w:tr2bl w:val="nil"/>
            </w:tcBorders>
            <w:noWrap w:val="0"/>
            <w:vAlign w:val="top"/>
          </w:tcPr>
          <w:p w14:paraId="10D4B34C">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NOx</w:t>
            </w:r>
          </w:p>
        </w:tc>
      </w:tr>
      <w:tr w14:paraId="255CE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058" w:type="dxa"/>
            <w:tcBorders>
              <w:top w:val="single" w:color="auto" w:sz="4" w:space="0"/>
              <w:left w:val="single" w:color="auto" w:sz="4" w:space="0"/>
              <w:bottom w:val="single" w:color="auto" w:sz="4" w:space="0"/>
              <w:right w:val="single" w:color="auto" w:sz="4" w:space="0"/>
              <w:tl2br w:val="nil"/>
              <w:tr2bl w:val="nil"/>
            </w:tcBorders>
            <w:noWrap w:val="0"/>
            <w:vAlign w:val="top"/>
          </w:tcPr>
          <w:p w14:paraId="62E33244">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排放系数</w:t>
            </w:r>
          </w:p>
        </w:tc>
        <w:tc>
          <w:tcPr>
            <w:tcW w:w="3058" w:type="dxa"/>
            <w:tcBorders>
              <w:top w:val="single" w:color="auto" w:sz="4" w:space="0"/>
              <w:left w:val="single" w:color="auto" w:sz="4" w:space="0"/>
              <w:bottom w:val="single" w:color="auto" w:sz="4" w:space="0"/>
              <w:right w:val="single" w:color="auto" w:sz="4" w:space="0"/>
              <w:tl2br w:val="nil"/>
              <w:tr2bl w:val="nil"/>
            </w:tcBorders>
            <w:noWrap w:val="0"/>
            <w:vAlign w:val="top"/>
          </w:tcPr>
          <w:p w14:paraId="229CEED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4.48mg/辆·m</w:t>
            </w:r>
          </w:p>
        </w:tc>
        <w:tc>
          <w:tcPr>
            <w:tcW w:w="3058" w:type="dxa"/>
            <w:tcBorders>
              <w:top w:val="single" w:color="auto" w:sz="4" w:space="0"/>
              <w:left w:val="single" w:color="auto" w:sz="4" w:space="0"/>
              <w:bottom w:val="single" w:color="auto" w:sz="4" w:space="0"/>
              <w:right w:val="single" w:color="auto" w:sz="4" w:space="0"/>
              <w:tl2br w:val="nil"/>
              <w:tr2bl w:val="nil"/>
            </w:tcBorders>
            <w:noWrap w:val="0"/>
            <w:vAlign w:val="top"/>
          </w:tcPr>
          <w:p w14:paraId="29BD0FE3">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10.48mg/辆·m</w:t>
            </w:r>
          </w:p>
        </w:tc>
      </w:tr>
      <w:tr w14:paraId="669CB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058" w:type="dxa"/>
            <w:tcBorders>
              <w:top w:val="single" w:color="auto" w:sz="4" w:space="0"/>
              <w:left w:val="single" w:color="auto" w:sz="4" w:space="0"/>
              <w:bottom w:val="single" w:color="auto" w:sz="4" w:space="0"/>
              <w:right w:val="single" w:color="auto" w:sz="4" w:space="0"/>
              <w:tl2br w:val="nil"/>
              <w:tr2bl w:val="nil"/>
            </w:tcBorders>
            <w:noWrap w:val="0"/>
            <w:vAlign w:val="top"/>
          </w:tcPr>
          <w:p w14:paraId="65FBAE13">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平均时速</w:t>
            </w:r>
          </w:p>
        </w:tc>
        <w:tc>
          <w:tcPr>
            <w:tcW w:w="3058" w:type="dxa"/>
            <w:tcBorders>
              <w:top w:val="single" w:color="auto" w:sz="4" w:space="0"/>
              <w:left w:val="single" w:color="auto" w:sz="4" w:space="0"/>
              <w:bottom w:val="single" w:color="auto" w:sz="4" w:space="0"/>
              <w:right w:val="single" w:color="auto" w:sz="4" w:space="0"/>
              <w:tl2br w:val="nil"/>
              <w:tr2bl w:val="nil"/>
            </w:tcBorders>
            <w:noWrap w:val="0"/>
            <w:vAlign w:val="top"/>
          </w:tcPr>
          <w:p w14:paraId="461E9B27">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50km/h</w:t>
            </w:r>
          </w:p>
        </w:tc>
        <w:tc>
          <w:tcPr>
            <w:tcW w:w="3058" w:type="dxa"/>
            <w:tcBorders>
              <w:top w:val="single" w:color="auto" w:sz="4" w:space="0"/>
              <w:left w:val="single" w:color="auto" w:sz="4" w:space="0"/>
              <w:bottom w:val="single" w:color="auto" w:sz="4" w:space="0"/>
              <w:right w:val="single" w:color="auto" w:sz="4" w:space="0"/>
              <w:tl2br w:val="nil"/>
              <w:tr2bl w:val="nil"/>
            </w:tcBorders>
            <w:noWrap w:val="0"/>
            <w:vAlign w:val="top"/>
          </w:tcPr>
          <w:p w14:paraId="3C603A9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50km/h</w:t>
            </w:r>
          </w:p>
        </w:tc>
      </w:tr>
      <w:tr w14:paraId="01D89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exact"/>
          <w:jc w:val="center"/>
        </w:trPr>
        <w:tc>
          <w:tcPr>
            <w:tcW w:w="3058" w:type="dxa"/>
            <w:tcBorders>
              <w:top w:val="single" w:color="auto" w:sz="4" w:space="0"/>
              <w:left w:val="single" w:color="auto" w:sz="4" w:space="0"/>
              <w:bottom w:val="single" w:color="auto" w:sz="4" w:space="0"/>
              <w:right w:val="single" w:color="auto" w:sz="4" w:space="0"/>
              <w:tl2br w:val="nil"/>
              <w:tr2bl w:val="nil"/>
            </w:tcBorders>
            <w:noWrap w:val="0"/>
            <w:vAlign w:val="top"/>
          </w:tcPr>
          <w:p w14:paraId="6084A317">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污染物排放量</w:t>
            </w:r>
          </w:p>
        </w:tc>
        <w:tc>
          <w:tcPr>
            <w:tcW w:w="3058" w:type="dxa"/>
            <w:tcBorders>
              <w:top w:val="single" w:color="auto" w:sz="4" w:space="0"/>
              <w:left w:val="single" w:color="auto" w:sz="4" w:space="0"/>
              <w:bottom w:val="single" w:color="auto" w:sz="4" w:space="0"/>
              <w:right w:val="single" w:color="auto" w:sz="4" w:space="0"/>
              <w:tl2br w:val="nil"/>
              <w:tr2bl w:val="nil"/>
            </w:tcBorders>
            <w:noWrap w:val="0"/>
            <w:vAlign w:val="top"/>
          </w:tcPr>
          <w:p w14:paraId="6AE8B1EA">
            <w:pPr>
              <w:pStyle w:val="48"/>
              <w:spacing w:beforeLines="0" w:afterLines="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1.51</w:t>
            </w:r>
            <w:r>
              <w:rPr>
                <w:rFonts w:hint="default" w:ascii="Times New Roman" w:hAnsi="Times New Roman" w:cs="Times New Roman"/>
                <w:color w:val="auto"/>
                <w:sz w:val="24"/>
                <w:szCs w:val="24"/>
                <w:highlight w:val="none"/>
                <w:lang w:val="en-US" w:eastAsia="zh-CN"/>
              </w:rPr>
              <w:t>kg</w:t>
            </w:r>
          </w:p>
        </w:tc>
        <w:tc>
          <w:tcPr>
            <w:tcW w:w="3058" w:type="dxa"/>
            <w:tcBorders>
              <w:top w:val="single" w:color="auto" w:sz="4" w:space="0"/>
              <w:left w:val="single" w:color="auto" w:sz="4" w:space="0"/>
              <w:bottom w:val="single" w:color="auto" w:sz="4" w:space="0"/>
              <w:right w:val="single" w:color="auto" w:sz="4" w:space="0"/>
              <w:tl2br w:val="nil"/>
              <w:tr2bl w:val="nil"/>
            </w:tcBorders>
            <w:noWrap w:val="0"/>
            <w:vAlign w:val="top"/>
          </w:tcPr>
          <w:p w14:paraId="535EE711">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3.52kg</w:t>
            </w:r>
          </w:p>
        </w:tc>
      </w:tr>
    </w:tbl>
    <w:p w14:paraId="22A2A0BA">
      <w:pPr>
        <w:numPr>
          <w:ilvl w:val="0"/>
          <w:numId w:val="28"/>
        </w:numPr>
        <w:spacing w:beforeLines="0" w:afterLines="0"/>
        <w:ind w:firstLine="480"/>
        <w:rPr>
          <w:rFonts w:hint="default" w:ascii="Times New Roman" w:hAnsi="Times New Roman" w:cs="Times New Roman"/>
          <w:color w:val="auto"/>
          <w:sz w:val="24"/>
          <w:szCs w:val="24"/>
          <w:highlight w:val="none"/>
        </w:rPr>
      </w:pPr>
      <w:bookmarkStart w:id="157" w:name="（2）废水"/>
      <w:bookmarkEnd w:id="157"/>
      <w:r>
        <w:rPr>
          <w:rFonts w:hint="eastAsia" w:cs="Times New Roman"/>
          <w:color w:val="auto"/>
          <w:sz w:val="24"/>
          <w:szCs w:val="24"/>
          <w:highlight w:val="none"/>
          <w:lang w:val="en-US" w:eastAsia="zh-CN"/>
        </w:rPr>
        <w:t>油烟废气</w:t>
      </w:r>
    </w:p>
    <w:p w14:paraId="5137C2B1">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B050"/>
          <w:spacing w:val="0"/>
          <w:sz w:val="24"/>
          <w:szCs w:val="24"/>
          <w:highlight w:val="none"/>
        </w:rPr>
      </w:pPr>
      <w:r>
        <w:rPr>
          <w:rFonts w:hint="default"/>
          <w:color w:val="00B050"/>
          <w:sz w:val="24"/>
          <w:szCs w:val="24"/>
          <w:highlight w:val="none"/>
          <w:lang w:val="en-US" w:eastAsia="zh-CN"/>
        </w:rPr>
        <w:t>本项目设有食堂，主要为员工提供就餐服务</w:t>
      </w:r>
      <w:r>
        <w:rPr>
          <w:rFonts w:hint="eastAsia"/>
          <w:color w:val="00B050"/>
          <w:sz w:val="24"/>
          <w:szCs w:val="24"/>
          <w:highlight w:val="none"/>
          <w:lang w:val="en-US" w:eastAsia="zh-CN"/>
        </w:rPr>
        <w:t>，就餐人数为32人</w:t>
      </w:r>
      <w:r>
        <w:rPr>
          <w:rFonts w:hint="default"/>
          <w:color w:val="00B050"/>
          <w:sz w:val="24"/>
          <w:szCs w:val="24"/>
          <w:highlight w:val="none"/>
          <w:lang w:val="en-US" w:eastAsia="zh-CN"/>
        </w:rPr>
        <w:t>。食堂运行时间为5小时/天，</w:t>
      </w:r>
      <w:r>
        <w:rPr>
          <w:rFonts w:hint="eastAsia"/>
          <w:color w:val="00B050"/>
          <w:sz w:val="24"/>
          <w:szCs w:val="24"/>
          <w:highlight w:val="none"/>
          <w:lang w:val="en-US" w:eastAsia="zh-CN"/>
        </w:rPr>
        <w:t>年工作天数为300天，</w:t>
      </w:r>
      <w:r>
        <w:rPr>
          <w:rFonts w:hint="default"/>
          <w:color w:val="00B050"/>
          <w:sz w:val="24"/>
          <w:szCs w:val="24"/>
          <w:highlight w:val="none"/>
          <w:lang w:val="en-US" w:eastAsia="zh-CN"/>
        </w:rPr>
        <w:t>耗油量按20克/人·天计算</w:t>
      </w:r>
      <w:r>
        <w:rPr>
          <w:rFonts w:hint="eastAsia"/>
          <w:color w:val="00B050"/>
          <w:sz w:val="24"/>
          <w:szCs w:val="24"/>
          <w:highlight w:val="none"/>
          <w:lang w:val="en-US" w:eastAsia="zh-CN"/>
        </w:rPr>
        <w:t>，</w:t>
      </w:r>
      <w:r>
        <w:rPr>
          <w:rFonts w:hint="default"/>
          <w:color w:val="00B050"/>
          <w:sz w:val="24"/>
          <w:szCs w:val="24"/>
          <w:highlight w:val="none"/>
          <w:lang w:val="en-US" w:eastAsia="zh-CN"/>
        </w:rPr>
        <w:t>总耗油量为</w:t>
      </w:r>
      <w:r>
        <w:rPr>
          <w:rFonts w:hint="eastAsia"/>
          <w:color w:val="00B050"/>
          <w:sz w:val="24"/>
          <w:szCs w:val="24"/>
          <w:highlight w:val="none"/>
          <w:lang w:val="en-US" w:eastAsia="zh-CN"/>
        </w:rPr>
        <w:t>640g/d</w:t>
      </w:r>
      <w:r>
        <w:rPr>
          <w:rFonts w:hint="default"/>
          <w:color w:val="00B050"/>
          <w:sz w:val="24"/>
          <w:szCs w:val="24"/>
          <w:highlight w:val="none"/>
          <w:lang w:val="en-US" w:eastAsia="zh-CN"/>
        </w:rPr>
        <w:t>，</w:t>
      </w:r>
      <w:r>
        <w:rPr>
          <w:rFonts w:hint="default"/>
          <w:color w:val="00B050"/>
          <w:sz w:val="24"/>
          <w:szCs w:val="24"/>
          <w:highlight w:val="none"/>
        </w:rPr>
        <w:t>根据调查，一般</w:t>
      </w:r>
      <w:r>
        <w:rPr>
          <w:rFonts w:hint="eastAsia"/>
          <w:color w:val="00B050"/>
          <w:sz w:val="24"/>
          <w:szCs w:val="24"/>
          <w:highlight w:val="none"/>
        </w:rPr>
        <w:t>占总耗油量的2%</w:t>
      </w:r>
      <w:r>
        <w:rPr>
          <w:rFonts w:hint="eastAsia"/>
          <w:color w:val="00B050"/>
          <w:sz w:val="24"/>
          <w:szCs w:val="24"/>
          <w:highlight w:val="none"/>
          <w:lang w:val="en-US" w:eastAsia="zh-CN"/>
        </w:rPr>
        <w:t>-</w:t>
      </w:r>
      <w:r>
        <w:rPr>
          <w:rFonts w:hint="eastAsia"/>
          <w:color w:val="00B050"/>
          <w:sz w:val="24"/>
          <w:szCs w:val="24"/>
          <w:highlight w:val="none"/>
        </w:rPr>
        <w:t>4%，平均为2.83%</w:t>
      </w:r>
      <w:r>
        <w:rPr>
          <w:rFonts w:hint="default"/>
          <w:color w:val="00B050"/>
          <w:sz w:val="24"/>
          <w:szCs w:val="24"/>
          <w:highlight w:val="none"/>
        </w:rPr>
        <w:t>，</w:t>
      </w:r>
      <w:r>
        <w:rPr>
          <w:rFonts w:hint="default"/>
          <w:color w:val="00B050"/>
          <w:sz w:val="24"/>
          <w:szCs w:val="24"/>
          <w:highlight w:val="none"/>
          <w:lang w:val="en-US" w:eastAsia="zh-CN"/>
        </w:rPr>
        <w:t>则挥发油烟量为</w:t>
      </w:r>
      <w:r>
        <w:rPr>
          <w:rFonts w:hint="eastAsia"/>
          <w:color w:val="00B050"/>
          <w:sz w:val="24"/>
          <w:szCs w:val="24"/>
          <w:highlight w:val="none"/>
          <w:lang w:val="en-US" w:eastAsia="zh-CN"/>
        </w:rPr>
        <w:t>18.112g/d</w:t>
      </w:r>
      <w:r>
        <w:rPr>
          <w:rFonts w:hint="default"/>
          <w:color w:val="00B050"/>
          <w:sz w:val="24"/>
          <w:szCs w:val="24"/>
          <w:highlight w:val="none"/>
          <w:lang w:val="en-US" w:eastAsia="zh-CN"/>
        </w:rPr>
        <w:t>（</w:t>
      </w:r>
      <w:r>
        <w:rPr>
          <w:rFonts w:hint="eastAsia"/>
          <w:color w:val="00B050"/>
          <w:sz w:val="24"/>
          <w:szCs w:val="24"/>
          <w:highlight w:val="none"/>
          <w:lang w:val="en-US" w:eastAsia="zh-CN"/>
        </w:rPr>
        <w:t>5.433kg/a</w:t>
      </w:r>
      <w:r>
        <w:rPr>
          <w:rFonts w:hint="default"/>
          <w:color w:val="00B050"/>
          <w:sz w:val="24"/>
          <w:szCs w:val="24"/>
          <w:highlight w:val="none"/>
          <w:lang w:val="en-US" w:eastAsia="zh-CN"/>
        </w:rPr>
        <w:t>），产生油烟气经油烟净化器处理（风机风量</w:t>
      </w:r>
      <w:r>
        <w:rPr>
          <w:rFonts w:hint="eastAsia"/>
          <w:color w:val="00B050"/>
          <w:sz w:val="24"/>
          <w:szCs w:val="24"/>
          <w:highlight w:val="none"/>
          <w:lang w:val="en-US" w:eastAsia="zh-CN"/>
        </w:rPr>
        <w:t>10</w:t>
      </w:r>
      <w:r>
        <w:rPr>
          <w:rFonts w:hint="default"/>
          <w:color w:val="00B050"/>
          <w:sz w:val="24"/>
          <w:szCs w:val="24"/>
          <w:highlight w:val="none"/>
          <w:lang w:val="en-US" w:eastAsia="zh-CN"/>
        </w:rPr>
        <w:t>00</w:t>
      </w:r>
      <w:r>
        <w:rPr>
          <w:rFonts w:hint="eastAsia"/>
          <w:color w:val="00B050"/>
          <w:sz w:val="24"/>
          <w:szCs w:val="24"/>
          <w:highlight w:val="none"/>
          <w:lang w:val="en-US" w:eastAsia="zh-CN"/>
        </w:rPr>
        <w:t>m</w:t>
      </w:r>
      <w:r>
        <w:rPr>
          <w:rFonts w:hint="eastAsia"/>
          <w:color w:val="00B050"/>
          <w:sz w:val="24"/>
          <w:szCs w:val="24"/>
          <w:highlight w:val="none"/>
          <w:vertAlign w:val="superscript"/>
          <w:lang w:val="en-US" w:eastAsia="zh-CN"/>
        </w:rPr>
        <w:t>3</w:t>
      </w:r>
      <w:r>
        <w:rPr>
          <w:rFonts w:hint="eastAsia"/>
          <w:color w:val="00B050"/>
          <w:sz w:val="24"/>
          <w:szCs w:val="24"/>
          <w:highlight w:val="none"/>
          <w:lang w:val="en-US" w:eastAsia="zh-CN"/>
        </w:rPr>
        <w:t>/h</w:t>
      </w:r>
      <w:r>
        <w:rPr>
          <w:rFonts w:hint="default"/>
          <w:color w:val="00B050"/>
          <w:sz w:val="24"/>
          <w:szCs w:val="24"/>
          <w:highlight w:val="none"/>
          <w:lang w:val="en-US" w:eastAsia="zh-CN"/>
        </w:rPr>
        <w:t>，净化效率≥</w:t>
      </w:r>
      <w:r>
        <w:rPr>
          <w:rFonts w:hint="eastAsia"/>
          <w:color w:val="00B050"/>
          <w:sz w:val="24"/>
          <w:szCs w:val="24"/>
          <w:highlight w:val="none"/>
          <w:lang w:val="en-US" w:eastAsia="zh-CN"/>
        </w:rPr>
        <w:t>75</w:t>
      </w:r>
      <w:r>
        <w:rPr>
          <w:rFonts w:hint="default"/>
          <w:color w:val="00B050"/>
          <w:sz w:val="24"/>
          <w:szCs w:val="24"/>
          <w:highlight w:val="none"/>
          <w:lang w:val="en-US" w:eastAsia="zh-CN"/>
        </w:rPr>
        <w:t>%）后引至屋顶排放，最终油烟排放量</w:t>
      </w:r>
      <w:r>
        <w:rPr>
          <w:rFonts w:hint="eastAsia"/>
          <w:color w:val="00B050"/>
          <w:sz w:val="24"/>
          <w:szCs w:val="24"/>
          <w:highlight w:val="none"/>
          <w:lang w:val="en-US" w:eastAsia="zh-CN"/>
        </w:rPr>
        <w:t>4.528g/d</w:t>
      </w:r>
      <w:r>
        <w:rPr>
          <w:rFonts w:hint="default"/>
          <w:color w:val="00B050"/>
          <w:sz w:val="24"/>
          <w:szCs w:val="24"/>
          <w:highlight w:val="none"/>
          <w:lang w:val="en-US" w:eastAsia="zh-CN"/>
        </w:rPr>
        <w:t>（</w:t>
      </w:r>
      <w:r>
        <w:rPr>
          <w:rFonts w:hint="eastAsia"/>
          <w:color w:val="00B050"/>
          <w:sz w:val="24"/>
          <w:szCs w:val="24"/>
          <w:highlight w:val="none"/>
          <w:lang w:val="en-US" w:eastAsia="zh-CN"/>
        </w:rPr>
        <w:t>1.358kg/a</w:t>
      </w:r>
      <w:r>
        <w:rPr>
          <w:rFonts w:hint="default"/>
          <w:color w:val="00B050"/>
          <w:sz w:val="24"/>
          <w:szCs w:val="24"/>
          <w:highlight w:val="none"/>
          <w:lang w:val="en-US" w:eastAsia="zh-CN"/>
        </w:rPr>
        <w:t>），排放浓度为</w:t>
      </w:r>
      <w:r>
        <w:rPr>
          <w:rFonts w:hint="eastAsia"/>
          <w:color w:val="00B050"/>
          <w:sz w:val="24"/>
          <w:szCs w:val="24"/>
          <w:highlight w:val="none"/>
          <w:lang w:val="en-US" w:eastAsia="zh-CN"/>
        </w:rPr>
        <w:t>0.9mg/m</w:t>
      </w:r>
      <w:r>
        <w:rPr>
          <w:rFonts w:hint="eastAsia"/>
          <w:color w:val="00B050"/>
          <w:sz w:val="24"/>
          <w:szCs w:val="24"/>
          <w:highlight w:val="none"/>
          <w:vertAlign w:val="superscript"/>
          <w:lang w:val="en-US" w:eastAsia="zh-CN"/>
        </w:rPr>
        <w:t>3</w:t>
      </w:r>
      <w:r>
        <w:rPr>
          <w:rFonts w:hint="default"/>
          <w:color w:val="00B050"/>
          <w:sz w:val="24"/>
          <w:szCs w:val="24"/>
          <w:highlight w:val="none"/>
          <w:lang w:val="en-US" w:eastAsia="zh-CN"/>
        </w:rPr>
        <w:t>，其排放浓度可以满足《饮食业油烟</w:t>
      </w:r>
      <w:r>
        <w:rPr>
          <w:rFonts w:hint="default" w:ascii="Times New Roman" w:hAnsi="Times New Roman" w:eastAsia="宋体" w:cs="Times New Roman"/>
          <w:color w:val="00B050"/>
          <w:spacing w:val="0"/>
          <w:kern w:val="2"/>
          <w:sz w:val="24"/>
          <w:szCs w:val="24"/>
          <w:highlight w:val="none"/>
          <w:lang w:val="en-US" w:eastAsia="zh-CN" w:bidi="ar-SA"/>
        </w:rPr>
        <w:t>排放标准（试行）》（GB18483-2001）中排放限值（2.0</w:t>
      </w:r>
      <w:r>
        <w:rPr>
          <w:rFonts w:hint="eastAsia" w:ascii="Times New Roman" w:hAnsi="Times New Roman" w:eastAsia="宋体" w:cs="Times New Roman"/>
          <w:color w:val="00B050"/>
          <w:spacing w:val="0"/>
          <w:sz w:val="24"/>
          <w:szCs w:val="24"/>
          <w:highlight w:val="none"/>
          <w:lang w:val="en-US" w:eastAsia="zh-CN"/>
        </w:rPr>
        <w:t>mg/m</w:t>
      </w:r>
      <w:r>
        <w:rPr>
          <w:rFonts w:hint="eastAsia" w:ascii="Times New Roman" w:hAnsi="Times New Roman" w:eastAsia="宋体" w:cs="Times New Roman"/>
          <w:color w:val="00B050"/>
          <w:spacing w:val="0"/>
          <w:sz w:val="24"/>
          <w:szCs w:val="24"/>
          <w:highlight w:val="none"/>
          <w:vertAlign w:val="superscript"/>
          <w:lang w:val="en-US" w:eastAsia="zh-CN"/>
        </w:rPr>
        <w:t>3</w:t>
      </w:r>
      <w:r>
        <w:rPr>
          <w:rFonts w:hint="default" w:ascii="Times New Roman" w:hAnsi="Times New Roman" w:eastAsia="宋体" w:cs="Times New Roman"/>
          <w:color w:val="00B050"/>
          <w:spacing w:val="0"/>
          <w:kern w:val="2"/>
          <w:sz w:val="24"/>
          <w:szCs w:val="24"/>
          <w:highlight w:val="none"/>
          <w:lang w:val="en-US" w:eastAsia="zh-CN" w:bidi="ar-SA"/>
        </w:rPr>
        <w:t>）要求。</w:t>
      </w:r>
    </w:p>
    <w:p w14:paraId="50CF195E">
      <w:pPr>
        <w:suppressLineNumbers w:val="0"/>
        <w:overflowPunct w:val="0"/>
        <w:adjustRightInd w:val="0"/>
        <w:snapToGrid w:val="0"/>
        <w:spacing w:before="0" w:beforeAutospacing="0" w:after="0" w:afterAutospacing="0" w:line="240" w:lineRule="auto"/>
        <w:ind w:left="0" w:right="0" w:firstLine="632" w:firstLineChars="300"/>
        <w:jc w:val="center"/>
        <w:rPr>
          <w:rFonts w:hint="default" w:ascii="Times New Roman" w:hAnsi="Times New Roman" w:eastAsia="宋体" w:cs="Times New Roman"/>
          <w:b/>
          <w:bCs/>
          <w:color w:val="00B050"/>
          <w:spacing w:val="0"/>
          <w:sz w:val="21"/>
          <w:szCs w:val="21"/>
          <w:highlight w:val="none"/>
          <w:lang w:val="zh-CN"/>
        </w:rPr>
      </w:pPr>
      <w:r>
        <w:rPr>
          <w:rFonts w:hint="default" w:ascii="Times New Roman" w:hAnsi="Times New Roman" w:eastAsia="宋体" w:cs="Times New Roman"/>
          <w:b/>
          <w:bCs/>
          <w:color w:val="00B050"/>
          <w:spacing w:val="0"/>
          <w:sz w:val="21"/>
          <w:szCs w:val="21"/>
          <w:highlight w:val="none"/>
          <w:lang w:val="zh-CN"/>
        </w:rPr>
        <w:t>表</w:t>
      </w:r>
      <w:r>
        <w:rPr>
          <w:rFonts w:hint="eastAsia" w:ascii="Times New Roman" w:hAnsi="Times New Roman" w:eastAsia="宋体" w:cs="Times New Roman"/>
          <w:b/>
          <w:bCs/>
          <w:color w:val="00B050"/>
          <w:spacing w:val="0"/>
          <w:sz w:val="21"/>
          <w:szCs w:val="21"/>
          <w:highlight w:val="none"/>
          <w:lang w:val="en-US" w:eastAsia="zh-CN"/>
        </w:rPr>
        <w:t>3.8-12</w:t>
      </w:r>
      <w:r>
        <w:rPr>
          <w:rFonts w:hint="default" w:ascii="Times New Roman" w:hAnsi="Times New Roman" w:eastAsia="宋体" w:cs="Times New Roman"/>
          <w:b/>
          <w:bCs/>
          <w:color w:val="00B050"/>
          <w:spacing w:val="0"/>
          <w:sz w:val="21"/>
          <w:szCs w:val="21"/>
          <w:highlight w:val="none"/>
          <w:lang w:val="en-US" w:eastAsia="zh-CN"/>
        </w:rPr>
        <w:t xml:space="preserve">   </w:t>
      </w:r>
      <w:r>
        <w:rPr>
          <w:rFonts w:hint="default" w:ascii="Times New Roman" w:hAnsi="Times New Roman" w:eastAsia="宋体" w:cs="Times New Roman"/>
          <w:b/>
          <w:bCs/>
          <w:color w:val="00B050"/>
          <w:spacing w:val="0"/>
          <w:sz w:val="21"/>
          <w:szCs w:val="21"/>
          <w:highlight w:val="none"/>
          <w:lang w:val="zh-CN"/>
        </w:rPr>
        <w:t>项目</w:t>
      </w:r>
      <w:r>
        <w:rPr>
          <w:rFonts w:hint="default" w:ascii="Times New Roman" w:hAnsi="Times New Roman" w:eastAsia="宋体" w:cs="Times New Roman"/>
          <w:b/>
          <w:bCs/>
          <w:color w:val="00B050"/>
          <w:spacing w:val="0"/>
          <w:sz w:val="21"/>
          <w:szCs w:val="21"/>
          <w:highlight w:val="none"/>
          <w:lang w:val="en-US" w:eastAsia="zh-CN"/>
        </w:rPr>
        <w:t>食堂油烟</w:t>
      </w:r>
      <w:r>
        <w:rPr>
          <w:rFonts w:hint="default" w:ascii="Times New Roman" w:hAnsi="Times New Roman" w:eastAsia="宋体" w:cs="Times New Roman"/>
          <w:b/>
          <w:bCs/>
          <w:color w:val="00B050"/>
          <w:spacing w:val="0"/>
          <w:sz w:val="21"/>
          <w:szCs w:val="21"/>
          <w:highlight w:val="none"/>
          <w:lang w:val="zh-CN"/>
        </w:rPr>
        <w:t>排放情况一览表</w:t>
      </w:r>
    </w:p>
    <w:tbl>
      <w:tblPr>
        <w:tblStyle w:val="31"/>
        <w:tblW w:w="4997"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9"/>
        <w:gridCol w:w="1242"/>
        <w:gridCol w:w="1110"/>
        <w:gridCol w:w="1343"/>
        <w:gridCol w:w="1388"/>
        <w:gridCol w:w="1726"/>
        <w:gridCol w:w="1662"/>
      </w:tblGrid>
      <w:tr w14:paraId="4C702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439" w:type="pct"/>
            <w:vMerge w:val="restart"/>
            <w:tcBorders>
              <w:tl2br w:val="nil"/>
              <w:tr2bl w:val="nil"/>
            </w:tcBorders>
            <w:noWrap w:val="0"/>
            <w:vAlign w:val="center"/>
          </w:tcPr>
          <w:p w14:paraId="5104ACBC">
            <w:pPr>
              <w:pStyle w:val="79"/>
              <w:suppressLineNumbers w:val="0"/>
              <w:bidi w:val="0"/>
              <w:spacing w:before="0" w:beforeAutospacing="0" w:after="0" w:afterAutospacing="0"/>
              <w:ind w:left="0" w:right="0"/>
              <w:rPr>
                <w:rFonts w:hint="default"/>
                <w:color w:val="00B050"/>
                <w:highlight w:val="none"/>
              </w:rPr>
            </w:pPr>
            <w:r>
              <w:rPr>
                <w:rFonts w:hint="default"/>
                <w:color w:val="00B050"/>
                <w:highlight w:val="none"/>
              </w:rPr>
              <w:t>排放源</w:t>
            </w:r>
          </w:p>
        </w:tc>
        <w:tc>
          <w:tcPr>
            <w:tcW w:w="672" w:type="pct"/>
            <w:vMerge w:val="restart"/>
            <w:tcBorders>
              <w:tl2br w:val="nil"/>
              <w:tr2bl w:val="nil"/>
            </w:tcBorders>
            <w:noWrap w:val="0"/>
            <w:vAlign w:val="center"/>
          </w:tcPr>
          <w:p w14:paraId="212D67AB">
            <w:pPr>
              <w:pStyle w:val="79"/>
              <w:suppressLineNumbers w:val="0"/>
              <w:bidi w:val="0"/>
              <w:spacing w:before="0" w:beforeAutospacing="0" w:after="0" w:afterAutospacing="0"/>
              <w:ind w:left="0" w:right="0"/>
              <w:rPr>
                <w:rFonts w:hint="default"/>
                <w:color w:val="00B050"/>
                <w:highlight w:val="none"/>
              </w:rPr>
            </w:pPr>
            <w:r>
              <w:rPr>
                <w:rFonts w:hint="default"/>
                <w:color w:val="00B050"/>
                <w:highlight w:val="none"/>
              </w:rPr>
              <w:t>污染物</w:t>
            </w:r>
          </w:p>
        </w:tc>
        <w:tc>
          <w:tcPr>
            <w:tcW w:w="581" w:type="pct"/>
            <w:vMerge w:val="restart"/>
            <w:tcBorders>
              <w:tl2br w:val="nil"/>
              <w:tr2bl w:val="nil"/>
            </w:tcBorders>
            <w:noWrap w:val="0"/>
            <w:vAlign w:val="center"/>
          </w:tcPr>
          <w:p w14:paraId="7B13F10D">
            <w:pPr>
              <w:pStyle w:val="79"/>
              <w:suppressLineNumbers w:val="0"/>
              <w:bidi w:val="0"/>
              <w:spacing w:before="0" w:beforeAutospacing="0" w:after="0" w:afterAutospacing="0"/>
              <w:ind w:left="0" w:right="0"/>
              <w:rPr>
                <w:rFonts w:hint="default"/>
                <w:color w:val="00B050"/>
                <w:highlight w:val="none"/>
              </w:rPr>
            </w:pPr>
            <w:r>
              <w:rPr>
                <w:rFonts w:hint="default"/>
                <w:color w:val="00B050"/>
                <w:highlight w:val="none"/>
              </w:rPr>
              <w:t>产生量（</w:t>
            </w:r>
            <w:r>
              <w:rPr>
                <w:rFonts w:hint="eastAsia"/>
                <w:color w:val="00B050"/>
                <w:highlight w:val="none"/>
                <w:lang w:eastAsia="zh-CN"/>
              </w:rPr>
              <w:t>kg/a</w:t>
            </w:r>
            <w:r>
              <w:rPr>
                <w:rFonts w:hint="default"/>
                <w:color w:val="00B050"/>
                <w:highlight w:val="none"/>
              </w:rPr>
              <w:t>）</w:t>
            </w:r>
          </w:p>
        </w:tc>
        <w:tc>
          <w:tcPr>
            <w:tcW w:w="726" w:type="pct"/>
            <w:vMerge w:val="restart"/>
            <w:tcBorders>
              <w:tl2br w:val="nil"/>
              <w:tr2bl w:val="nil"/>
            </w:tcBorders>
            <w:noWrap w:val="0"/>
            <w:vAlign w:val="center"/>
          </w:tcPr>
          <w:p w14:paraId="0C34DA81">
            <w:pPr>
              <w:pStyle w:val="79"/>
              <w:suppressLineNumbers w:val="0"/>
              <w:bidi w:val="0"/>
              <w:spacing w:before="0" w:beforeAutospacing="0" w:after="0" w:afterAutospacing="0"/>
              <w:ind w:left="0" w:right="0"/>
              <w:rPr>
                <w:rFonts w:hint="default"/>
                <w:color w:val="00B050"/>
                <w:highlight w:val="none"/>
              </w:rPr>
            </w:pPr>
            <w:r>
              <w:rPr>
                <w:rFonts w:hint="default"/>
                <w:color w:val="00B050"/>
                <w:highlight w:val="none"/>
              </w:rPr>
              <w:t>治理措施</w:t>
            </w:r>
          </w:p>
        </w:tc>
        <w:tc>
          <w:tcPr>
            <w:tcW w:w="2580" w:type="pct"/>
            <w:gridSpan w:val="3"/>
            <w:tcBorders>
              <w:tl2br w:val="nil"/>
              <w:tr2bl w:val="nil"/>
            </w:tcBorders>
            <w:noWrap w:val="0"/>
            <w:vAlign w:val="center"/>
          </w:tcPr>
          <w:p w14:paraId="2DA463B6">
            <w:pPr>
              <w:pStyle w:val="79"/>
              <w:suppressLineNumbers w:val="0"/>
              <w:bidi w:val="0"/>
              <w:spacing w:before="0" w:beforeAutospacing="0" w:after="0" w:afterAutospacing="0"/>
              <w:ind w:left="0" w:right="0"/>
              <w:rPr>
                <w:rFonts w:hint="default"/>
                <w:color w:val="00B050"/>
                <w:highlight w:val="none"/>
              </w:rPr>
            </w:pPr>
            <w:r>
              <w:rPr>
                <w:rFonts w:hint="default"/>
                <w:color w:val="00B050"/>
                <w:highlight w:val="none"/>
              </w:rPr>
              <w:t>污染物排放</w:t>
            </w:r>
          </w:p>
        </w:tc>
      </w:tr>
      <w:tr w14:paraId="17682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439" w:type="pct"/>
            <w:vMerge w:val="continue"/>
            <w:tcBorders>
              <w:tl2br w:val="nil"/>
              <w:tr2bl w:val="nil"/>
            </w:tcBorders>
            <w:noWrap w:val="0"/>
            <w:vAlign w:val="center"/>
          </w:tcPr>
          <w:p w14:paraId="0B87739C">
            <w:pPr>
              <w:pStyle w:val="79"/>
              <w:suppressLineNumbers w:val="0"/>
              <w:bidi w:val="0"/>
              <w:spacing w:before="0" w:beforeAutospacing="0" w:after="0" w:afterAutospacing="0"/>
              <w:ind w:left="0" w:right="0"/>
              <w:rPr>
                <w:rFonts w:hint="default"/>
                <w:color w:val="00B050"/>
                <w:highlight w:val="none"/>
              </w:rPr>
            </w:pPr>
          </w:p>
        </w:tc>
        <w:tc>
          <w:tcPr>
            <w:tcW w:w="672" w:type="pct"/>
            <w:vMerge w:val="continue"/>
            <w:tcBorders>
              <w:tl2br w:val="nil"/>
              <w:tr2bl w:val="nil"/>
            </w:tcBorders>
            <w:noWrap w:val="0"/>
            <w:vAlign w:val="center"/>
          </w:tcPr>
          <w:p w14:paraId="1C781F28">
            <w:pPr>
              <w:pStyle w:val="79"/>
              <w:suppressLineNumbers w:val="0"/>
              <w:bidi w:val="0"/>
              <w:spacing w:before="0" w:beforeAutospacing="0" w:after="0" w:afterAutospacing="0"/>
              <w:ind w:left="0" w:right="0"/>
              <w:rPr>
                <w:rFonts w:hint="default"/>
                <w:color w:val="00B050"/>
                <w:highlight w:val="none"/>
              </w:rPr>
            </w:pPr>
          </w:p>
        </w:tc>
        <w:tc>
          <w:tcPr>
            <w:tcW w:w="581" w:type="pct"/>
            <w:vMerge w:val="continue"/>
            <w:tcBorders>
              <w:tl2br w:val="nil"/>
              <w:tr2bl w:val="nil"/>
            </w:tcBorders>
            <w:noWrap w:val="0"/>
            <w:vAlign w:val="center"/>
          </w:tcPr>
          <w:p w14:paraId="66356982">
            <w:pPr>
              <w:pStyle w:val="79"/>
              <w:suppressLineNumbers w:val="0"/>
              <w:bidi w:val="0"/>
              <w:spacing w:before="0" w:beforeAutospacing="0" w:after="0" w:afterAutospacing="0"/>
              <w:ind w:left="0" w:right="0"/>
              <w:rPr>
                <w:rFonts w:hint="default"/>
                <w:color w:val="00B050"/>
                <w:highlight w:val="none"/>
              </w:rPr>
            </w:pPr>
          </w:p>
        </w:tc>
        <w:tc>
          <w:tcPr>
            <w:tcW w:w="726" w:type="pct"/>
            <w:vMerge w:val="continue"/>
            <w:tcBorders>
              <w:tl2br w:val="nil"/>
              <w:tr2bl w:val="nil"/>
            </w:tcBorders>
            <w:noWrap w:val="0"/>
            <w:vAlign w:val="center"/>
          </w:tcPr>
          <w:p w14:paraId="72C43CA3">
            <w:pPr>
              <w:pStyle w:val="79"/>
              <w:suppressLineNumbers w:val="0"/>
              <w:bidi w:val="0"/>
              <w:spacing w:before="0" w:beforeAutospacing="0" w:after="0" w:afterAutospacing="0"/>
              <w:ind w:left="0" w:right="0"/>
              <w:rPr>
                <w:rFonts w:hint="default"/>
                <w:color w:val="00B050"/>
                <w:highlight w:val="none"/>
              </w:rPr>
            </w:pPr>
          </w:p>
        </w:tc>
        <w:tc>
          <w:tcPr>
            <w:tcW w:w="750" w:type="pct"/>
            <w:tcBorders>
              <w:tl2br w:val="nil"/>
              <w:tr2bl w:val="nil"/>
            </w:tcBorders>
            <w:noWrap w:val="0"/>
            <w:vAlign w:val="center"/>
          </w:tcPr>
          <w:p w14:paraId="45616E1C">
            <w:pPr>
              <w:pStyle w:val="79"/>
              <w:suppressLineNumbers w:val="0"/>
              <w:bidi w:val="0"/>
              <w:spacing w:before="0" w:beforeAutospacing="0" w:after="0" w:afterAutospacing="0"/>
              <w:ind w:left="0" w:right="0"/>
              <w:rPr>
                <w:rFonts w:hint="default"/>
                <w:color w:val="00B050"/>
                <w:highlight w:val="none"/>
              </w:rPr>
            </w:pPr>
            <w:r>
              <w:rPr>
                <w:rFonts w:hint="default"/>
                <w:color w:val="00B050"/>
                <w:highlight w:val="none"/>
              </w:rPr>
              <w:t>处理效率</w:t>
            </w:r>
          </w:p>
        </w:tc>
        <w:tc>
          <w:tcPr>
            <w:tcW w:w="932" w:type="pct"/>
            <w:tcBorders>
              <w:tl2br w:val="nil"/>
              <w:tr2bl w:val="nil"/>
            </w:tcBorders>
            <w:noWrap w:val="0"/>
            <w:vAlign w:val="center"/>
          </w:tcPr>
          <w:p w14:paraId="25A7D1F2">
            <w:pPr>
              <w:pStyle w:val="79"/>
              <w:suppressLineNumbers w:val="0"/>
              <w:bidi w:val="0"/>
              <w:spacing w:before="0" w:beforeAutospacing="0" w:after="0" w:afterAutospacing="0"/>
              <w:ind w:left="0" w:right="0"/>
              <w:rPr>
                <w:rFonts w:hint="default"/>
                <w:color w:val="00B050"/>
                <w:highlight w:val="none"/>
              </w:rPr>
            </w:pPr>
            <w:r>
              <w:rPr>
                <w:rFonts w:hint="default"/>
                <w:color w:val="00B050"/>
                <w:highlight w:val="none"/>
              </w:rPr>
              <w:t>排放量</w:t>
            </w:r>
          </w:p>
          <w:p w14:paraId="4350CD7A">
            <w:pPr>
              <w:pStyle w:val="79"/>
              <w:suppressLineNumbers w:val="0"/>
              <w:bidi w:val="0"/>
              <w:spacing w:before="0" w:beforeAutospacing="0" w:after="0" w:afterAutospacing="0"/>
              <w:ind w:left="0" w:right="0"/>
              <w:rPr>
                <w:rFonts w:hint="default"/>
                <w:color w:val="00B050"/>
                <w:highlight w:val="none"/>
                <w:lang w:val="en-US" w:eastAsia="zh-CN"/>
              </w:rPr>
            </w:pPr>
            <w:r>
              <w:rPr>
                <w:rFonts w:hint="default"/>
                <w:color w:val="00B050"/>
                <w:highlight w:val="none"/>
              </w:rPr>
              <w:t>（</w:t>
            </w:r>
            <w:r>
              <w:rPr>
                <w:rFonts w:hint="eastAsia"/>
                <w:color w:val="00B050"/>
                <w:highlight w:val="none"/>
                <w:lang w:eastAsia="zh-CN"/>
              </w:rPr>
              <w:t>kg/a</w:t>
            </w:r>
            <w:r>
              <w:rPr>
                <w:rFonts w:hint="default"/>
                <w:color w:val="00B050"/>
                <w:highlight w:val="none"/>
              </w:rPr>
              <w:t>）</w:t>
            </w:r>
          </w:p>
        </w:tc>
        <w:tc>
          <w:tcPr>
            <w:tcW w:w="898" w:type="pct"/>
            <w:tcBorders>
              <w:tl2br w:val="nil"/>
              <w:tr2bl w:val="nil"/>
            </w:tcBorders>
            <w:noWrap w:val="0"/>
            <w:vAlign w:val="center"/>
          </w:tcPr>
          <w:p w14:paraId="571752F7">
            <w:pPr>
              <w:pStyle w:val="79"/>
              <w:suppressLineNumbers w:val="0"/>
              <w:bidi w:val="0"/>
              <w:spacing w:before="0" w:beforeAutospacing="0" w:after="0" w:afterAutospacing="0"/>
              <w:ind w:left="0" w:right="0"/>
              <w:rPr>
                <w:rFonts w:hint="default"/>
                <w:color w:val="00B050"/>
                <w:highlight w:val="none"/>
                <w:lang w:val="en-US" w:eastAsia="zh-CN"/>
              </w:rPr>
            </w:pPr>
            <w:r>
              <w:rPr>
                <w:rFonts w:hint="eastAsia"/>
                <w:color w:val="00B050"/>
                <w:highlight w:val="none"/>
                <w:lang w:val="en-US" w:eastAsia="zh-CN"/>
              </w:rPr>
              <w:t>排放浓度（mg/m</w:t>
            </w:r>
            <w:r>
              <w:rPr>
                <w:rFonts w:hint="eastAsia"/>
                <w:color w:val="00B050"/>
                <w:highlight w:val="none"/>
                <w:vertAlign w:val="superscript"/>
                <w:lang w:val="en-US" w:eastAsia="zh-CN"/>
              </w:rPr>
              <w:t>3</w:t>
            </w:r>
            <w:r>
              <w:rPr>
                <w:rFonts w:hint="eastAsia"/>
                <w:color w:val="00B050"/>
                <w:highlight w:val="none"/>
                <w:lang w:val="en-US" w:eastAsia="zh-CN"/>
              </w:rPr>
              <w:t>）</w:t>
            </w:r>
          </w:p>
        </w:tc>
      </w:tr>
      <w:tr w14:paraId="776AE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439" w:type="pct"/>
            <w:tcBorders>
              <w:tl2br w:val="nil"/>
              <w:tr2bl w:val="nil"/>
            </w:tcBorders>
            <w:noWrap w:val="0"/>
            <w:vAlign w:val="center"/>
          </w:tcPr>
          <w:p w14:paraId="0569C65E">
            <w:pPr>
              <w:pStyle w:val="79"/>
              <w:suppressLineNumbers w:val="0"/>
              <w:bidi w:val="0"/>
              <w:spacing w:before="0" w:beforeAutospacing="0" w:after="0" w:afterAutospacing="0"/>
              <w:ind w:left="0" w:right="0"/>
              <w:rPr>
                <w:rFonts w:hint="default"/>
                <w:color w:val="00B050"/>
                <w:highlight w:val="none"/>
                <w:lang w:val="en-US" w:eastAsia="zh-CN"/>
              </w:rPr>
            </w:pPr>
            <w:r>
              <w:rPr>
                <w:rFonts w:hint="default"/>
                <w:color w:val="00B050"/>
                <w:highlight w:val="none"/>
                <w:lang w:val="en-US" w:eastAsia="zh-CN"/>
              </w:rPr>
              <w:t>食堂</w:t>
            </w:r>
          </w:p>
        </w:tc>
        <w:tc>
          <w:tcPr>
            <w:tcW w:w="672" w:type="pct"/>
            <w:tcBorders>
              <w:tl2br w:val="nil"/>
              <w:tr2bl w:val="nil"/>
            </w:tcBorders>
            <w:noWrap w:val="0"/>
            <w:vAlign w:val="center"/>
          </w:tcPr>
          <w:p w14:paraId="72122CE0">
            <w:pPr>
              <w:pStyle w:val="79"/>
              <w:suppressLineNumbers w:val="0"/>
              <w:bidi w:val="0"/>
              <w:spacing w:before="0" w:beforeAutospacing="0" w:after="0" w:afterAutospacing="0"/>
              <w:ind w:left="0" w:right="0"/>
              <w:rPr>
                <w:rFonts w:hint="default"/>
                <w:color w:val="00B050"/>
                <w:highlight w:val="none"/>
              </w:rPr>
            </w:pPr>
            <w:r>
              <w:rPr>
                <w:rFonts w:hint="default"/>
                <w:color w:val="00B050"/>
                <w:highlight w:val="none"/>
                <w:lang w:val="en-US" w:eastAsia="zh-CN"/>
              </w:rPr>
              <w:t>食堂油烟</w:t>
            </w:r>
          </w:p>
        </w:tc>
        <w:tc>
          <w:tcPr>
            <w:tcW w:w="581" w:type="pct"/>
            <w:tcBorders>
              <w:tl2br w:val="nil"/>
              <w:tr2bl w:val="nil"/>
            </w:tcBorders>
            <w:noWrap w:val="0"/>
            <w:vAlign w:val="center"/>
          </w:tcPr>
          <w:p w14:paraId="07F07CAC">
            <w:pPr>
              <w:pStyle w:val="79"/>
              <w:suppressLineNumbers w:val="0"/>
              <w:bidi w:val="0"/>
              <w:spacing w:before="0" w:beforeAutospacing="0" w:after="0" w:afterAutospacing="0"/>
              <w:ind w:left="0" w:right="0"/>
              <w:rPr>
                <w:rFonts w:hint="default"/>
                <w:color w:val="00B050"/>
                <w:highlight w:val="none"/>
                <w:lang w:val="en-US" w:eastAsia="zh-CN"/>
              </w:rPr>
            </w:pPr>
            <w:r>
              <w:rPr>
                <w:rFonts w:hint="eastAsia"/>
                <w:color w:val="00B050"/>
                <w:highlight w:val="none"/>
                <w:lang w:val="en-US" w:eastAsia="zh-CN"/>
              </w:rPr>
              <w:t>5.433</w:t>
            </w:r>
          </w:p>
        </w:tc>
        <w:tc>
          <w:tcPr>
            <w:tcW w:w="726" w:type="pct"/>
            <w:tcBorders>
              <w:tl2br w:val="nil"/>
              <w:tr2bl w:val="nil"/>
            </w:tcBorders>
            <w:noWrap w:val="0"/>
            <w:vAlign w:val="center"/>
          </w:tcPr>
          <w:p w14:paraId="2C737C32">
            <w:pPr>
              <w:pStyle w:val="79"/>
              <w:suppressLineNumbers w:val="0"/>
              <w:bidi w:val="0"/>
              <w:spacing w:before="0" w:beforeAutospacing="0" w:after="0" w:afterAutospacing="0"/>
              <w:ind w:left="0" w:right="0"/>
              <w:rPr>
                <w:rFonts w:hint="default"/>
                <w:color w:val="00B050"/>
                <w:highlight w:val="none"/>
                <w:lang w:eastAsia="zh-CN"/>
              </w:rPr>
            </w:pPr>
            <w:r>
              <w:rPr>
                <w:rFonts w:hint="default"/>
                <w:color w:val="00B050"/>
                <w:highlight w:val="none"/>
                <w:lang w:eastAsia="zh-CN"/>
              </w:rPr>
              <w:t>油烟净化器</w:t>
            </w:r>
          </w:p>
        </w:tc>
        <w:tc>
          <w:tcPr>
            <w:tcW w:w="750" w:type="pct"/>
            <w:tcBorders>
              <w:tl2br w:val="nil"/>
              <w:tr2bl w:val="nil"/>
            </w:tcBorders>
            <w:noWrap w:val="0"/>
            <w:vAlign w:val="center"/>
          </w:tcPr>
          <w:p w14:paraId="42C9317A">
            <w:pPr>
              <w:pStyle w:val="79"/>
              <w:suppressLineNumbers w:val="0"/>
              <w:bidi w:val="0"/>
              <w:spacing w:before="0" w:beforeAutospacing="0" w:after="0" w:afterAutospacing="0"/>
              <w:ind w:left="0" w:right="0"/>
              <w:rPr>
                <w:rFonts w:hint="default"/>
                <w:color w:val="00B050"/>
                <w:highlight w:val="none"/>
                <w:lang w:val="en-US" w:eastAsia="zh-CN"/>
              </w:rPr>
            </w:pPr>
            <w:r>
              <w:rPr>
                <w:rFonts w:hint="eastAsia"/>
                <w:color w:val="00B050"/>
                <w:highlight w:val="none"/>
                <w:lang w:val="en-US" w:eastAsia="zh-CN"/>
              </w:rPr>
              <w:t>75</w:t>
            </w:r>
            <w:r>
              <w:rPr>
                <w:rFonts w:hint="default"/>
                <w:color w:val="00B050"/>
                <w:highlight w:val="none"/>
                <w:lang w:val="en-US" w:eastAsia="zh-CN"/>
              </w:rPr>
              <w:t>%</w:t>
            </w:r>
          </w:p>
        </w:tc>
        <w:tc>
          <w:tcPr>
            <w:tcW w:w="932" w:type="pct"/>
            <w:tcBorders>
              <w:tl2br w:val="nil"/>
              <w:tr2bl w:val="nil"/>
            </w:tcBorders>
            <w:noWrap w:val="0"/>
            <w:vAlign w:val="center"/>
          </w:tcPr>
          <w:p w14:paraId="609C4A85">
            <w:pPr>
              <w:pStyle w:val="79"/>
              <w:suppressLineNumbers w:val="0"/>
              <w:bidi w:val="0"/>
              <w:spacing w:before="0" w:beforeAutospacing="0" w:after="0" w:afterAutospacing="0"/>
              <w:ind w:left="0" w:right="0"/>
              <w:rPr>
                <w:rFonts w:hint="default"/>
                <w:color w:val="00B050"/>
                <w:highlight w:val="none"/>
                <w:lang w:val="en-US" w:eastAsia="zh-CN"/>
              </w:rPr>
            </w:pPr>
            <w:r>
              <w:rPr>
                <w:rFonts w:hint="eastAsia"/>
                <w:color w:val="00B050"/>
                <w:highlight w:val="none"/>
                <w:lang w:val="en-US" w:eastAsia="zh-CN"/>
              </w:rPr>
              <w:t>1.358</w:t>
            </w:r>
          </w:p>
        </w:tc>
        <w:tc>
          <w:tcPr>
            <w:tcW w:w="898" w:type="pct"/>
            <w:tcBorders>
              <w:tl2br w:val="nil"/>
              <w:tr2bl w:val="nil"/>
            </w:tcBorders>
            <w:noWrap w:val="0"/>
            <w:vAlign w:val="center"/>
          </w:tcPr>
          <w:p w14:paraId="5282CE83">
            <w:pPr>
              <w:pStyle w:val="79"/>
              <w:suppressLineNumbers w:val="0"/>
              <w:bidi w:val="0"/>
              <w:spacing w:before="0" w:beforeAutospacing="0" w:after="0" w:afterAutospacing="0"/>
              <w:ind w:left="0" w:right="0"/>
              <w:rPr>
                <w:rFonts w:hint="default"/>
                <w:color w:val="00B050"/>
                <w:highlight w:val="none"/>
                <w:lang w:val="en-US" w:eastAsia="zh-CN"/>
              </w:rPr>
            </w:pPr>
            <w:r>
              <w:rPr>
                <w:rFonts w:hint="eastAsia"/>
                <w:color w:val="00B050"/>
                <w:highlight w:val="none"/>
                <w:lang w:val="en-US" w:eastAsia="zh-CN"/>
              </w:rPr>
              <w:t>0.9</w:t>
            </w:r>
          </w:p>
        </w:tc>
      </w:tr>
    </w:tbl>
    <w:p w14:paraId="5503ACED">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（2）废水</w:t>
      </w:r>
    </w:p>
    <w:p w14:paraId="4AB7DA18">
      <w:pPr>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rPr>
        <w:t>①</w:t>
      </w:r>
      <w:r>
        <w:rPr>
          <w:rFonts w:hint="default" w:ascii="Times New Roman" w:hAnsi="Times New Roman" w:cs="Times New Roman"/>
          <w:color w:val="auto"/>
          <w:sz w:val="24"/>
          <w:szCs w:val="24"/>
          <w:highlight w:val="none"/>
          <w:lang w:val="en-US" w:eastAsia="zh-CN"/>
        </w:rPr>
        <w:t>生产用水</w:t>
      </w:r>
    </w:p>
    <w:p w14:paraId="6E2BBBBC">
      <w:pPr>
        <w:spacing w:beforeLines="0" w:afterLines="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rPr>
        <w:t>矿山生产用水主要是</w:t>
      </w:r>
      <w:r>
        <w:rPr>
          <w:rFonts w:hint="default" w:ascii="Times New Roman" w:hAnsi="Times New Roman" w:cs="Times New Roman"/>
          <w:color w:val="auto"/>
          <w:sz w:val="24"/>
          <w:szCs w:val="24"/>
          <w:highlight w:val="none"/>
          <w:lang w:val="en-US" w:eastAsia="zh-CN"/>
        </w:rPr>
        <w:t>砂石洗选用水</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以及采场，工业广场等降尘用水，降尘用水通过自然蒸发，地表吸收等形式自然消耗。洗砂废水经沉淀池沉淀后</w:t>
      </w:r>
      <w:r>
        <w:rPr>
          <w:rFonts w:hint="default" w:ascii="Times New Roman" w:hAnsi="Times New Roman" w:cs="Times New Roman"/>
          <w:color w:val="auto"/>
          <w:sz w:val="24"/>
          <w:szCs w:val="24"/>
          <w:highlight w:val="none"/>
        </w:rPr>
        <w:t>循环使用不排放</w:t>
      </w:r>
      <w:r>
        <w:rPr>
          <w:rFonts w:hint="default" w:ascii="Times New Roman" w:hAnsi="Times New Roman" w:cs="Times New Roman"/>
          <w:color w:val="auto"/>
          <w:sz w:val="24"/>
          <w:szCs w:val="24"/>
          <w:highlight w:val="none"/>
          <w:lang w:eastAsia="zh-CN"/>
        </w:rPr>
        <w:t>。</w:t>
      </w:r>
    </w:p>
    <w:p w14:paraId="6FD6F285">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②生活污水</w:t>
      </w:r>
    </w:p>
    <w:p w14:paraId="18818582">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项目职工定员为</w:t>
      </w:r>
      <w:r>
        <w:rPr>
          <w:rFonts w:hint="default" w:ascii="Times New Roman" w:hAnsi="Times New Roman" w:cs="Times New Roman"/>
          <w:color w:val="auto"/>
          <w:sz w:val="24"/>
          <w:szCs w:val="24"/>
          <w:highlight w:val="none"/>
          <w:lang w:val="en-US" w:eastAsia="zh-CN"/>
        </w:rPr>
        <w:t>32</w:t>
      </w:r>
      <w:r>
        <w:rPr>
          <w:rFonts w:hint="default" w:ascii="Times New Roman" w:hAnsi="Times New Roman" w:cs="Times New Roman"/>
          <w:color w:val="auto"/>
          <w:sz w:val="24"/>
          <w:szCs w:val="24"/>
          <w:highlight w:val="none"/>
        </w:rPr>
        <w:t>人，年生产天数</w:t>
      </w:r>
      <w:r>
        <w:rPr>
          <w:rFonts w:hint="default" w:ascii="Times New Roman" w:hAnsi="Times New Roman" w:cs="Times New Roman"/>
          <w:color w:val="auto"/>
          <w:sz w:val="24"/>
          <w:szCs w:val="24"/>
          <w:highlight w:val="none"/>
          <w:lang w:val="en-US" w:eastAsia="zh-CN"/>
        </w:rPr>
        <w:t>300</w:t>
      </w:r>
      <w:r>
        <w:rPr>
          <w:rFonts w:hint="default" w:ascii="Times New Roman" w:hAnsi="Times New Roman" w:cs="Times New Roman"/>
          <w:color w:val="auto"/>
          <w:sz w:val="24"/>
          <w:szCs w:val="24"/>
          <w:highlight w:val="none"/>
        </w:rPr>
        <w:t>天，生活用水量为</w:t>
      </w:r>
      <w:r>
        <w:rPr>
          <w:rFonts w:hint="default" w:ascii="Times New Roman" w:hAnsi="Times New Roman" w:cs="Times New Roman"/>
          <w:color w:val="auto"/>
          <w:sz w:val="24"/>
          <w:szCs w:val="24"/>
          <w:highlight w:val="none"/>
          <w:lang w:val="en-US" w:eastAsia="zh-CN"/>
        </w:rPr>
        <w:t>3.2</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d（</w:t>
      </w:r>
      <w:r>
        <w:rPr>
          <w:rFonts w:hint="default" w:ascii="Times New Roman" w:hAnsi="Times New Roman" w:cs="Times New Roman"/>
          <w:color w:val="auto"/>
          <w:sz w:val="24"/>
          <w:szCs w:val="24"/>
          <w:highlight w:val="none"/>
          <w:lang w:val="en-US" w:eastAsia="zh-CN"/>
        </w:rPr>
        <w:t>960</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/a），排水量以用水量的80%计算，则生活污水排放量约为</w:t>
      </w:r>
      <w:r>
        <w:rPr>
          <w:rFonts w:hint="default" w:ascii="Times New Roman" w:hAnsi="Times New Roman" w:cs="Times New Roman"/>
          <w:color w:val="auto"/>
          <w:sz w:val="24"/>
          <w:szCs w:val="24"/>
          <w:highlight w:val="none"/>
          <w:lang w:val="en-US" w:eastAsia="zh-CN"/>
        </w:rPr>
        <w:t>2.56</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/d（</w:t>
      </w:r>
      <w:r>
        <w:rPr>
          <w:rFonts w:hint="default" w:ascii="Times New Roman" w:hAnsi="Times New Roman" w:cs="Times New Roman"/>
          <w:color w:val="auto"/>
          <w:sz w:val="24"/>
          <w:szCs w:val="24"/>
          <w:highlight w:val="none"/>
          <w:lang w:val="en-US" w:eastAsia="zh-CN"/>
        </w:rPr>
        <w:t>768</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/a）。</w:t>
      </w:r>
    </w:p>
    <w:p w14:paraId="0A61241E">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排水为一般性生活污水，主要污染物为SS、BOD</w:t>
      </w:r>
      <w:r>
        <w:rPr>
          <w:rFonts w:hint="default" w:ascii="Times New Roman" w:hAnsi="Times New Roman" w:cs="Times New Roman"/>
          <w:color w:val="auto"/>
          <w:sz w:val="24"/>
          <w:szCs w:val="24"/>
          <w:highlight w:val="none"/>
          <w:vertAlign w:val="subscript"/>
        </w:rPr>
        <w:t>5</w:t>
      </w:r>
      <w:r>
        <w:rPr>
          <w:rFonts w:hint="default" w:ascii="Times New Roman" w:hAnsi="Times New Roman" w:cs="Times New Roman"/>
          <w:color w:val="auto"/>
          <w:sz w:val="24"/>
          <w:szCs w:val="24"/>
          <w:highlight w:val="none"/>
        </w:rPr>
        <w:t>、COD、NH</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-N。根据类比资料，废水污染物排放情况见</w:t>
      </w:r>
      <w:r>
        <w:rPr>
          <w:rFonts w:hint="default" w:ascii="Times New Roman" w:hAnsi="Times New Roman" w:cs="Times New Roman"/>
          <w:color w:val="auto"/>
          <w:sz w:val="24"/>
          <w:szCs w:val="24"/>
          <w:highlight w:val="none"/>
          <w:lang w:val="en-US" w:eastAsia="zh-CN"/>
        </w:rPr>
        <w:t>下</w:t>
      </w:r>
      <w:r>
        <w:rPr>
          <w:rFonts w:hint="default" w:ascii="Times New Roman" w:hAnsi="Times New Roman" w:cs="Times New Roman"/>
          <w:color w:val="auto"/>
          <w:sz w:val="24"/>
          <w:szCs w:val="24"/>
          <w:highlight w:val="none"/>
        </w:rPr>
        <w:t>表。</w:t>
      </w:r>
    </w:p>
    <w:p w14:paraId="1B415E42">
      <w:pPr>
        <w:pStyle w:val="45"/>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表3.</w:t>
      </w:r>
      <w:r>
        <w:rPr>
          <w:rFonts w:hint="eastAsia" w:ascii="Times New Roman" w:hAnsi="Times New Roman" w:cs="Times New Roman"/>
          <w:color w:val="auto"/>
          <w:sz w:val="24"/>
          <w:szCs w:val="24"/>
          <w:highlight w:val="none"/>
          <w:lang w:val="en-US" w:eastAsia="zh-CN"/>
        </w:rPr>
        <w:t>8</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1</w:t>
      </w:r>
      <w:r>
        <w:rPr>
          <w:rFonts w:hint="eastAsia"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rPr>
        <w:tab/>
      </w:r>
      <w:r>
        <w:rPr>
          <w:rFonts w:hint="default" w:ascii="Times New Roman" w:hAnsi="Times New Roman" w:cs="Times New Roman"/>
          <w:color w:val="auto"/>
          <w:sz w:val="24"/>
          <w:szCs w:val="24"/>
          <w:highlight w:val="none"/>
        </w:rPr>
        <w:t>废水主要污染物及排放情况</w:t>
      </w:r>
    </w:p>
    <w:tbl>
      <w:tblPr>
        <w:tblStyle w:val="31"/>
        <w:tblW w:w="0" w:type="auto"/>
        <w:tblInd w:w="2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42"/>
        <w:gridCol w:w="2004"/>
        <w:gridCol w:w="1387"/>
        <w:gridCol w:w="1233"/>
        <w:gridCol w:w="1154"/>
        <w:gridCol w:w="1275"/>
        <w:gridCol w:w="1446"/>
      </w:tblGrid>
      <w:tr w14:paraId="51581D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exact"/>
        </w:trPr>
        <w:tc>
          <w:tcPr>
            <w:tcW w:w="2846" w:type="dxa"/>
            <w:gridSpan w:val="2"/>
            <w:tcBorders>
              <w:top w:val="single" w:color="000000" w:sz="4" w:space="0"/>
              <w:left w:val="single" w:color="000000" w:sz="4" w:space="0"/>
              <w:bottom w:val="single" w:color="000000" w:sz="4" w:space="0"/>
              <w:right w:val="single" w:color="000000" w:sz="4" w:space="0"/>
              <w:tl2br w:val="nil"/>
              <w:tr2bl w:val="nil"/>
            </w:tcBorders>
            <w:noWrap w:val="0"/>
            <w:vAlign w:val="top"/>
          </w:tcPr>
          <w:p w14:paraId="7A20C1AC">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主要污染物</w:t>
            </w:r>
          </w:p>
        </w:tc>
        <w:tc>
          <w:tcPr>
            <w:tcW w:w="138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3AEE3BE">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排水量</w:t>
            </w: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6410E1EA">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SS</w:t>
            </w:r>
          </w:p>
        </w:tc>
        <w:tc>
          <w:tcPr>
            <w:tcW w:w="1154"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2F15EE0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COD</w:t>
            </w:r>
          </w:p>
        </w:tc>
        <w:tc>
          <w:tcPr>
            <w:tcW w:w="1275"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2E43E6B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BOD</w:t>
            </w:r>
            <w:r>
              <w:rPr>
                <w:rFonts w:hint="default" w:ascii="Times New Roman" w:hAnsi="Times New Roman" w:cs="Times New Roman"/>
                <w:color w:val="auto"/>
                <w:sz w:val="24"/>
                <w:szCs w:val="24"/>
                <w:highlight w:val="none"/>
                <w:vertAlign w:val="subscript"/>
              </w:rPr>
              <w:t>5</w:t>
            </w:r>
          </w:p>
        </w:tc>
        <w:tc>
          <w:tcPr>
            <w:tcW w:w="144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1D79C53B">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NH3-N</w:t>
            </w:r>
          </w:p>
        </w:tc>
      </w:tr>
      <w:tr w14:paraId="7AE951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0" w:hRule="exact"/>
        </w:trPr>
        <w:tc>
          <w:tcPr>
            <w:tcW w:w="842"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top"/>
          </w:tcPr>
          <w:p w14:paraId="6BAABB1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处理前</w:t>
            </w:r>
          </w:p>
        </w:tc>
        <w:tc>
          <w:tcPr>
            <w:tcW w:w="2004"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0B9BDEB4">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浓度（mg/L）</w:t>
            </w:r>
          </w:p>
        </w:tc>
        <w:tc>
          <w:tcPr>
            <w:tcW w:w="1387"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7AC2D05">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768</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/a</w:t>
            </w: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6C647BBD">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350</w:t>
            </w:r>
          </w:p>
        </w:tc>
        <w:tc>
          <w:tcPr>
            <w:tcW w:w="1154"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05E753E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320</w:t>
            </w:r>
          </w:p>
        </w:tc>
        <w:tc>
          <w:tcPr>
            <w:tcW w:w="1275"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7B590FAD">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220</w:t>
            </w:r>
          </w:p>
        </w:tc>
        <w:tc>
          <w:tcPr>
            <w:tcW w:w="144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5A58FC95">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30</w:t>
            </w:r>
          </w:p>
        </w:tc>
      </w:tr>
      <w:tr w14:paraId="0D7AF5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0" w:hRule="exact"/>
        </w:trPr>
        <w:tc>
          <w:tcPr>
            <w:tcW w:w="84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top"/>
          </w:tcPr>
          <w:p w14:paraId="742D58FD">
            <w:pPr>
              <w:pStyle w:val="48"/>
              <w:spacing w:beforeLines="0" w:afterLines="0"/>
              <w:rPr>
                <w:rFonts w:hint="default" w:ascii="Times New Roman" w:hAnsi="Times New Roman" w:cs="Times New Roman"/>
                <w:color w:val="auto"/>
                <w:sz w:val="24"/>
                <w:szCs w:val="24"/>
                <w:highlight w:val="none"/>
              </w:rPr>
            </w:pPr>
          </w:p>
        </w:tc>
        <w:tc>
          <w:tcPr>
            <w:tcW w:w="2004"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25A24234">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产生量（t/a）</w:t>
            </w:r>
          </w:p>
        </w:tc>
        <w:tc>
          <w:tcPr>
            <w:tcW w:w="1387"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D68481C">
            <w:pPr>
              <w:pStyle w:val="48"/>
              <w:spacing w:beforeLines="0" w:afterLines="0"/>
              <w:rPr>
                <w:rFonts w:hint="default" w:ascii="Times New Roman" w:hAnsi="Times New Roman" w:cs="Times New Roman"/>
                <w:color w:val="auto"/>
                <w:sz w:val="24"/>
                <w:szCs w:val="24"/>
                <w:highlight w:val="none"/>
              </w:rPr>
            </w:pP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56C130B7">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 xml:space="preserve">0.269 </w:t>
            </w:r>
          </w:p>
        </w:tc>
        <w:tc>
          <w:tcPr>
            <w:tcW w:w="1154"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117FA047">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 xml:space="preserve">0.246 </w:t>
            </w:r>
          </w:p>
        </w:tc>
        <w:tc>
          <w:tcPr>
            <w:tcW w:w="1275"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63036CD1">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 xml:space="preserve">0.169 </w:t>
            </w:r>
          </w:p>
        </w:tc>
        <w:tc>
          <w:tcPr>
            <w:tcW w:w="144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2B373A9D">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 xml:space="preserve">0.023 </w:t>
            </w:r>
          </w:p>
        </w:tc>
      </w:tr>
      <w:tr w14:paraId="78BDEB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0" w:hRule="exact"/>
        </w:trPr>
        <w:tc>
          <w:tcPr>
            <w:tcW w:w="842"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top"/>
          </w:tcPr>
          <w:p w14:paraId="2489FE04">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处理后</w:t>
            </w:r>
          </w:p>
        </w:tc>
        <w:tc>
          <w:tcPr>
            <w:tcW w:w="2004"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69D46BF3">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排放浓度（mg/L）</w:t>
            </w:r>
          </w:p>
        </w:tc>
        <w:tc>
          <w:tcPr>
            <w:tcW w:w="1387"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5797B46">
            <w:pPr>
              <w:pStyle w:val="48"/>
              <w:spacing w:beforeLines="0" w:afterLines="0"/>
              <w:rPr>
                <w:rFonts w:hint="default" w:ascii="Times New Roman" w:hAnsi="Times New Roman" w:cs="Times New Roman"/>
                <w:color w:val="auto"/>
                <w:sz w:val="24"/>
                <w:szCs w:val="24"/>
                <w:highlight w:val="none"/>
              </w:rPr>
            </w:pP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186DE2D8">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150</w:t>
            </w:r>
          </w:p>
        </w:tc>
        <w:tc>
          <w:tcPr>
            <w:tcW w:w="1154"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56FD861F">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150</w:t>
            </w:r>
          </w:p>
        </w:tc>
        <w:tc>
          <w:tcPr>
            <w:tcW w:w="1275"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1799E59B">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30</w:t>
            </w:r>
          </w:p>
        </w:tc>
        <w:tc>
          <w:tcPr>
            <w:tcW w:w="144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56004FA4">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25</w:t>
            </w:r>
          </w:p>
        </w:tc>
      </w:tr>
      <w:tr w14:paraId="207500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exact"/>
        </w:trPr>
        <w:tc>
          <w:tcPr>
            <w:tcW w:w="84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top"/>
          </w:tcPr>
          <w:p w14:paraId="3315BEBD">
            <w:pPr>
              <w:pStyle w:val="48"/>
              <w:spacing w:beforeLines="0" w:afterLines="0"/>
              <w:rPr>
                <w:rFonts w:hint="default" w:ascii="Times New Roman" w:hAnsi="Times New Roman" w:cs="Times New Roman"/>
                <w:color w:val="auto"/>
                <w:sz w:val="24"/>
                <w:szCs w:val="24"/>
                <w:highlight w:val="none"/>
              </w:rPr>
            </w:pPr>
          </w:p>
        </w:tc>
        <w:tc>
          <w:tcPr>
            <w:tcW w:w="2004"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33A28D15">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排放量（t/a）</w:t>
            </w:r>
          </w:p>
        </w:tc>
        <w:tc>
          <w:tcPr>
            <w:tcW w:w="1387"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559128A3">
            <w:pPr>
              <w:pStyle w:val="48"/>
              <w:spacing w:beforeLines="0" w:afterLines="0"/>
              <w:rPr>
                <w:rFonts w:hint="default" w:ascii="Times New Roman" w:hAnsi="Times New Roman" w:cs="Times New Roman"/>
                <w:color w:val="auto"/>
                <w:sz w:val="24"/>
                <w:szCs w:val="24"/>
                <w:highlight w:val="none"/>
              </w:rPr>
            </w:pP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70CE6D32">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 xml:space="preserve">0.115 </w:t>
            </w:r>
          </w:p>
        </w:tc>
        <w:tc>
          <w:tcPr>
            <w:tcW w:w="1154"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477D34B1">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 xml:space="preserve">0.115 </w:t>
            </w:r>
          </w:p>
        </w:tc>
        <w:tc>
          <w:tcPr>
            <w:tcW w:w="1275"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1098DEE2">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0.023 </w:t>
            </w:r>
          </w:p>
        </w:tc>
        <w:tc>
          <w:tcPr>
            <w:tcW w:w="144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7E0F7AB6">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 xml:space="preserve">0.019 </w:t>
            </w:r>
          </w:p>
        </w:tc>
      </w:tr>
    </w:tbl>
    <w:p w14:paraId="63F83A6E">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本项目生活废水产生量较小，在生产区设一套一体化污水处理设施，生活污水经处理后用于矿区洒水降尘和绿化。</w:t>
      </w:r>
    </w:p>
    <w:p w14:paraId="1A519FF5">
      <w:pPr>
        <w:numPr>
          <w:ilvl w:val="0"/>
          <w:numId w:val="20"/>
        </w:numPr>
        <w:spacing w:beforeLines="0" w:afterLines="0"/>
        <w:ind w:firstLine="480"/>
        <w:rPr>
          <w:rFonts w:hint="default" w:ascii="Times New Roman" w:hAnsi="Times New Roman" w:cs="Times New Roman"/>
          <w:color w:val="auto"/>
          <w:sz w:val="24"/>
          <w:szCs w:val="24"/>
          <w:highlight w:val="none"/>
        </w:rPr>
      </w:pPr>
      <w:bookmarkStart w:id="158" w:name="（3）噪声"/>
      <w:bookmarkEnd w:id="158"/>
      <w:r>
        <w:rPr>
          <w:rFonts w:hint="default" w:ascii="Times New Roman" w:hAnsi="Times New Roman" w:cs="Times New Roman"/>
          <w:color w:val="auto"/>
          <w:sz w:val="24"/>
          <w:szCs w:val="24"/>
          <w:highlight w:val="none"/>
        </w:rPr>
        <w:t>噪声</w:t>
      </w:r>
    </w:p>
    <w:p w14:paraId="37724E95">
      <w:pPr>
        <w:numPr>
          <w:ilvl w:val="0"/>
          <w:numId w:val="0"/>
        </w:numPr>
        <w:spacing w:beforeLines="0" w:afterLines="0"/>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项目运营期噪声主要来源于挖掘机、装载机等矿山设备</w:t>
      </w:r>
      <w:r>
        <w:rPr>
          <w:rFonts w:hint="default" w:ascii="Times New Roman" w:hAnsi="Times New Roman" w:cs="Times New Roman"/>
          <w:color w:val="auto"/>
          <w:sz w:val="24"/>
          <w:szCs w:val="24"/>
          <w:highlight w:val="none"/>
          <w:lang w:val="en-US" w:eastAsia="zh-CN"/>
        </w:rPr>
        <w:t>以及工业广场选矿设备</w:t>
      </w:r>
      <w:r>
        <w:rPr>
          <w:rFonts w:hint="default" w:ascii="Times New Roman" w:hAnsi="Times New Roman" w:cs="Times New Roman"/>
          <w:color w:val="auto"/>
          <w:sz w:val="24"/>
          <w:szCs w:val="24"/>
          <w:highlight w:val="none"/>
        </w:rPr>
        <w:t>产生的噪声及运输车辆噪声。根据类比资料分析，噪声源强一般在75~100dB(A)之间。矿山主要噪声源强见</w:t>
      </w:r>
      <w:r>
        <w:rPr>
          <w:rFonts w:hint="default" w:ascii="Times New Roman" w:hAnsi="Times New Roman" w:cs="Times New Roman"/>
          <w:color w:val="auto"/>
          <w:sz w:val="24"/>
          <w:szCs w:val="24"/>
          <w:highlight w:val="none"/>
          <w:lang w:val="en-US" w:eastAsia="zh-CN"/>
        </w:rPr>
        <w:t>下</w:t>
      </w:r>
      <w:r>
        <w:rPr>
          <w:rFonts w:hint="default" w:ascii="Times New Roman" w:hAnsi="Times New Roman" w:cs="Times New Roman"/>
          <w:color w:val="auto"/>
          <w:sz w:val="24"/>
          <w:szCs w:val="24"/>
          <w:highlight w:val="none"/>
        </w:rPr>
        <w:t>表。</w:t>
      </w:r>
    </w:p>
    <w:p w14:paraId="1C181E68">
      <w:pPr>
        <w:pStyle w:val="45"/>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表 3.</w:t>
      </w:r>
      <w:r>
        <w:rPr>
          <w:rFonts w:hint="eastAsia" w:ascii="Times New Roman" w:hAnsi="Times New Roman" w:cs="Times New Roman"/>
          <w:color w:val="auto"/>
          <w:sz w:val="24"/>
          <w:szCs w:val="24"/>
          <w:highlight w:val="none"/>
          <w:lang w:val="en-US" w:eastAsia="zh-CN"/>
        </w:rPr>
        <w:t>8</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1</w:t>
      </w:r>
      <w:r>
        <w:rPr>
          <w:rFonts w:hint="eastAsia"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rPr>
        <w:t>运营期设备噪声源强</w:t>
      </w:r>
    </w:p>
    <w:tbl>
      <w:tblPr>
        <w:tblStyle w:val="31"/>
        <w:tblW w:w="9536" w:type="dxa"/>
        <w:tblInd w:w="2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07"/>
        <w:gridCol w:w="1406"/>
        <w:gridCol w:w="1406"/>
        <w:gridCol w:w="1681"/>
        <w:gridCol w:w="2022"/>
        <w:gridCol w:w="1314"/>
      </w:tblGrid>
      <w:tr w14:paraId="43C4EE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707" w:type="dxa"/>
            <w:vMerge w:val="restart"/>
            <w:tcBorders>
              <w:tl2br w:val="nil"/>
              <w:tr2bl w:val="nil"/>
            </w:tcBorders>
            <w:noWrap w:val="0"/>
            <w:vAlign w:val="center"/>
          </w:tcPr>
          <w:p w14:paraId="7A64D5B0">
            <w:pPr>
              <w:pStyle w:val="48"/>
              <w:spacing w:beforeLines="0" w:afterLine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设备名称</w:t>
            </w:r>
          </w:p>
          <w:p w14:paraId="2BF0691D">
            <w:pPr>
              <w:pStyle w:val="48"/>
              <w:spacing w:beforeLines="0" w:afterLine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及型号</w:t>
            </w:r>
          </w:p>
        </w:tc>
        <w:tc>
          <w:tcPr>
            <w:tcW w:w="1406" w:type="dxa"/>
            <w:vMerge w:val="restart"/>
            <w:tcBorders>
              <w:tl2br w:val="nil"/>
              <w:tr2bl w:val="nil"/>
            </w:tcBorders>
            <w:noWrap w:val="0"/>
            <w:vAlign w:val="center"/>
          </w:tcPr>
          <w:p w14:paraId="6716B71C">
            <w:pPr>
              <w:pStyle w:val="48"/>
              <w:spacing w:beforeLines="0" w:afterLines="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数量/台</w:t>
            </w:r>
          </w:p>
        </w:tc>
        <w:tc>
          <w:tcPr>
            <w:tcW w:w="1406" w:type="dxa"/>
            <w:vMerge w:val="restart"/>
            <w:tcBorders>
              <w:tl2br w:val="nil"/>
              <w:tr2bl w:val="nil"/>
            </w:tcBorders>
            <w:noWrap w:val="0"/>
            <w:vAlign w:val="center"/>
          </w:tcPr>
          <w:p w14:paraId="0EDA8CF3">
            <w:pPr>
              <w:pStyle w:val="48"/>
              <w:spacing w:beforeLines="0" w:afterLine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噪声值</w:t>
            </w:r>
          </w:p>
          <w:p w14:paraId="632691A0">
            <w:pPr>
              <w:pStyle w:val="48"/>
              <w:spacing w:beforeLines="0" w:afterLine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dB（A）</w:t>
            </w:r>
          </w:p>
        </w:tc>
        <w:tc>
          <w:tcPr>
            <w:tcW w:w="3703" w:type="dxa"/>
            <w:gridSpan w:val="2"/>
            <w:tcBorders>
              <w:tl2br w:val="nil"/>
              <w:tr2bl w:val="nil"/>
            </w:tcBorders>
            <w:noWrap w:val="0"/>
            <w:vAlign w:val="center"/>
          </w:tcPr>
          <w:p w14:paraId="709E05F5">
            <w:pPr>
              <w:pStyle w:val="48"/>
              <w:spacing w:beforeLines="0" w:afterLine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降噪措施</w:t>
            </w:r>
          </w:p>
        </w:tc>
        <w:tc>
          <w:tcPr>
            <w:tcW w:w="1314" w:type="dxa"/>
            <w:vMerge w:val="restart"/>
            <w:tcBorders>
              <w:tl2br w:val="nil"/>
              <w:tr2bl w:val="nil"/>
            </w:tcBorders>
            <w:noWrap w:val="0"/>
            <w:vAlign w:val="top"/>
          </w:tcPr>
          <w:p w14:paraId="15846153">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噪声值</w:t>
            </w:r>
          </w:p>
          <w:p w14:paraId="4914EC66">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dB（A）</w:t>
            </w:r>
          </w:p>
        </w:tc>
      </w:tr>
      <w:tr w14:paraId="6B50C6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707" w:type="dxa"/>
            <w:vMerge w:val="continue"/>
            <w:tcBorders>
              <w:tl2br w:val="nil"/>
              <w:tr2bl w:val="nil"/>
            </w:tcBorders>
            <w:noWrap w:val="0"/>
            <w:vAlign w:val="center"/>
          </w:tcPr>
          <w:p w14:paraId="0564B453">
            <w:pPr>
              <w:pStyle w:val="48"/>
              <w:spacing w:beforeLines="0" w:afterLines="0"/>
              <w:jc w:val="center"/>
              <w:rPr>
                <w:rFonts w:hint="default" w:ascii="Times New Roman" w:hAnsi="Times New Roman" w:cs="Times New Roman"/>
                <w:color w:val="auto"/>
                <w:sz w:val="24"/>
                <w:szCs w:val="24"/>
                <w:highlight w:val="none"/>
              </w:rPr>
            </w:pPr>
          </w:p>
        </w:tc>
        <w:tc>
          <w:tcPr>
            <w:tcW w:w="1406" w:type="dxa"/>
            <w:vMerge w:val="continue"/>
            <w:tcBorders>
              <w:tl2br w:val="nil"/>
              <w:tr2bl w:val="nil"/>
            </w:tcBorders>
            <w:noWrap w:val="0"/>
            <w:vAlign w:val="center"/>
          </w:tcPr>
          <w:p w14:paraId="5B67FAD4">
            <w:pPr>
              <w:pStyle w:val="48"/>
              <w:spacing w:beforeLines="0" w:afterLines="0"/>
              <w:jc w:val="center"/>
              <w:rPr>
                <w:rFonts w:hint="default" w:ascii="Times New Roman" w:hAnsi="Times New Roman" w:cs="Times New Roman"/>
                <w:color w:val="auto"/>
                <w:sz w:val="24"/>
                <w:szCs w:val="24"/>
                <w:highlight w:val="none"/>
              </w:rPr>
            </w:pPr>
          </w:p>
        </w:tc>
        <w:tc>
          <w:tcPr>
            <w:tcW w:w="1406" w:type="dxa"/>
            <w:vMerge w:val="continue"/>
            <w:tcBorders>
              <w:tl2br w:val="nil"/>
              <w:tr2bl w:val="nil"/>
            </w:tcBorders>
            <w:noWrap w:val="0"/>
            <w:vAlign w:val="center"/>
          </w:tcPr>
          <w:p w14:paraId="594FFB0B">
            <w:pPr>
              <w:pStyle w:val="48"/>
              <w:spacing w:beforeLines="0" w:afterLines="0"/>
              <w:jc w:val="center"/>
              <w:rPr>
                <w:rFonts w:hint="default" w:ascii="Times New Roman" w:hAnsi="Times New Roman" w:cs="Times New Roman"/>
                <w:color w:val="auto"/>
                <w:sz w:val="24"/>
                <w:szCs w:val="24"/>
                <w:highlight w:val="none"/>
              </w:rPr>
            </w:pPr>
          </w:p>
        </w:tc>
        <w:tc>
          <w:tcPr>
            <w:tcW w:w="1681" w:type="dxa"/>
            <w:tcBorders>
              <w:tl2br w:val="nil"/>
              <w:tr2bl w:val="nil"/>
            </w:tcBorders>
            <w:noWrap w:val="0"/>
            <w:vAlign w:val="center"/>
          </w:tcPr>
          <w:p w14:paraId="36C7E610">
            <w:pPr>
              <w:pStyle w:val="48"/>
              <w:spacing w:beforeLines="0" w:afterLine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工艺</w:t>
            </w:r>
          </w:p>
        </w:tc>
        <w:tc>
          <w:tcPr>
            <w:tcW w:w="2022" w:type="dxa"/>
            <w:tcBorders>
              <w:tl2br w:val="nil"/>
              <w:tr2bl w:val="nil"/>
            </w:tcBorders>
            <w:noWrap w:val="0"/>
            <w:vAlign w:val="center"/>
          </w:tcPr>
          <w:p w14:paraId="093D6312">
            <w:pPr>
              <w:pStyle w:val="48"/>
              <w:spacing w:beforeLines="0" w:afterLine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降噪效果dB（A）</w:t>
            </w:r>
          </w:p>
        </w:tc>
        <w:tc>
          <w:tcPr>
            <w:tcW w:w="1314" w:type="dxa"/>
            <w:vMerge w:val="continue"/>
            <w:tcBorders>
              <w:tl2br w:val="nil"/>
              <w:tr2bl w:val="nil"/>
            </w:tcBorders>
            <w:noWrap w:val="0"/>
            <w:vAlign w:val="top"/>
          </w:tcPr>
          <w:p w14:paraId="36D3CE08">
            <w:pPr>
              <w:pStyle w:val="48"/>
              <w:spacing w:beforeLines="0" w:afterLines="0"/>
              <w:rPr>
                <w:rFonts w:hint="default" w:ascii="Times New Roman" w:hAnsi="Times New Roman" w:cs="Times New Roman"/>
                <w:color w:val="auto"/>
                <w:sz w:val="24"/>
                <w:szCs w:val="24"/>
                <w:highlight w:val="none"/>
              </w:rPr>
            </w:pPr>
          </w:p>
        </w:tc>
      </w:tr>
      <w:tr w14:paraId="650153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707" w:type="dxa"/>
            <w:tcBorders>
              <w:tl2br w:val="nil"/>
              <w:tr2bl w:val="nil"/>
            </w:tcBorders>
            <w:noWrap w:val="0"/>
            <w:vAlign w:val="top"/>
          </w:tcPr>
          <w:p w14:paraId="44142EA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全液压挖掘机</w:t>
            </w:r>
          </w:p>
        </w:tc>
        <w:tc>
          <w:tcPr>
            <w:tcW w:w="1406" w:type="dxa"/>
            <w:tcBorders>
              <w:tl2br w:val="nil"/>
              <w:tr2bl w:val="nil"/>
            </w:tcBorders>
            <w:noWrap w:val="0"/>
            <w:vAlign w:val="top"/>
          </w:tcPr>
          <w:p w14:paraId="05C0DB03">
            <w:pPr>
              <w:pStyle w:val="48"/>
              <w:spacing w:beforeLines="0" w:afterLines="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4</w:t>
            </w:r>
          </w:p>
        </w:tc>
        <w:tc>
          <w:tcPr>
            <w:tcW w:w="1406" w:type="dxa"/>
            <w:tcBorders>
              <w:tl2br w:val="nil"/>
              <w:tr2bl w:val="nil"/>
            </w:tcBorders>
            <w:noWrap w:val="0"/>
            <w:vAlign w:val="top"/>
          </w:tcPr>
          <w:p w14:paraId="7567972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90</w:t>
            </w:r>
          </w:p>
        </w:tc>
        <w:tc>
          <w:tcPr>
            <w:tcW w:w="1681" w:type="dxa"/>
            <w:vMerge w:val="restart"/>
            <w:tcBorders>
              <w:tl2br w:val="nil"/>
              <w:tr2bl w:val="nil"/>
            </w:tcBorders>
            <w:noWrap w:val="0"/>
            <w:vAlign w:val="center"/>
          </w:tcPr>
          <w:p w14:paraId="6C37A2C6">
            <w:pPr>
              <w:pStyle w:val="48"/>
              <w:spacing w:beforeLines="0" w:afterLines="0"/>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lang w:val="en-US" w:eastAsia="zh-CN"/>
              </w:rPr>
              <w:t>降低车速</w:t>
            </w:r>
          </w:p>
        </w:tc>
        <w:tc>
          <w:tcPr>
            <w:tcW w:w="2022" w:type="dxa"/>
            <w:tcBorders>
              <w:tl2br w:val="nil"/>
              <w:tr2bl w:val="nil"/>
            </w:tcBorders>
            <w:noWrap w:val="0"/>
            <w:vAlign w:val="top"/>
          </w:tcPr>
          <w:p w14:paraId="56418496">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5-10</w:t>
            </w:r>
            <w:r>
              <w:rPr>
                <w:rFonts w:hint="default" w:ascii="Times New Roman" w:hAnsi="Times New Roman" w:cs="Times New Roman"/>
                <w:color w:val="auto"/>
                <w:sz w:val="24"/>
                <w:szCs w:val="24"/>
                <w:highlight w:val="none"/>
              </w:rPr>
              <w:t>dB（A）</w:t>
            </w:r>
          </w:p>
        </w:tc>
        <w:tc>
          <w:tcPr>
            <w:tcW w:w="1314" w:type="dxa"/>
            <w:tcBorders>
              <w:tl2br w:val="nil"/>
              <w:tr2bl w:val="nil"/>
            </w:tcBorders>
            <w:noWrap w:val="0"/>
            <w:vAlign w:val="top"/>
          </w:tcPr>
          <w:p w14:paraId="71753828">
            <w:pPr>
              <w:pStyle w:val="48"/>
              <w:spacing w:beforeLines="0" w:afterLines="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80</w:t>
            </w:r>
          </w:p>
        </w:tc>
      </w:tr>
      <w:tr w14:paraId="3DBA3F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707" w:type="dxa"/>
            <w:tcBorders>
              <w:tl2br w:val="nil"/>
              <w:tr2bl w:val="nil"/>
            </w:tcBorders>
            <w:noWrap w:val="0"/>
            <w:vAlign w:val="top"/>
          </w:tcPr>
          <w:p w14:paraId="5FDF4494">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装载机</w:t>
            </w:r>
          </w:p>
        </w:tc>
        <w:tc>
          <w:tcPr>
            <w:tcW w:w="1406" w:type="dxa"/>
            <w:tcBorders>
              <w:tl2br w:val="nil"/>
              <w:tr2bl w:val="nil"/>
            </w:tcBorders>
            <w:noWrap w:val="0"/>
            <w:vAlign w:val="top"/>
          </w:tcPr>
          <w:p w14:paraId="6C736048">
            <w:pPr>
              <w:pStyle w:val="48"/>
              <w:spacing w:beforeLines="0" w:afterLines="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4</w:t>
            </w:r>
          </w:p>
        </w:tc>
        <w:tc>
          <w:tcPr>
            <w:tcW w:w="1406" w:type="dxa"/>
            <w:tcBorders>
              <w:tl2br w:val="nil"/>
              <w:tr2bl w:val="nil"/>
            </w:tcBorders>
            <w:noWrap w:val="0"/>
            <w:vAlign w:val="top"/>
          </w:tcPr>
          <w:p w14:paraId="056C263A">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100</w:t>
            </w:r>
          </w:p>
        </w:tc>
        <w:tc>
          <w:tcPr>
            <w:tcW w:w="1681" w:type="dxa"/>
            <w:vMerge w:val="continue"/>
            <w:tcBorders>
              <w:tl2br w:val="nil"/>
              <w:tr2bl w:val="nil"/>
            </w:tcBorders>
            <w:noWrap w:val="0"/>
            <w:vAlign w:val="center"/>
          </w:tcPr>
          <w:p w14:paraId="39708421">
            <w:pPr>
              <w:pStyle w:val="48"/>
              <w:spacing w:beforeLines="0" w:afterLines="0"/>
              <w:jc w:val="center"/>
              <w:rPr>
                <w:rFonts w:hint="default" w:ascii="Times New Roman" w:hAnsi="Times New Roman" w:cs="Times New Roman"/>
                <w:color w:val="auto"/>
                <w:sz w:val="24"/>
                <w:szCs w:val="24"/>
                <w:highlight w:val="none"/>
              </w:rPr>
            </w:pPr>
          </w:p>
        </w:tc>
        <w:tc>
          <w:tcPr>
            <w:tcW w:w="2022" w:type="dxa"/>
            <w:tcBorders>
              <w:tl2br w:val="nil"/>
              <w:tr2bl w:val="nil"/>
            </w:tcBorders>
            <w:noWrap w:val="0"/>
            <w:vAlign w:val="top"/>
          </w:tcPr>
          <w:p w14:paraId="35F27593">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5-10</w:t>
            </w:r>
            <w:r>
              <w:rPr>
                <w:rFonts w:hint="default" w:ascii="Times New Roman" w:hAnsi="Times New Roman" w:cs="Times New Roman"/>
                <w:color w:val="auto"/>
                <w:sz w:val="24"/>
                <w:szCs w:val="24"/>
                <w:highlight w:val="none"/>
              </w:rPr>
              <w:t>dB（A）</w:t>
            </w:r>
          </w:p>
        </w:tc>
        <w:tc>
          <w:tcPr>
            <w:tcW w:w="1314" w:type="dxa"/>
            <w:tcBorders>
              <w:tl2br w:val="nil"/>
              <w:tr2bl w:val="nil"/>
            </w:tcBorders>
            <w:noWrap w:val="0"/>
            <w:vAlign w:val="top"/>
          </w:tcPr>
          <w:p w14:paraId="4082D8E5">
            <w:pPr>
              <w:pStyle w:val="48"/>
              <w:spacing w:beforeLines="0" w:afterLines="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90</w:t>
            </w:r>
          </w:p>
        </w:tc>
      </w:tr>
      <w:tr w14:paraId="34B049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707" w:type="dxa"/>
            <w:tcBorders>
              <w:tl2br w:val="nil"/>
              <w:tr2bl w:val="nil"/>
            </w:tcBorders>
            <w:noWrap w:val="0"/>
            <w:vAlign w:val="top"/>
          </w:tcPr>
          <w:p w14:paraId="7F0592C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自卸汽车</w:t>
            </w:r>
          </w:p>
        </w:tc>
        <w:tc>
          <w:tcPr>
            <w:tcW w:w="1406" w:type="dxa"/>
            <w:tcBorders>
              <w:tl2br w:val="nil"/>
              <w:tr2bl w:val="nil"/>
            </w:tcBorders>
            <w:noWrap w:val="0"/>
            <w:vAlign w:val="top"/>
          </w:tcPr>
          <w:p w14:paraId="28E1F116">
            <w:pPr>
              <w:pStyle w:val="48"/>
              <w:spacing w:beforeLines="0" w:afterLines="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6</w:t>
            </w:r>
          </w:p>
        </w:tc>
        <w:tc>
          <w:tcPr>
            <w:tcW w:w="1406" w:type="dxa"/>
            <w:tcBorders>
              <w:tl2br w:val="nil"/>
              <w:tr2bl w:val="nil"/>
            </w:tcBorders>
            <w:noWrap w:val="0"/>
            <w:vAlign w:val="top"/>
          </w:tcPr>
          <w:p w14:paraId="21D0F8F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85</w:t>
            </w:r>
          </w:p>
        </w:tc>
        <w:tc>
          <w:tcPr>
            <w:tcW w:w="1681" w:type="dxa"/>
            <w:vMerge w:val="continue"/>
            <w:tcBorders>
              <w:tl2br w:val="nil"/>
              <w:tr2bl w:val="nil"/>
            </w:tcBorders>
            <w:noWrap w:val="0"/>
            <w:vAlign w:val="center"/>
          </w:tcPr>
          <w:p w14:paraId="189CBA3E">
            <w:pPr>
              <w:pStyle w:val="48"/>
              <w:spacing w:beforeLines="0" w:afterLines="0"/>
              <w:jc w:val="center"/>
              <w:rPr>
                <w:rFonts w:hint="default" w:ascii="Times New Roman" w:hAnsi="Times New Roman" w:cs="Times New Roman"/>
                <w:color w:val="auto"/>
                <w:sz w:val="24"/>
                <w:szCs w:val="24"/>
                <w:highlight w:val="none"/>
              </w:rPr>
            </w:pPr>
          </w:p>
        </w:tc>
        <w:tc>
          <w:tcPr>
            <w:tcW w:w="2022" w:type="dxa"/>
            <w:tcBorders>
              <w:tl2br w:val="nil"/>
              <w:tr2bl w:val="nil"/>
            </w:tcBorders>
            <w:noWrap w:val="0"/>
            <w:vAlign w:val="top"/>
          </w:tcPr>
          <w:p w14:paraId="0863CCB1">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5-10</w:t>
            </w:r>
            <w:r>
              <w:rPr>
                <w:rFonts w:hint="default" w:ascii="Times New Roman" w:hAnsi="Times New Roman" w:cs="Times New Roman"/>
                <w:color w:val="auto"/>
                <w:sz w:val="24"/>
                <w:szCs w:val="24"/>
                <w:highlight w:val="none"/>
              </w:rPr>
              <w:t>dB（A）</w:t>
            </w:r>
          </w:p>
        </w:tc>
        <w:tc>
          <w:tcPr>
            <w:tcW w:w="1314" w:type="dxa"/>
            <w:tcBorders>
              <w:tl2br w:val="nil"/>
              <w:tr2bl w:val="nil"/>
            </w:tcBorders>
            <w:noWrap w:val="0"/>
            <w:vAlign w:val="top"/>
          </w:tcPr>
          <w:p w14:paraId="133BC03D">
            <w:pPr>
              <w:pStyle w:val="48"/>
              <w:spacing w:beforeLines="0" w:afterLines="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75</w:t>
            </w:r>
          </w:p>
        </w:tc>
      </w:tr>
      <w:tr w14:paraId="2FC913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707" w:type="dxa"/>
            <w:tcBorders>
              <w:tl2br w:val="nil"/>
              <w:tr2bl w:val="nil"/>
            </w:tcBorders>
            <w:noWrap w:val="0"/>
            <w:vAlign w:val="top"/>
          </w:tcPr>
          <w:p w14:paraId="31664D0E">
            <w:pPr>
              <w:pStyle w:val="48"/>
              <w:spacing w:beforeLines="0" w:afterLines="0"/>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rPr>
              <w:t>振动</w:t>
            </w:r>
            <w:r>
              <w:rPr>
                <w:rFonts w:hint="default" w:ascii="Times New Roman" w:hAnsi="Times New Roman" w:cs="Times New Roman"/>
                <w:color w:val="auto"/>
                <w:sz w:val="24"/>
                <w:szCs w:val="24"/>
                <w:highlight w:val="none"/>
                <w:lang w:val="en-US" w:eastAsia="zh-CN"/>
              </w:rPr>
              <w:t>给料机</w:t>
            </w:r>
          </w:p>
        </w:tc>
        <w:tc>
          <w:tcPr>
            <w:tcW w:w="1406" w:type="dxa"/>
            <w:tcBorders>
              <w:tl2br w:val="nil"/>
              <w:tr2bl w:val="nil"/>
            </w:tcBorders>
            <w:noWrap w:val="0"/>
            <w:vAlign w:val="top"/>
          </w:tcPr>
          <w:p w14:paraId="7BB34EFD">
            <w:pPr>
              <w:pStyle w:val="48"/>
              <w:spacing w:beforeLines="0" w:afterLines="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1</w:t>
            </w:r>
          </w:p>
        </w:tc>
        <w:tc>
          <w:tcPr>
            <w:tcW w:w="1406" w:type="dxa"/>
            <w:tcBorders>
              <w:tl2br w:val="nil"/>
              <w:tr2bl w:val="nil"/>
            </w:tcBorders>
            <w:noWrap w:val="0"/>
            <w:vAlign w:val="top"/>
          </w:tcPr>
          <w:p w14:paraId="438E9FF2">
            <w:pPr>
              <w:pStyle w:val="48"/>
              <w:spacing w:beforeLines="0" w:afterLines="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rPr>
              <w:t>8</w:t>
            </w:r>
            <w:r>
              <w:rPr>
                <w:rFonts w:hint="default" w:ascii="Times New Roman" w:hAnsi="Times New Roman" w:cs="Times New Roman"/>
                <w:color w:val="auto"/>
                <w:sz w:val="24"/>
                <w:szCs w:val="24"/>
                <w:highlight w:val="none"/>
                <w:lang w:val="en-US" w:eastAsia="zh-CN"/>
              </w:rPr>
              <w:t>0</w:t>
            </w:r>
          </w:p>
        </w:tc>
        <w:tc>
          <w:tcPr>
            <w:tcW w:w="1681" w:type="dxa"/>
            <w:vMerge w:val="restart"/>
            <w:tcBorders>
              <w:tl2br w:val="nil"/>
              <w:tr2bl w:val="nil"/>
            </w:tcBorders>
            <w:noWrap w:val="0"/>
            <w:vAlign w:val="center"/>
          </w:tcPr>
          <w:p w14:paraId="2574A864">
            <w:pPr>
              <w:pStyle w:val="48"/>
              <w:spacing w:beforeLines="0" w:afterLine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选用低噪声设备、基础减震、厂房隔声</w:t>
            </w:r>
          </w:p>
        </w:tc>
        <w:tc>
          <w:tcPr>
            <w:tcW w:w="2022" w:type="dxa"/>
            <w:tcBorders>
              <w:tl2br w:val="nil"/>
              <w:tr2bl w:val="nil"/>
            </w:tcBorders>
            <w:noWrap w:val="0"/>
            <w:vAlign w:val="top"/>
          </w:tcPr>
          <w:p w14:paraId="1BC2D291">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15</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20dB（A）</w:t>
            </w:r>
          </w:p>
        </w:tc>
        <w:tc>
          <w:tcPr>
            <w:tcW w:w="1314" w:type="dxa"/>
            <w:tcBorders>
              <w:tl2br w:val="nil"/>
              <w:tr2bl w:val="nil"/>
            </w:tcBorders>
            <w:noWrap w:val="0"/>
            <w:vAlign w:val="top"/>
          </w:tcPr>
          <w:p w14:paraId="0412D071">
            <w:pPr>
              <w:pStyle w:val="48"/>
              <w:spacing w:beforeLines="0" w:afterLines="0"/>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rPr>
              <w:t>6</w:t>
            </w:r>
            <w:r>
              <w:rPr>
                <w:rFonts w:hint="default" w:ascii="Times New Roman" w:hAnsi="Times New Roman" w:cs="Times New Roman"/>
                <w:color w:val="auto"/>
                <w:sz w:val="24"/>
                <w:szCs w:val="24"/>
                <w:highlight w:val="none"/>
                <w:lang w:val="en-US" w:eastAsia="zh-CN"/>
              </w:rPr>
              <w:t>0</w:t>
            </w:r>
          </w:p>
        </w:tc>
      </w:tr>
      <w:tr w14:paraId="0ECE83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707" w:type="dxa"/>
            <w:tcBorders>
              <w:tl2br w:val="nil"/>
              <w:tr2bl w:val="nil"/>
            </w:tcBorders>
            <w:noWrap w:val="0"/>
            <w:vAlign w:val="top"/>
          </w:tcPr>
          <w:p w14:paraId="7EB7FB7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振动</w:t>
            </w:r>
            <w:r>
              <w:rPr>
                <w:rFonts w:hint="default" w:ascii="Times New Roman" w:hAnsi="Times New Roman" w:cs="Times New Roman"/>
                <w:color w:val="auto"/>
                <w:sz w:val="24"/>
                <w:szCs w:val="24"/>
                <w:highlight w:val="none"/>
                <w:lang w:val="en-US" w:eastAsia="zh-CN"/>
              </w:rPr>
              <w:t>筛选机</w:t>
            </w:r>
          </w:p>
        </w:tc>
        <w:tc>
          <w:tcPr>
            <w:tcW w:w="1406" w:type="dxa"/>
            <w:tcBorders>
              <w:tl2br w:val="nil"/>
              <w:tr2bl w:val="nil"/>
            </w:tcBorders>
            <w:noWrap w:val="0"/>
            <w:vAlign w:val="top"/>
          </w:tcPr>
          <w:p w14:paraId="45E6E13B">
            <w:pPr>
              <w:pStyle w:val="48"/>
              <w:spacing w:beforeLines="0" w:afterLines="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6</w:t>
            </w:r>
          </w:p>
        </w:tc>
        <w:tc>
          <w:tcPr>
            <w:tcW w:w="1406" w:type="dxa"/>
            <w:tcBorders>
              <w:tl2br w:val="nil"/>
              <w:tr2bl w:val="nil"/>
            </w:tcBorders>
            <w:noWrap w:val="0"/>
            <w:vAlign w:val="top"/>
          </w:tcPr>
          <w:p w14:paraId="1B08D5D3">
            <w:pPr>
              <w:pStyle w:val="48"/>
              <w:spacing w:beforeLines="0" w:afterLines="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rPr>
              <w:t>8</w:t>
            </w:r>
            <w:r>
              <w:rPr>
                <w:rFonts w:hint="default" w:ascii="Times New Roman" w:hAnsi="Times New Roman" w:cs="Times New Roman"/>
                <w:color w:val="auto"/>
                <w:sz w:val="24"/>
                <w:szCs w:val="24"/>
                <w:highlight w:val="none"/>
                <w:lang w:val="en-US" w:eastAsia="zh-CN"/>
              </w:rPr>
              <w:t>0</w:t>
            </w:r>
          </w:p>
        </w:tc>
        <w:tc>
          <w:tcPr>
            <w:tcW w:w="1681" w:type="dxa"/>
            <w:vMerge w:val="continue"/>
            <w:tcBorders>
              <w:tl2br w:val="nil"/>
              <w:tr2bl w:val="nil"/>
            </w:tcBorders>
            <w:noWrap w:val="0"/>
            <w:vAlign w:val="top"/>
          </w:tcPr>
          <w:p w14:paraId="51F2162B">
            <w:pPr>
              <w:pStyle w:val="48"/>
              <w:spacing w:beforeLines="0" w:afterLines="0"/>
              <w:rPr>
                <w:rFonts w:hint="default" w:ascii="Times New Roman" w:hAnsi="Times New Roman" w:cs="Times New Roman"/>
                <w:color w:val="auto"/>
                <w:sz w:val="24"/>
                <w:szCs w:val="24"/>
                <w:highlight w:val="none"/>
              </w:rPr>
            </w:pPr>
          </w:p>
        </w:tc>
        <w:tc>
          <w:tcPr>
            <w:tcW w:w="2022" w:type="dxa"/>
            <w:tcBorders>
              <w:tl2br w:val="nil"/>
              <w:tr2bl w:val="nil"/>
            </w:tcBorders>
            <w:noWrap w:val="0"/>
            <w:vAlign w:val="top"/>
          </w:tcPr>
          <w:p w14:paraId="2B80050E">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15</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20dB（A）</w:t>
            </w:r>
          </w:p>
        </w:tc>
        <w:tc>
          <w:tcPr>
            <w:tcW w:w="1314" w:type="dxa"/>
            <w:tcBorders>
              <w:tl2br w:val="nil"/>
              <w:tr2bl w:val="nil"/>
            </w:tcBorders>
            <w:noWrap w:val="0"/>
            <w:vAlign w:val="top"/>
          </w:tcPr>
          <w:p w14:paraId="3FA6D30A">
            <w:pPr>
              <w:pStyle w:val="48"/>
              <w:spacing w:beforeLines="0" w:afterLines="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rPr>
              <w:t>6</w:t>
            </w:r>
            <w:r>
              <w:rPr>
                <w:rFonts w:hint="default" w:ascii="Times New Roman" w:hAnsi="Times New Roman" w:cs="Times New Roman"/>
                <w:color w:val="auto"/>
                <w:sz w:val="24"/>
                <w:szCs w:val="24"/>
                <w:highlight w:val="none"/>
                <w:lang w:val="en-US" w:eastAsia="zh-CN"/>
              </w:rPr>
              <w:t>0</w:t>
            </w:r>
          </w:p>
        </w:tc>
      </w:tr>
      <w:tr w14:paraId="07848B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707" w:type="dxa"/>
            <w:tcBorders>
              <w:tl2br w:val="nil"/>
              <w:tr2bl w:val="nil"/>
            </w:tcBorders>
            <w:noWrap w:val="0"/>
            <w:vAlign w:val="top"/>
          </w:tcPr>
          <w:p w14:paraId="4A496AB5">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洗砂机</w:t>
            </w:r>
          </w:p>
        </w:tc>
        <w:tc>
          <w:tcPr>
            <w:tcW w:w="1406" w:type="dxa"/>
            <w:tcBorders>
              <w:tl2br w:val="nil"/>
              <w:tr2bl w:val="nil"/>
            </w:tcBorders>
            <w:noWrap w:val="0"/>
            <w:vAlign w:val="top"/>
          </w:tcPr>
          <w:p w14:paraId="3A0CE827">
            <w:pPr>
              <w:pStyle w:val="48"/>
              <w:spacing w:beforeLines="0" w:afterLines="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1</w:t>
            </w:r>
          </w:p>
        </w:tc>
        <w:tc>
          <w:tcPr>
            <w:tcW w:w="1406" w:type="dxa"/>
            <w:tcBorders>
              <w:tl2br w:val="nil"/>
              <w:tr2bl w:val="nil"/>
            </w:tcBorders>
            <w:noWrap w:val="0"/>
            <w:vAlign w:val="top"/>
          </w:tcPr>
          <w:p w14:paraId="49C533DD">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80</w:t>
            </w:r>
          </w:p>
        </w:tc>
        <w:tc>
          <w:tcPr>
            <w:tcW w:w="1681" w:type="dxa"/>
            <w:vMerge w:val="continue"/>
            <w:tcBorders>
              <w:tl2br w:val="nil"/>
              <w:tr2bl w:val="nil"/>
            </w:tcBorders>
            <w:noWrap w:val="0"/>
            <w:vAlign w:val="top"/>
          </w:tcPr>
          <w:p w14:paraId="67334FAD">
            <w:pPr>
              <w:pStyle w:val="48"/>
              <w:spacing w:beforeLines="0" w:afterLines="0"/>
              <w:rPr>
                <w:rFonts w:hint="default" w:ascii="Times New Roman" w:hAnsi="Times New Roman" w:cs="Times New Roman"/>
                <w:color w:val="auto"/>
                <w:sz w:val="24"/>
                <w:szCs w:val="24"/>
                <w:highlight w:val="none"/>
              </w:rPr>
            </w:pPr>
          </w:p>
        </w:tc>
        <w:tc>
          <w:tcPr>
            <w:tcW w:w="2022" w:type="dxa"/>
            <w:tcBorders>
              <w:tl2br w:val="nil"/>
              <w:tr2bl w:val="nil"/>
            </w:tcBorders>
            <w:noWrap w:val="0"/>
            <w:vAlign w:val="top"/>
          </w:tcPr>
          <w:p w14:paraId="67305678">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15</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20dB（A）</w:t>
            </w:r>
          </w:p>
        </w:tc>
        <w:tc>
          <w:tcPr>
            <w:tcW w:w="1314" w:type="dxa"/>
            <w:tcBorders>
              <w:tl2br w:val="nil"/>
              <w:tr2bl w:val="nil"/>
            </w:tcBorders>
            <w:noWrap w:val="0"/>
            <w:vAlign w:val="top"/>
          </w:tcPr>
          <w:p w14:paraId="5AA544E3">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60</w:t>
            </w:r>
          </w:p>
        </w:tc>
      </w:tr>
      <w:tr w14:paraId="5DB5F0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707" w:type="dxa"/>
            <w:tcBorders>
              <w:tl2br w:val="nil"/>
              <w:tr2bl w:val="nil"/>
            </w:tcBorders>
            <w:noWrap w:val="0"/>
            <w:vAlign w:val="top"/>
          </w:tcPr>
          <w:p w14:paraId="1B225702">
            <w:pPr>
              <w:pStyle w:val="48"/>
              <w:spacing w:beforeLines="0" w:afterLines="0"/>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lang w:val="en-US" w:eastAsia="zh-CN"/>
              </w:rPr>
              <w:t>方形摇摆筛</w:t>
            </w:r>
          </w:p>
        </w:tc>
        <w:tc>
          <w:tcPr>
            <w:tcW w:w="1406" w:type="dxa"/>
            <w:tcBorders>
              <w:tl2br w:val="nil"/>
              <w:tr2bl w:val="nil"/>
            </w:tcBorders>
            <w:noWrap w:val="0"/>
            <w:vAlign w:val="top"/>
          </w:tcPr>
          <w:p w14:paraId="1D92AEAF">
            <w:pPr>
              <w:pStyle w:val="48"/>
              <w:spacing w:beforeLines="0" w:afterLines="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16</w:t>
            </w:r>
          </w:p>
        </w:tc>
        <w:tc>
          <w:tcPr>
            <w:tcW w:w="1406" w:type="dxa"/>
            <w:tcBorders>
              <w:tl2br w:val="nil"/>
              <w:tr2bl w:val="nil"/>
            </w:tcBorders>
            <w:noWrap w:val="0"/>
            <w:vAlign w:val="top"/>
          </w:tcPr>
          <w:p w14:paraId="4B072030">
            <w:pPr>
              <w:pStyle w:val="48"/>
              <w:spacing w:beforeLines="0" w:afterLines="0"/>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rPr>
              <w:t>8</w:t>
            </w:r>
            <w:r>
              <w:rPr>
                <w:rFonts w:hint="default" w:ascii="Times New Roman" w:hAnsi="Times New Roman" w:cs="Times New Roman"/>
                <w:color w:val="auto"/>
                <w:sz w:val="24"/>
                <w:szCs w:val="24"/>
                <w:highlight w:val="none"/>
                <w:lang w:val="en-US" w:eastAsia="zh-CN"/>
              </w:rPr>
              <w:t>5</w:t>
            </w:r>
          </w:p>
        </w:tc>
        <w:tc>
          <w:tcPr>
            <w:tcW w:w="1681" w:type="dxa"/>
            <w:vMerge w:val="continue"/>
            <w:tcBorders>
              <w:tl2br w:val="nil"/>
              <w:tr2bl w:val="nil"/>
            </w:tcBorders>
            <w:noWrap w:val="0"/>
            <w:vAlign w:val="top"/>
          </w:tcPr>
          <w:p w14:paraId="785D5A0D">
            <w:pPr>
              <w:pStyle w:val="48"/>
              <w:spacing w:beforeLines="0" w:afterLines="0"/>
              <w:rPr>
                <w:rFonts w:hint="default" w:ascii="Times New Roman" w:hAnsi="Times New Roman" w:cs="Times New Roman"/>
                <w:color w:val="auto"/>
                <w:sz w:val="24"/>
                <w:szCs w:val="24"/>
                <w:highlight w:val="none"/>
              </w:rPr>
            </w:pPr>
          </w:p>
        </w:tc>
        <w:tc>
          <w:tcPr>
            <w:tcW w:w="2022" w:type="dxa"/>
            <w:tcBorders>
              <w:tl2br w:val="nil"/>
              <w:tr2bl w:val="nil"/>
            </w:tcBorders>
            <w:noWrap w:val="0"/>
            <w:vAlign w:val="top"/>
          </w:tcPr>
          <w:p w14:paraId="438C7F4D">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15</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20dB（A）</w:t>
            </w:r>
          </w:p>
        </w:tc>
        <w:tc>
          <w:tcPr>
            <w:tcW w:w="1314" w:type="dxa"/>
            <w:tcBorders>
              <w:tl2br w:val="nil"/>
              <w:tr2bl w:val="nil"/>
            </w:tcBorders>
            <w:noWrap w:val="0"/>
            <w:vAlign w:val="top"/>
          </w:tcPr>
          <w:p w14:paraId="07D01956">
            <w:pPr>
              <w:pStyle w:val="48"/>
              <w:spacing w:beforeLines="0" w:afterLines="0"/>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rPr>
              <w:t>6</w:t>
            </w:r>
            <w:r>
              <w:rPr>
                <w:rFonts w:hint="default" w:ascii="Times New Roman" w:hAnsi="Times New Roman" w:cs="Times New Roman"/>
                <w:color w:val="auto"/>
                <w:sz w:val="24"/>
                <w:szCs w:val="24"/>
                <w:highlight w:val="none"/>
                <w:lang w:val="en-US" w:eastAsia="zh-CN"/>
              </w:rPr>
              <w:t>5</w:t>
            </w:r>
          </w:p>
        </w:tc>
      </w:tr>
      <w:tr w14:paraId="2E5CCE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707" w:type="dxa"/>
            <w:tcBorders>
              <w:tl2br w:val="nil"/>
              <w:tr2bl w:val="nil"/>
            </w:tcBorders>
            <w:noWrap w:val="0"/>
            <w:vAlign w:val="top"/>
          </w:tcPr>
          <w:p w14:paraId="41697707">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皮带输送机</w:t>
            </w:r>
          </w:p>
        </w:tc>
        <w:tc>
          <w:tcPr>
            <w:tcW w:w="1406" w:type="dxa"/>
            <w:tcBorders>
              <w:tl2br w:val="nil"/>
              <w:tr2bl w:val="nil"/>
            </w:tcBorders>
            <w:noWrap w:val="0"/>
            <w:vAlign w:val="top"/>
          </w:tcPr>
          <w:p w14:paraId="1675DECE">
            <w:pPr>
              <w:pStyle w:val="48"/>
              <w:spacing w:beforeLines="0" w:afterLines="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5</w:t>
            </w:r>
          </w:p>
        </w:tc>
        <w:tc>
          <w:tcPr>
            <w:tcW w:w="1406" w:type="dxa"/>
            <w:tcBorders>
              <w:tl2br w:val="nil"/>
              <w:tr2bl w:val="nil"/>
            </w:tcBorders>
            <w:noWrap w:val="0"/>
            <w:vAlign w:val="top"/>
          </w:tcPr>
          <w:p w14:paraId="76EBF5A6">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75</w:t>
            </w:r>
          </w:p>
        </w:tc>
        <w:tc>
          <w:tcPr>
            <w:tcW w:w="1681" w:type="dxa"/>
            <w:vMerge w:val="continue"/>
            <w:tcBorders>
              <w:tl2br w:val="nil"/>
              <w:tr2bl w:val="nil"/>
            </w:tcBorders>
            <w:noWrap w:val="0"/>
            <w:vAlign w:val="top"/>
          </w:tcPr>
          <w:p w14:paraId="1951F023">
            <w:pPr>
              <w:pStyle w:val="48"/>
              <w:spacing w:beforeLines="0" w:afterLines="0"/>
              <w:rPr>
                <w:rFonts w:hint="default" w:ascii="Times New Roman" w:hAnsi="Times New Roman" w:cs="Times New Roman"/>
                <w:color w:val="auto"/>
                <w:sz w:val="24"/>
                <w:szCs w:val="24"/>
                <w:highlight w:val="none"/>
              </w:rPr>
            </w:pPr>
          </w:p>
        </w:tc>
        <w:tc>
          <w:tcPr>
            <w:tcW w:w="2022" w:type="dxa"/>
            <w:tcBorders>
              <w:tl2br w:val="nil"/>
              <w:tr2bl w:val="nil"/>
            </w:tcBorders>
            <w:noWrap w:val="0"/>
            <w:vAlign w:val="top"/>
          </w:tcPr>
          <w:p w14:paraId="0A790555">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15</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20dB（A）</w:t>
            </w:r>
          </w:p>
        </w:tc>
        <w:tc>
          <w:tcPr>
            <w:tcW w:w="1314" w:type="dxa"/>
            <w:tcBorders>
              <w:tl2br w:val="nil"/>
              <w:tr2bl w:val="nil"/>
            </w:tcBorders>
            <w:noWrap w:val="0"/>
            <w:vAlign w:val="top"/>
          </w:tcPr>
          <w:p w14:paraId="07D89E6B">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55</w:t>
            </w:r>
          </w:p>
        </w:tc>
      </w:tr>
      <w:tr w14:paraId="34D84E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707" w:type="dxa"/>
            <w:tcBorders>
              <w:tl2br w:val="nil"/>
              <w:tr2bl w:val="nil"/>
            </w:tcBorders>
            <w:noWrap w:val="0"/>
            <w:vAlign w:val="top"/>
          </w:tcPr>
          <w:p w14:paraId="7A60291F">
            <w:pPr>
              <w:pStyle w:val="48"/>
              <w:spacing w:beforeLines="0" w:afterLines="0"/>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lang w:val="en-US" w:eastAsia="zh-CN"/>
              </w:rPr>
              <w:t>除尘风机</w:t>
            </w:r>
          </w:p>
        </w:tc>
        <w:tc>
          <w:tcPr>
            <w:tcW w:w="1406" w:type="dxa"/>
            <w:tcBorders>
              <w:tl2br w:val="nil"/>
              <w:tr2bl w:val="nil"/>
            </w:tcBorders>
            <w:noWrap w:val="0"/>
            <w:vAlign w:val="top"/>
          </w:tcPr>
          <w:p w14:paraId="21C2F379">
            <w:pPr>
              <w:pStyle w:val="48"/>
              <w:spacing w:beforeLines="0" w:afterLines="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2</w:t>
            </w:r>
          </w:p>
        </w:tc>
        <w:tc>
          <w:tcPr>
            <w:tcW w:w="1406" w:type="dxa"/>
            <w:tcBorders>
              <w:tl2br w:val="nil"/>
              <w:tr2bl w:val="nil"/>
            </w:tcBorders>
            <w:noWrap w:val="0"/>
            <w:vAlign w:val="top"/>
          </w:tcPr>
          <w:p w14:paraId="1A745229">
            <w:pPr>
              <w:pStyle w:val="48"/>
              <w:spacing w:beforeLines="0" w:afterLines="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90</w:t>
            </w:r>
          </w:p>
        </w:tc>
        <w:tc>
          <w:tcPr>
            <w:tcW w:w="1681" w:type="dxa"/>
            <w:vMerge w:val="continue"/>
            <w:tcBorders>
              <w:tl2br w:val="nil"/>
              <w:tr2bl w:val="nil"/>
            </w:tcBorders>
            <w:noWrap w:val="0"/>
            <w:vAlign w:val="top"/>
          </w:tcPr>
          <w:p w14:paraId="45F3509D">
            <w:pPr>
              <w:pStyle w:val="48"/>
              <w:spacing w:beforeLines="0" w:afterLines="0"/>
              <w:rPr>
                <w:rFonts w:hint="default" w:ascii="Times New Roman" w:hAnsi="Times New Roman" w:cs="Times New Roman"/>
                <w:color w:val="auto"/>
                <w:sz w:val="24"/>
                <w:szCs w:val="24"/>
                <w:highlight w:val="none"/>
              </w:rPr>
            </w:pPr>
          </w:p>
        </w:tc>
        <w:tc>
          <w:tcPr>
            <w:tcW w:w="2022" w:type="dxa"/>
            <w:tcBorders>
              <w:tl2br w:val="nil"/>
              <w:tr2bl w:val="nil"/>
            </w:tcBorders>
            <w:noWrap w:val="0"/>
            <w:vAlign w:val="top"/>
          </w:tcPr>
          <w:p w14:paraId="4A639103">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15</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20dB（A）</w:t>
            </w:r>
          </w:p>
        </w:tc>
        <w:tc>
          <w:tcPr>
            <w:tcW w:w="1314" w:type="dxa"/>
            <w:tcBorders>
              <w:tl2br w:val="nil"/>
              <w:tr2bl w:val="nil"/>
            </w:tcBorders>
            <w:noWrap w:val="0"/>
            <w:vAlign w:val="top"/>
          </w:tcPr>
          <w:p w14:paraId="12EF64B0">
            <w:pPr>
              <w:pStyle w:val="48"/>
              <w:spacing w:beforeLines="0" w:afterLines="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70</w:t>
            </w:r>
          </w:p>
        </w:tc>
      </w:tr>
    </w:tbl>
    <w:p w14:paraId="2A0AE6E5">
      <w:pPr>
        <w:spacing w:beforeLines="0" w:afterLines="0"/>
        <w:rPr>
          <w:rFonts w:hint="default" w:ascii="Times New Roman" w:hAnsi="Times New Roman" w:cs="Times New Roman"/>
          <w:color w:val="auto"/>
          <w:sz w:val="24"/>
          <w:szCs w:val="24"/>
          <w:highlight w:val="none"/>
        </w:rPr>
      </w:pPr>
      <w:bookmarkStart w:id="159" w:name="（4）固废"/>
      <w:bookmarkEnd w:id="159"/>
      <w:r>
        <w:rPr>
          <w:rFonts w:hint="default" w:ascii="Times New Roman" w:hAnsi="Times New Roman" w:cs="Times New Roman"/>
          <w:color w:val="auto"/>
          <w:sz w:val="24"/>
          <w:szCs w:val="24"/>
          <w:highlight w:val="none"/>
        </w:rPr>
        <w:t>（4）固废</w:t>
      </w:r>
    </w:p>
    <w:p w14:paraId="70190A8D">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①剥离表土</w:t>
      </w:r>
    </w:p>
    <w:p w14:paraId="4BE57541">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根据本项目开发利用方案，剥离表土量共计约</w:t>
      </w:r>
      <w:r>
        <w:rPr>
          <w:rFonts w:hint="default" w:ascii="Times New Roman" w:hAnsi="Times New Roman" w:cs="Times New Roman"/>
          <w:color w:val="auto"/>
          <w:sz w:val="24"/>
          <w:szCs w:val="24"/>
          <w:highlight w:val="none"/>
          <w:lang w:val="en-US" w:eastAsia="zh-CN"/>
        </w:rPr>
        <w:t>15.52</w:t>
      </w:r>
      <w:r>
        <w:rPr>
          <w:rFonts w:hint="default" w:ascii="Times New Roman" w:hAnsi="Times New Roman" w:cs="Times New Roman"/>
          <w:color w:val="auto"/>
          <w:sz w:val="24"/>
          <w:szCs w:val="24"/>
          <w:highlight w:val="none"/>
        </w:rPr>
        <w:t>万t，剥离表土集中堆存至表土堆场，后期用于土地复垦。</w:t>
      </w:r>
    </w:p>
    <w:p w14:paraId="26433885">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②筛分废料</w:t>
      </w:r>
    </w:p>
    <w:p w14:paraId="6F7591EF">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筛分产生的废弃砂土前期集中堆放至废料堆场</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产生量为46万t</w:t>
      </w:r>
      <w:r>
        <w:rPr>
          <w:rFonts w:hint="default" w:ascii="Times New Roman" w:hAnsi="Times New Roman" w:cs="Times New Roman"/>
          <w:color w:val="auto"/>
          <w:sz w:val="24"/>
          <w:szCs w:val="24"/>
          <w:highlight w:val="none"/>
        </w:rPr>
        <w:t>，采用</w:t>
      </w:r>
      <w:r>
        <w:rPr>
          <w:rFonts w:hint="default" w:ascii="Times New Roman" w:hAnsi="Times New Roman" w:cs="Times New Roman"/>
          <w:color w:val="auto"/>
          <w:sz w:val="24"/>
          <w:szCs w:val="24"/>
          <w:highlight w:val="none"/>
          <w:lang w:val="en-US" w:eastAsia="zh-CN"/>
        </w:rPr>
        <w:t>篷布</w:t>
      </w:r>
      <w:r>
        <w:rPr>
          <w:rFonts w:hint="default" w:ascii="Times New Roman" w:hAnsi="Times New Roman" w:cs="Times New Roman"/>
          <w:color w:val="auto"/>
          <w:sz w:val="24"/>
          <w:szCs w:val="24"/>
          <w:highlight w:val="none"/>
        </w:rPr>
        <w:t>遮盖，</w:t>
      </w:r>
      <w:r>
        <w:rPr>
          <w:rFonts w:hint="default" w:ascii="Times New Roman" w:hAnsi="Times New Roman" w:cs="Times New Roman"/>
          <w:color w:val="auto"/>
          <w:sz w:val="24"/>
          <w:szCs w:val="24"/>
          <w:highlight w:val="none"/>
          <w:lang w:val="en-US" w:eastAsia="zh-CN"/>
        </w:rPr>
        <w:t>装卸时进行雾炮降尘，</w:t>
      </w:r>
      <w:r>
        <w:rPr>
          <w:rFonts w:hint="default" w:ascii="Times New Roman" w:hAnsi="Times New Roman" w:cs="Times New Roman"/>
          <w:color w:val="auto"/>
          <w:sz w:val="24"/>
          <w:szCs w:val="24"/>
          <w:highlight w:val="none"/>
        </w:rPr>
        <w:t>后期产生的废</w:t>
      </w:r>
      <w:r>
        <w:rPr>
          <w:rFonts w:hint="default" w:ascii="Times New Roman" w:hAnsi="Times New Roman" w:cs="Times New Roman"/>
          <w:color w:val="auto"/>
          <w:sz w:val="24"/>
          <w:szCs w:val="24"/>
          <w:highlight w:val="none"/>
          <w:lang w:val="en-US" w:eastAsia="zh-CN"/>
        </w:rPr>
        <w:t>料废</w:t>
      </w:r>
      <w:r>
        <w:rPr>
          <w:rFonts w:hint="default" w:ascii="Times New Roman" w:hAnsi="Times New Roman" w:cs="Times New Roman"/>
          <w:color w:val="auto"/>
          <w:sz w:val="24"/>
          <w:szCs w:val="24"/>
          <w:highlight w:val="none"/>
        </w:rPr>
        <w:t>土边生产边回填露天采坑，并用推土机推平。</w:t>
      </w:r>
    </w:p>
    <w:p w14:paraId="72034C5D">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③沉淀池沉渣</w:t>
      </w:r>
    </w:p>
    <w:p w14:paraId="1C9FA6C7">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w:t>
      </w:r>
      <w:r>
        <w:rPr>
          <w:rFonts w:hint="default" w:ascii="Times New Roman" w:hAnsi="Times New Roman" w:cs="Times New Roman"/>
          <w:color w:val="auto"/>
          <w:sz w:val="24"/>
          <w:szCs w:val="24"/>
          <w:highlight w:val="none"/>
          <w:lang w:val="en-US" w:eastAsia="zh-CN"/>
        </w:rPr>
        <w:t>生产用水沉淀池</w:t>
      </w:r>
      <w:r>
        <w:rPr>
          <w:rFonts w:hint="default" w:ascii="Times New Roman" w:hAnsi="Times New Roman" w:cs="Times New Roman"/>
          <w:color w:val="auto"/>
          <w:sz w:val="24"/>
          <w:szCs w:val="24"/>
          <w:highlight w:val="none"/>
        </w:rPr>
        <w:t>产生的沉渣约为</w:t>
      </w:r>
      <w:r>
        <w:rPr>
          <w:rFonts w:hint="default"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rPr>
        <w:t>t/a，定期清运至废料堆场。</w:t>
      </w:r>
    </w:p>
    <w:p w14:paraId="0E1ED0D7">
      <w:pPr>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rPr>
        <w:t>④</w:t>
      </w:r>
      <w:r>
        <w:rPr>
          <w:rFonts w:hint="default" w:ascii="Times New Roman" w:hAnsi="Times New Roman" w:cs="Times New Roman"/>
          <w:color w:val="auto"/>
          <w:sz w:val="24"/>
          <w:szCs w:val="24"/>
          <w:highlight w:val="none"/>
          <w:lang w:val="en-US" w:eastAsia="zh-CN"/>
        </w:rPr>
        <w:t>废矿物油及废油桶</w:t>
      </w:r>
    </w:p>
    <w:p w14:paraId="0A9702AD">
      <w:pPr>
        <w:spacing w:beforeLines="0" w:afterLines="0"/>
        <w:rPr>
          <w:rFonts w:hint="default" w:ascii="Times New Roman" w:hAnsi="Times New Roman" w:cs="Times New Roman"/>
          <w:color w:val="auto"/>
          <w:highlight w:val="none"/>
          <w:lang w:val="en-US" w:eastAsia="zh-CN"/>
        </w:rPr>
      </w:pPr>
      <w:r>
        <w:rPr>
          <w:rFonts w:hint="default" w:ascii="Times New Roman" w:hAnsi="Times New Roman" w:eastAsia="Times New Roman" w:cs="Times New Roman"/>
          <w:color w:val="FF0000"/>
          <w:highlight w:val="none"/>
          <w:lang w:val="en-US" w:eastAsia="zh-CN"/>
        </w:rPr>
        <w:t>本</w:t>
      </w:r>
      <w:r>
        <w:rPr>
          <w:rFonts w:hint="default" w:ascii="Times New Roman" w:hAnsi="Times New Roman" w:eastAsia="宋体" w:cs="Times New Roman"/>
          <w:b w:val="0"/>
          <w:color w:val="FF0000"/>
          <w:sz w:val="24"/>
          <w:szCs w:val="24"/>
          <w:highlight w:val="none"/>
          <w:lang w:val="en-US" w:eastAsia="zh-CN"/>
        </w:rPr>
        <w:t>项目不设置机修车间，车辆、设备大修全部外委进行维修，产生的废矿物油及废油桶由维修单位按照废物处置要求进行处置。</w:t>
      </w:r>
      <w:r>
        <w:rPr>
          <w:rFonts w:hint="default" w:ascii="Times New Roman" w:hAnsi="Times New Roman" w:eastAsia="宋体" w:cs="Times New Roman"/>
          <w:b w:val="0"/>
          <w:color w:val="auto"/>
          <w:sz w:val="24"/>
          <w:szCs w:val="24"/>
          <w:highlight w:val="none"/>
          <w:lang w:val="en-US" w:eastAsia="zh-CN"/>
        </w:rPr>
        <w:t>但在运营过程中，不可避免的会出现车辆、设备故障，排放少量的废矿物油，产生量约0.5t/a，本项目在工业广场设置危废贮存点一处，该贮存点按照《危险废物贮存污染控制标准》（GB18597-2023）进行设置，废矿物油及废油桶临时贮存，委托有资质的单位代为处置。</w:t>
      </w:r>
    </w:p>
    <w:p w14:paraId="56C936DA">
      <w:pPr>
        <w:spacing w:beforeLines="0" w:afterLines="0"/>
        <w:rPr>
          <w:rFonts w:hint="default" w:ascii="Times New Roman" w:hAnsi="Times New Roman" w:cs="Times New Roman"/>
          <w:color w:val="auto"/>
          <w:sz w:val="24"/>
          <w:szCs w:val="24"/>
          <w:highlight w:val="none"/>
        </w:rPr>
      </w:pPr>
      <w:r>
        <w:rPr>
          <w:rFonts w:hint="default" w:ascii="Times New Roman" w:hAnsi="Times New Roman" w:eastAsia="微软雅黑" w:cs="Times New Roman"/>
          <w:color w:val="auto"/>
          <w:sz w:val="24"/>
          <w:szCs w:val="24"/>
          <w:highlight w:val="none"/>
        </w:rPr>
        <w:t>⑤</w:t>
      </w:r>
      <w:r>
        <w:rPr>
          <w:rFonts w:hint="default" w:ascii="Times New Roman" w:hAnsi="Times New Roman" w:cs="Times New Roman"/>
          <w:color w:val="auto"/>
          <w:sz w:val="24"/>
          <w:szCs w:val="24"/>
          <w:highlight w:val="none"/>
        </w:rPr>
        <w:t>生活垃圾</w:t>
      </w:r>
    </w:p>
    <w:p w14:paraId="37E04A5F">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项目区定员</w:t>
      </w:r>
      <w:r>
        <w:rPr>
          <w:rFonts w:hint="default" w:ascii="Times New Roman" w:hAnsi="Times New Roman" w:cs="Times New Roman"/>
          <w:color w:val="auto"/>
          <w:sz w:val="24"/>
          <w:szCs w:val="24"/>
          <w:highlight w:val="none"/>
          <w:lang w:val="en-US" w:eastAsia="zh-CN"/>
        </w:rPr>
        <w:t>32</w:t>
      </w:r>
      <w:r>
        <w:rPr>
          <w:rFonts w:hint="default" w:ascii="Times New Roman" w:hAnsi="Times New Roman" w:cs="Times New Roman"/>
          <w:color w:val="auto"/>
          <w:sz w:val="24"/>
          <w:szCs w:val="24"/>
          <w:highlight w:val="none"/>
        </w:rPr>
        <w:t>人，每人产生的生活垃圾量按</w:t>
      </w:r>
      <w:r>
        <w:rPr>
          <w:rFonts w:hint="default"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rPr>
        <w:t>kg/d计算，则垃圾产生量为</w:t>
      </w:r>
      <w:r>
        <w:rPr>
          <w:rFonts w:hint="default" w:ascii="Times New Roman" w:hAnsi="Times New Roman" w:cs="Times New Roman"/>
          <w:color w:val="auto"/>
          <w:sz w:val="24"/>
          <w:szCs w:val="24"/>
          <w:highlight w:val="none"/>
          <w:lang w:val="en-US" w:eastAsia="zh-CN"/>
        </w:rPr>
        <w:t>32</w:t>
      </w:r>
      <w:r>
        <w:rPr>
          <w:rFonts w:hint="default" w:ascii="Times New Roman" w:hAnsi="Times New Roman" w:cs="Times New Roman"/>
          <w:color w:val="auto"/>
          <w:sz w:val="24"/>
          <w:szCs w:val="24"/>
          <w:highlight w:val="none"/>
        </w:rPr>
        <w:t>kg/d（</w:t>
      </w:r>
      <w:r>
        <w:rPr>
          <w:rFonts w:hint="default" w:ascii="Times New Roman" w:hAnsi="Times New Roman" w:cs="Times New Roman"/>
          <w:color w:val="auto"/>
          <w:sz w:val="24"/>
          <w:szCs w:val="24"/>
          <w:highlight w:val="none"/>
          <w:lang w:eastAsia="zh-CN"/>
        </w:rPr>
        <w:t>9.6</w:t>
      </w:r>
      <w:r>
        <w:rPr>
          <w:rFonts w:hint="default" w:ascii="Times New Roman" w:hAnsi="Times New Roman" w:cs="Times New Roman"/>
          <w:color w:val="auto"/>
          <w:sz w:val="24"/>
          <w:szCs w:val="24"/>
          <w:highlight w:val="none"/>
        </w:rPr>
        <w:t>t/a）。生活垃圾集中收集后，定期运至阜康市生活垃圾填埋场集中处置。</w:t>
      </w:r>
    </w:p>
    <w:p w14:paraId="513DEFEF">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723" w:firstLineChars="300"/>
        <w:jc w:val="center"/>
        <w:textAlignment w:val="auto"/>
        <w:rPr>
          <w:rFonts w:hint="default" w:ascii="Times New Roman" w:hAnsi="Times New Roman" w:eastAsia="宋体" w:cs="Times New Roman"/>
          <w:b/>
          <w:caps w:val="0"/>
          <w:color w:val="FF0000"/>
          <w:spacing w:val="0"/>
          <w:position w:val="0"/>
          <w:szCs w:val="24"/>
          <w:highlight w:val="none"/>
        </w:rPr>
      </w:pPr>
      <w:r>
        <w:rPr>
          <w:rFonts w:hint="default" w:ascii="Times New Roman" w:hAnsi="Times New Roman" w:eastAsia="宋体" w:cs="Times New Roman"/>
          <w:b/>
          <w:caps w:val="0"/>
          <w:color w:val="FF0000"/>
          <w:spacing w:val="0"/>
          <w:position w:val="0"/>
          <w:szCs w:val="24"/>
          <w:highlight w:val="none"/>
        </w:rPr>
        <w:t>表3</w:t>
      </w:r>
      <w:r>
        <w:rPr>
          <w:rFonts w:hint="eastAsia" w:cs="Times New Roman"/>
          <w:b/>
          <w:caps w:val="0"/>
          <w:color w:val="FF0000"/>
          <w:spacing w:val="0"/>
          <w:position w:val="0"/>
          <w:szCs w:val="24"/>
          <w:highlight w:val="none"/>
          <w:lang w:val="en-US" w:eastAsia="zh-CN"/>
        </w:rPr>
        <w:t>.8</w:t>
      </w:r>
      <w:r>
        <w:rPr>
          <w:rFonts w:hint="default" w:ascii="Times New Roman" w:hAnsi="Times New Roman" w:eastAsia="宋体" w:cs="Times New Roman"/>
          <w:b/>
          <w:caps w:val="0"/>
          <w:color w:val="FF0000"/>
          <w:spacing w:val="0"/>
          <w:position w:val="0"/>
          <w:szCs w:val="24"/>
          <w:highlight w:val="none"/>
          <w:lang w:val="en-US" w:eastAsia="zh-CN"/>
        </w:rPr>
        <w:t>-1</w:t>
      </w:r>
      <w:r>
        <w:rPr>
          <w:rFonts w:hint="eastAsia" w:cs="Times New Roman"/>
          <w:b/>
          <w:caps w:val="0"/>
          <w:color w:val="FF0000"/>
          <w:spacing w:val="0"/>
          <w:position w:val="0"/>
          <w:szCs w:val="24"/>
          <w:highlight w:val="none"/>
          <w:lang w:val="en-US" w:eastAsia="zh-CN"/>
        </w:rPr>
        <w:t xml:space="preserve">5 </w:t>
      </w:r>
      <w:r>
        <w:rPr>
          <w:rFonts w:hint="eastAsia" w:ascii="Times New Roman" w:hAnsi="Times New Roman" w:eastAsia="宋体" w:cs="Times New Roman"/>
          <w:b/>
          <w:caps w:val="0"/>
          <w:color w:val="FF0000"/>
          <w:spacing w:val="0"/>
          <w:position w:val="0"/>
          <w:szCs w:val="24"/>
          <w:highlight w:val="none"/>
          <w:lang w:val="en-US" w:eastAsia="zh-CN"/>
        </w:rPr>
        <w:t xml:space="preserve">  </w:t>
      </w:r>
      <w:r>
        <w:rPr>
          <w:rFonts w:hint="default" w:ascii="Times New Roman" w:hAnsi="Times New Roman" w:eastAsia="宋体" w:cs="Times New Roman"/>
          <w:b/>
          <w:caps w:val="0"/>
          <w:color w:val="FF0000"/>
          <w:spacing w:val="0"/>
          <w:position w:val="0"/>
          <w:szCs w:val="24"/>
          <w:highlight w:val="none"/>
        </w:rPr>
        <w:t>本项目固体废物产排情况汇总表</w:t>
      </w:r>
    </w:p>
    <w:tbl>
      <w:tblPr>
        <w:tblStyle w:val="31"/>
        <w:tblW w:w="9067"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57" w:type="dxa"/>
          <w:bottom w:w="0" w:type="dxa"/>
          <w:right w:w="57" w:type="dxa"/>
        </w:tblCellMar>
      </w:tblPr>
      <w:tblGrid>
        <w:gridCol w:w="619"/>
        <w:gridCol w:w="1443"/>
        <w:gridCol w:w="1264"/>
        <w:gridCol w:w="791"/>
        <w:gridCol w:w="1536"/>
        <w:gridCol w:w="1617"/>
        <w:gridCol w:w="1797"/>
      </w:tblGrid>
      <w:tr w14:paraId="01DCBF9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trHeight w:val="549" w:hRule="exact"/>
        </w:trPr>
        <w:tc>
          <w:tcPr>
            <w:tcW w:w="619" w:type="dxa"/>
            <w:tcBorders>
              <w:top w:val="single" w:color="auto" w:sz="4" w:space="0"/>
              <w:left w:val="single" w:color="auto" w:sz="4" w:space="0"/>
              <w:bottom w:val="single" w:color="auto" w:sz="4" w:space="0"/>
              <w:right w:val="single" w:color="auto" w:sz="4" w:space="0"/>
            </w:tcBorders>
            <w:noWrap w:val="0"/>
            <w:vAlign w:val="center"/>
          </w:tcPr>
          <w:p w14:paraId="245442CE">
            <w:pPr>
              <w:pStyle w:val="4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aps w:val="0"/>
                <w:color w:val="FF0000"/>
                <w:spacing w:val="0"/>
                <w:position w:val="0"/>
                <w:sz w:val="24"/>
                <w:szCs w:val="24"/>
                <w:highlight w:val="none"/>
              </w:rPr>
            </w:pPr>
            <w:r>
              <w:rPr>
                <w:rFonts w:hint="default" w:ascii="Times New Roman" w:hAnsi="Times New Roman" w:cs="Times New Roman"/>
                <w:caps w:val="0"/>
                <w:color w:val="FF0000"/>
                <w:spacing w:val="0"/>
                <w:position w:val="0"/>
                <w:sz w:val="24"/>
                <w:szCs w:val="24"/>
                <w:highlight w:val="none"/>
              </w:rPr>
              <w:t>序号</w:t>
            </w:r>
          </w:p>
        </w:tc>
        <w:tc>
          <w:tcPr>
            <w:tcW w:w="1443" w:type="dxa"/>
            <w:tcBorders>
              <w:top w:val="single" w:color="auto" w:sz="4" w:space="0"/>
              <w:left w:val="single" w:color="auto" w:sz="4" w:space="0"/>
              <w:bottom w:val="single" w:color="auto" w:sz="4" w:space="0"/>
              <w:right w:val="single" w:color="auto" w:sz="4" w:space="0"/>
            </w:tcBorders>
            <w:noWrap w:val="0"/>
            <w:vAlign w:val="center"/>
          </w:tcPr>
          <w:p w14:paraId="337AB188">
            <w:pPr>
              <w:pStyle w:val="4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aps w:val="0"/>
                <w:color w:val="FF0000"/>
                <w:spacing w:val="0"/>
                <w:position w:val="0"/>
                <w:sz w:val="24"/>
                <w:szCs w:val="24"/>
                <w:highlight w:val="none"/>
              </w:rPr>
            </w:pPr>
            <w:r>
              <w:rPr>
                <w:rFonts w:hint="default" w:ascii="Times New Roman" w:hAnsi="Times New Roman" w:cs="Times New Roman"/>
                <w:caps w:val="0"/>
                <w:color w:val="FF0000"/>
                <w:spacing w:val="0"/>
                <w:position w:val="0"/>
                <w:sz w:val="24"/>
                <w:szCs w:val="24"/>
                <w:highlight w:val="none"/>
              </w:rPr>
              <w:t>固体废物</w:t>
            </w:r>
          </w:p>
        </w:tc>
        <w:tc>
          <w:tcPr>
            <w:tcW w:w="1264" w:type="dxa"/>
            <w:tcBorders>
              <w:top w:val="single" w:color="auto" w:sz="4" w:space="0"/>
              <w:left w:val="single" w:color="auto" w:sz="4" w:space="0"/>
              <w:bottom w:val="single" w:color="auto" w:sz="4" w:space="0"/>
              <w:right w:val="single" w:color="auto" w:sz="4" w:space="0"/>
            </w:tcBorders>
            <w:noWrap w:val="0"/>
            <w:vAlign w:val="center"/>
          </w:tcPr>
          <w:p w14:paraId="1701FFD8">
            <w:pPr>
              <w:pStyle w:val="4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aps w:val="0"/>
                <w:color w:val="FF0000"/>
                <w:spacing w:val="0"/>
                <w:position w:val="0"/>
                <w:sz w:val="24"/>
                <w:szCs w:val="24"/>
                <w:highlight w:val="none"/>
              </w:rPr>
            </w:pPr>
            <w:r>
              <w:rPr>
                <w:rFonts w:hint="default" w:ascii="Times New Roman" w:hAnsi="Times New Roman" w:cs="Times New Roman"/>
                <w:caps w:val="0"/>
                <w:color w:val="FF0000"/>
                <w:spacing w:val="0"/>
                <w:position w:val="0"/>
                <w:sz w:val="24"/>
                <w:szCs w:val="24"/>
                <w:highlight w:val="none"/>
              </w:rPr>
              <w:t>属性</w:t>
            </w:r>
          </w:p>
        </w:tc>
        <w:tc>
          <w:tcPr>
            <w:tcW w:w="791" w:type="dxa"/>
            <w:tcBorders>
              <w:top w:val="single" w:color="auto" w:sz="4" w:space="0"/>
              <w:left w:val="single" w:color="auto" w:sz="4" w:space="0"/>
              <w:bottom w:val="single" w:color="auto" w:sz="4" w:space="0"/>
              <w:right w:val="single" w:color="auto" w:sz="4" w:space="0"/>
            </w:tcBorders>
            <w:noWrap w:val="0"/>
            <w:vAlign w:val="center"/>
          </w:tcPr>
          <w:p w14:paraId="479068EC">
            <w:pPr>
              <w:pStyle w:val="4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aps w:val="0"/>
                <w:color w:val="FF0000"/>
                <w:spacing w:val="0"/>
                <w:position w:val="0"/>
                <w:sz w:val="24"/>
                <w:szCs w:val="24"/>
                <w:highlight w:val="none"/>
                <w:lang w:eastAsia="zh-CN"/>
              </w:rPr>
            </w:pPr>
            <w:r>
              <w:rPr>
                <w:rFonts w:hint="default" w:ascii="Times New Roman" w:hAnsi="Times New Roman" w:cs="Times New Roman"/>
                <w:caps w:val="0"/>
                <w:color w:val="FF0000"/>
                <w:spacing w:val="0"/>
                <w:position w:val="0"/>
                <w:sz w:val="24"/>
                <w:szCs w:val="24"/>
                <w:highlight w:val="none"/>
                <w:lang w:val="en-US" w:eastAsia="zh-CN"/>
              </w:rPr>
              <w:t>废物种类</w:t>
            </w:r>
          </w:p>
        </w:tc>
        <w:tc>
          <w:tcPr>
            <w:tcW w:w="1536" w:type="dxa"/>
            <w:tcBorders>
              <w:top w:val="single" w:color="auto" w:sz="4" w:space="0"/>
              <w:left w:val="single" w:color="auto" w:sz="4" w:space="0"/>
              <w:bottom w:val="single" w:color="auto" w:sz="4" w:space="0"/>
              <w:right w:val="single" w:color="auto" w:sz="4" w:space="0"/>
            </w:tcBorders>
            <w:noWrap w:val="0"/>
            <w:vAlign w:val="center"/>
          </w:tcPr>
          <w:p w14:paraId="31CE7EC8">
            <w:pPr>
              <w:pStyle w:val="4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aps w:val="0"/>
                <w:color w:val="FF0000"/>
                <w:spacing w:val="0"/>
                <w:position w:val="0"/>
                <w:sz w:val="24"/>
                <w:szCs w:val="24"/>
                <w:highlight w:val="none"/>
                <w:lang w:eastAsia="zh-CN"/>
              </w:rPr>
            </w:pPr>
            <w:r>
              <w:rPr>
                <w:rFonts w:hint="default" w:ascii="Times New Roman" w:hAnsi="Times New Roman" w:cs="Times New Roman"/>
                <w:caps w:val="0"/>
                <w:color w:val="FF0000"/>
                <w:spacing w:val="0"/>
                <w:position w:val="0"/>
                <w:sz w:val="24"/>
                <w:szCs w:val="24"/>
                <w:highlight w:val="none"/>
                <w:lang w:val="en-US" w:eastAsia="zh-CN"/>
              </w:rPr>
              <w:t>废物代码</w:t>
            </w:r>
          </w:p>
        </w:tc>
        <w:tc>
          <w:tcPr>
            <w:tcW w:w="1617" w:type="dxa"/>
            <w:tcBorders>
              <w:top w:val="single" w:color="auto" w:sz="4" w:space="0"/>
              <w:left w:val="single" w:color="auto" w:sz="4" w:space="0"/>
              <w:bottom w:val="single" w:color="auto" w:sz="4" w:space="0"/>
              <w:right w:val="single" w:color="auto" w:sz="4" w:space="0"/>
            </w:tcBorders>
            <w:noWrap w:val="0"/>
            <w:vAlign w:val="center"/>
          </w:tcPr>
          <w:p w14:paraId="1DF80166">
            <w:pPr>
              <w:pStyle w:val="4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aps w:val="0"/>
                <w:color w:val="FF0000"/>
                <w:spacing w:val="0"/>
                <w:position w:val="0"/>
                <w:sz w:val="24"/>
                <w:szCs w:val="24"/>
                <w:highlight w:val="none"/>
              </w:rPr>
            </w:pPr>
            <w:r>
              <w:rPr>
                <w:rFonts w:hint="default" w:ascii="Times New Roman" w:hAnsi="Times New Roman" w:cs="Times New Roman"/>
                <w:caps w:val="0"/>
                <w:color w:val="FF0000"/>
                <w:spacing w:val="0"/>
                <w:position w:val="0"/>
                <w:sz w:val="24"/>
                <w:szCs w:val="24"/>
                <w:highlight w:val="none"/>
              </w:rPr>
              <w:t>产生量(t/a)</w:t>
            </w:r>
          </w:p>
        </w:tc>
        <w:tc>
          <w:tcPr>
            <w:tcW w:w="1797" w:type="dxa"/>
            <w:tcBorders>
              <w:top w:val="single" w:color="auto" w:sz="4" w:space="0"/>
              <w:left w:val="single" w:color="auto" w:sz="4" w:space="0"/>
              <w:bottom w:val="single" w:color="auto" w:sz="4" w:space="0"/>
              <w:right w:val="single" w:color="auto" w:sz="4" w:space="0"/>
            </w:tcBorders>
            <w:noWrap w:val="0"/>
            <w:vAlign w:val="center"/>
          </w:tcPr>
          <w:p w14:paraId="3B0728E4">
            <w:pPr>
              <w:pStyle w:val="4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aps w:val="0"/>
                <w:color w:val="FF0000"/>
                <w:spacing w:val="0"/>
                <w:position w:val="0"/>
                <w:sz w:val="24"/>
                <w:szCs w:val="24"/>
                <w:highlight w:val="none"/>
              </w:rPr>
            </w:pPr>
            <w:r>
              <w:rPr>
                <w:rFonts w:hint="default" w:ascii="Times New Roman" w:hAnsi="Times New Roman" w:cs="Times New Roman"/>
                <w:caps w:val="0"/>
                <w:color w:val="FF0000"/>
                <w:spacing w:val="0"/>
                <w:position w:val="0"/>
                <w:sz w:val="24"/>
                <w:szCs w:val="24"/>
                <w:highlight w:val="none"/>
              </w:rPr>
              <w:t>去向</w:t>
            </w:r>
          </w:p>
        </w:tc>
      </w:tr>
      <w:tr w14:paraId="1A6F039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trHeight w:val="645" w:hRule="exact"/>
        </w:trPr>
        <w:tc>
          <w:tcPr>
            <w:tcW w:w="619" w:type="dxa"/>
            <w:tcBorders>
              <w:top w:val="single" w:color="auto" w:sz="4" w:space="0"/>
              <w:left w:val="single" w:color="auto" w:sz="4" w:space="0"/>
              <w:bottom w:val="single" w:color="auto" w:sz="4" w:space="0"/>
              <w:right w:val="single" w:color="auto" w:sz="4" w:space="0"/>
            </w:tcBorders>
            <w:noWrap w:val="0"/>
            <w:vAlign w:val="center"/>
          </w:tcPr>
          <w:p w14:paraId="6969FA1A">
            <w:pPr>
              <w:pStyle w:val="4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aps w:val="0"/>
                <w:color w:val="FF0000"/>
                <w:spacing w:val="0"/>
                <w:position w:val="0"/>
                <w:sz w:val="24"/>
                <w:szCs w:val="24"/>
                <w:highlight w:val="none"/>
              </w:rPr>
            </w:pPr>
            <w:r>
              <w:rPr>
                <w:rFonts w:hint="default" w:ascii="Times New Roman" w:hAnsi="Times New Roman" w:cs="Times New Roman"/>
                <w:caps w:val="0"/>
                <w:color w:val="FF0000"/>
                <w:spacing w:val="0"/>
                <w:position w:val="0"/>
                <w:sz w:val="24"/>
                <w:szCs w:val="24"/>
                <w:highlight w:val="none"/>
              </w:rPr>
              <w:t>1</w:t>
            </w:r>
          </w:p>
        </w:tc>
        <w:tc>
          <w:tcPr>
            <w:tcW w:w="1443" w:type="dxa"/>
            <w:tcBorders>
              <w:top w:val="single" w:color="auto" w:sz="4" w:space="0"/>
              <w:left w:val="single" w:color="auto" w:sz="4" w:space="0"/>
              <w:bottom w:val="single" w:color="auto" w:sz="4" w:space="0"/>
              <w:right w:val="single" w:color="auto" w:sz="4" w:space="0"/>
            </w:tcBorders>
            <w:noWrap w:val="0"/>
            <w:vAlign w:val="center"/>
          </w:tcPr>
          <w:p w14:paraId="06797C46">
            <w:pPr>
              <w:pStyle w:val="4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aps w:val="0"/>
                <w:color w:val="FF0000"/>
                <w:spacing w:val="0"/>
                <w:position w:val="0"/>
                <w:sz w:val="24"/>
                <w:szCs w:val="24"/>
                <w:highlight w:val="none"/>
                <w:lang w:eastAsia="zh-CN"/>
              </w:rPr>
            </w:pPr>
            <w:r>
              <w:rPr>
                <w:rFonts w:hint="default" w:ascii="Times New Roman" w:hAnsi="Times New Roman" w:cs="Times New Roman"/>
                <w:caps w:val="0"/>
                <w:color w:val="FF0000"/>
                <w:spacing w:val="0"/>
                <w:position w:val="0"/>
                <w:sz w:val="24"/>
                <w:szCs w:val="24"/>
                <w:highlight w:val="none"/>
                <w:lang w:val="en-US" w:eastAsia="zh-CN"/>
              </w:rPr>
              <w:t>表土</w:t>
            </w:r>
          </w:p>
        </w:tc>
        <w:tc>
          <w:tcPr>
            <w:tcW w:w="1264" w:type="dxa"/>
            <w:tcBorders>
              <w:top w:val="single" w:color="auto" w:sz="4" w:space="0"/>
              <w:left w:val="single" w:color="auto" w:sz="4" w:space="0"/>
              <w:bottom w:val="single" w:color="auto" w:sz="4" w:space="0"/>
              <w:right w:val="single" w:color="auto" w:sz="4" w:space="0"/>
            </w:tcBorders>
            <w:noWrap w:val="0"/>
            <w:vAlign w:val="center"/>
          </w:tcPr>
          <w:p w14:paraId="432094AA">
            <w:pPr>
              <w:pStyle w:val="4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aps w:val="0"/>
                <w:color w:val="FF0000"/>
                <w:spacing w:val="0"/>
                <w:position w:val="0"/>
                <w:sz w:val="24"/>
                <w:szCs w:val="24"/>
                <w:highlight w:val="none"/>
              </w:rPr>
            </w:pPr>
            <w:r>
              <w:rPr>
                <w:rFonts w:hint="default" w:ascii="Times New Roman" w:hAnsi="Times New Roman" w:cs="Times New Roman"/>
                <w:caps w:val="0"/>
                <w:color w:val="FF0000"/>
                <w:spacing w:val="0"/>
                <w:position w:val="0"/>
                <w:sz w:val="24"/>
                <w:szCs w:val="24"/>
                <w:highlight w:val="none"/>
              </w:rPr>
              <w:t>一般工业</w:t>
            </w:r>
          </w:p>
          <w:p w14:paraId="2FDBDE0F">
            <w:pPr>
              <w:pStyle w:val="4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aps w:val="0"/>
                <w:color w:val="FF0000"/>
                <w:spacing w:val="0"/>
                <w:position w:val="0"/>
                <w:sz w:val="24"/>
                <w:szCs w:val="24"/>
                <w:highlight w:val="none"/>
              </w:rPr>
            </w:pPr>
            <w:r>
              <w:rPr>
                <w:rFonts w:hint="default" w:ascii="Times New Roman" w:hAnsi="Times New Roman" w:cs="Times New Roman"/>
                <w:caps w:val="0"/>
                <w:color w:val="FF0000"/>
                <w:spacing w:val="0"/>
                <w:position w:val="0"/>
                <w:sz w:val="24"/>
                <w:szCs w:val="24"/>
                <w:highlight w:val="none"/>
              </w:rPr>
              <w:t>固体废物</w:t>
            </w:r>
          </w:p>
        </w:tc>
        <w:tc>
          <w:tcPr>
            <w:tcW w:w="791" w:type="dxa"/>
            <w:tcBorders>
              <w:top w:val="single" w:color="auto" w:sz="4" w:space="0"/>
              <w:left w:val="single" w:color="auto" w:sz="4" w:space="0"/>
              <w:bottom w:val="single" w:color="auto" w:sz="4" w:space="0"/>
              <w:right w:val="single" w:color="auto" w:sz="4" w:space="0"/>
            </w:tcBorders>
            <w:noWrap w:val="0"/>
            <w:vAlign w:val="center"/>
          </w:tcPr>
          <w:p w14:paraId="57F2DEFF">
            <w:pPr>
              <w:pStyle w:val="4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aps w:val="0"/>
                <w:color w:val="FF0000"/>
                <w:spacing w:val="0"/>
                <w:position w:val="0"/>
                <w:sz w:val="24"/>
                <w:szCs w:val="24"/>
                <w:highlight w:val="none"/>
                <w:lang w:eastAsia="zh-CN"/>
              </w:rPr>
            </w:pPr>
            <w:r>
              <w:rPr>
                <w:rFonts w:hint="default" w:ascii="Times New Roman" w:hAnsi="Times New Roman" w:cs="Times New Roman"/>
                <w:caps w:val="0"/>
                <w:color w:val="FF0000"/>
                <w:spacing w:val="0"/>
                <w:position w:val="0"/>
                <w:sz w:val="24"/>
                <w:szCs w:val="24"/>
                <w:highlight w:val="none"/>
                <w:lang w:val="en-US" w:eastAsia="zh-CN"/>
              </w:rPr>
              <w:t>/</w:t>
            </w:r>
          </w:p>
        </w:tc>
        <w:tc>
          <w:tcPr>
            <w:tcW w:w="1536" w:type="dxa"/>
            <w:tcBorders>
              <w:top w:val="single" w:color="auto" w:sz="4" w:space="0"/>
              <w:left w:val="single" w:color="auto" w:sz="4" w:space="0"/>
              <w:bottom w:val="single" w:color="auto" w:sz="4" w:space="0"/>
              <w:right w:val="single" w:color="auto" w:sz="4" w:space="0"/>
            </w:tcBorders>
            <w:noWrap w:val="0"/>
            <w:vAlign w:val="center"/>
          </w:tcPr>
          <w:p w14:paraId="0D5FEC15">
            <w:pPr>
              <w:pStyle w:val="4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aps w:val="0"/>
                <w:color w:val="FF0000"/>
                <w:spacing w:val="0"/>
                <w:position w:val="0"/>
                <w:sz w:val="24"/>
                <w:szCs w:val="24"/>
                <w:highlight w:val="none"/>
                <w:lang w:eastAsia="zh-CN"/>
              </w:rPr>
            </w:pPr>
            <w:r>
              <w:rPr>
                <w:rFonts w:hint="default" w:ascii="Times New Roman" w:hAnsi="Times New Roman" w:cs="Times New Roman"/>
                <w:caps w:val="0"/>
                <w:color w:val="FF0000"/>
                <w:spacing w:val="0"/>
                <w:position w:val="0"/>
                <w:sz w:val="24"/>
                <w:szCs w:val="24"/>
                <w:highlight w:val="none"/>
                <w:lang w:val="en-US" w:eastAsia="zh-CN"/>
              </w:rPr>
              <w:t>/</w:t>
            </w:r>
          </w:p>
        </w:tc>
        <w:tc>
          <w:tcPr>
            <w:tcW w:w="1617" w:type="dxa"/>
            <w:tcBorders>
              <w:top w:val="single" w:color="auto" w:sz="4" w:space="0"/>
              <w:left w:val="single" w:color="auto" w:sz="4" w:space="0"/>
              <w:bottom w:val="single" w:color="auto" w:sz="4" w:space="0"/>
              <w:right w:val="single" w:color="auto" w:sz="4" w:space="0"/>
            </w:tcBorders>
            <w:noWrap w:val="0"/>
            <w:vAlign w:val="center"/>
          </w:tcPr>
          <w:p w14:paraId="128390A0">
            <w:pPr>
              <w:pStyle w:val="4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aps w:val="0"/>
                <w:color w:val="FF0000"/>
                <w:spacing w:val="0"/>
                <w:position w:val="0"/>
                <w:sz w:val="24"/>
                <w:szCs w:val="24"/>
                <w:highlight w:val="none"/>
                <w:lang w:val="en-US" w:eastAsia="zh-CN"/>
              </w:rPr>
            </w:pPr>
            <w:r>
              <w:rPr>
                <w:rFonts w:hint="default" w:ascii="Times New Roman" w:hAnsi="Times New Roman" w:cs="Times New Roman"/>
                <w:color w:val="FF0000"/>
                <w:sz w:val="24"/>
                <w:szCs w:val="24"/>
                <w:highlight w:val="none"/>
                <w:lang w:val="en-US" w:eastAsia="zh-CN"/>
              </w:rPr>
              <w:t>15.52</w:t>
            </w:r>
            <w:r>
              <w:rPr>
                <w:rFonts w:hint="default" w:ascii="Times New Roman" w:hAnsi="Times New Roman" w:cs="Times New Roman"/>
                <w:color w:val="FF0000"/>
                <w:sz w:val="24"/>
                <w:szCs w:val="24"/>
                <w:highlight w:val="none"/>
              </w:rPr>
              <w:t>万t</w:t>
            </w:r>
          </w:p>
        </w:tc>
        <w:tc>
          <w:tcPr>
            <w:tcW w:w="1797" w:type="dxa"/>
            <w:tcBorders>
              <w:top w:val="single" w:color="auto" w:sz="4" w:space="0"/>
              <w:left w:val="single" w:color="auto" w:sz="4" w:space="0"/>
              <w:bottom w:val="single" w:color="auto" w:sz="4" w:space="0"/>
              <w:right w:val="single" w:color="auto" w:sz="4" w:space="0"/>
            </w:tcBorders>
            <w:noWrap w:val="0"/>
            <w:vAlign w:val="center"/>
          </w:tcPr>
          <w:p w14:paraId="4C930B38">
            <w:pPr>
              <w:pStyle w:val="4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aps w:val="0"/>
                <w:color w:val="FF0000"/>
                <w:spacing w:val="0"/>
                <w:position w:val="0"/>
                <w:sz w:val="24"/>
                <w:szCs w:val="24"/>
                <w:highlight w:val="none"/>
                <w:lang w:val="en-US" w:eastAsia="zh-CN"/>
              </w:rPr>
            </w:pPr>
            <w:r>
              <w:rPr>
                <w:rFonts w:hint="default" w:ascii="Times New Roman" w:hAnsi="Times New Roman" w:eastAsia="宋体" w:cs="Times New Roman"/>
                <w:caps w:val="0"/>
                <w:color w:val="FF0000"/>
                <w:spacing w:val="0"/>
                <w:position w:val="0"/>
                <w:sz w:val="24"/>
                <w:szCs w:val="24"/>
                <w:highlight w:val="none"/>
                <w:lang w:val="en-US" w:eastAsia="zh-CN"/>
              </w:rPr>
              <w:t>用作复垦</w:t>
            </w:r>
          </w:p>
        </w:tc>
      </w:tr>
      <w:tr w14:paraId="3C04478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trHeight w:val="658" w:hRule="exact"/>
        </w:trPr>
        <w:tc>
          <w:tcPr>
            <w:tcW w:w="619" w:type="dxa"/>
            <w:tcBorders>
              <w:top w:val="single" w:color="auto" w:sz="4" w:space="0"/>
              <w:left w:val="single" w:color="auto" w:sz="4" w:space="0"/>
              <w:bottom w:val="single" w:color="auto" w:sz="4" w:space="0"/>
              <w:right w:val="single" w:color="auto" w:sz="4" w:space="0"/>
            </w:tcBorders>
            <w:noWrap w:val="0"/>
            <w:vAlign w:val="center"/>
          </w:tcPr>
          <w:p w14:paraId="2C5BD54C">
            <w:pPr>
              <w:pStyle w:val="4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aps w:val="0"/>
                <w:color w:val="FF0000"/>
                <w:spacing w:val="0"/>
                <w:position w:val="0"/>
                <w:sz w:val="24"/>
                <w:szCs w:val="24"/>
                <w:highlight w:val="none"/>
                <w:lang w:eastAsia="zh-CN"/>
              </w:rPr>
            </w:pPr>
            <w:r>
              <w:rPr>
                <w:rFonts w:hint="default" w:ascii="Times New Roman" w:hAnsi="Times New Roman" w:cs="Times New Roman"/>
                <w:caps w:val="0"/>
                <w:color w:val="FF0000"/>
                <w:spacing w:val="0"/>
                <w:position w:val="0"/>
                <w:sz w:val="24"/>
                <w:szCs w:val="24"/>
                <w:highlight w:val="none"/>
              </w:rPr>
              <w:t>2</w:t>
            </w:r>
          </w:p>
        </w:tc>
        <w:tc>
          <w:tcPr>
            <w:tcW w:w="1443" w:type="dxa"/>
            <w:tcBorders>
              <w:top w:val="single" w:color="auto" w:sz="4" w:space="0"/>
              <w:left w:val="single" w:color="auto" w:sz="4" w:space="0"/>
              <w:right w:val="single" w:color="auto" w:sz="4" w:space="0"/>
            </w:tcBorders>
            <w:noWrap w:val="0"/>
            <w:vAlign w:val="center"/>
          </w:tcPr>
          <w:p w14:paraId="5CDA8B42">
            <w:pPr>
              <w:pStyle w:val="4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aps w:val="0"/>
                <w:color w:val="FF0000"/>
                <w:spacing w:val="0"/>
                <w:position w:val="0"/>
                <w:sz w:val="24"/>
                <w:szCs w:val="24"/>
                <w:highlight w:val="none"/>
                <w:lang w:eastAsia="zh-CN"/>
              </w:rPr>
            </w:pPr>
            <w:r>
              <w:rPr>
                <w:rFonts w:hint="default" w:ascii="Times New Roman" w:hAnsi="Times New Roman" w:cs="Times New Roman"/>
                <w:caps w:val="0"/>
                <w:color w:val="FF0000"/>
                <w:spacing w:val="0"/>
                <w:position w:val="0"/>
                <w:sz w:val="24"/>
                <w:szCs w:val="24"/>
                <w:highlight w:val="none"/>
                <w:lang w:val="en-US" w:eastAsia="zh-CN"/>
              </w:rPr>
              <w:t>废料</w:t>
            </w:r>
          </w:p>
        </w:tc>
        <w:tc>
          <w:tcPr>
            <w:tcW w:w="1264" w:type="dxa"/>
            <w:tcBorders>
              <w:top w:val="single" w:color="auto" w:sz="4" w:space="0"/>
              <w:left w:val="single" w:color="auto" w:sz="4" w:space="0"/>
              <w:right w:val="single" w:color="auto" w:sz="4" w:space="0"/>
            </w:tcBorders>
            <w:noWrap w:val="0"/>
            <w:vAlign w:val="center"/>
          </w:tcPr>
          <w:p w14:paraId="709F7CC5">
            <w:pPr>
              <w:pStyle w:val="4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aps w:val="0"/>
                <w:color w:val="FF0000"/>
                <w:spacing w:val="0"/>
                <w:position w:val="0"/>
                <w:sz w:val="24"/>
                <w:szCs w:val="24"/>
                <w:highlight w:val="none"/>
              </w:rPr>
            </w:pPr>
            <w:r>
              <w:rPr>
                <w:rFonts w:hint="default" w:ascii="Times New Roman" w:hAnsi="Times New Roman" w:cs="Times New Roman"/>
                <w:caps w:val="0"/>
                <w:color w:val="FF0000"/>
                <w:spacing w:val="0"/>
                <w:position w:val="0"/>
                <w:sz w:val="24"/>
                <w:szCs w:val="24"/>
                <w:highlight w:val="none"/>
              </w:rPr>
              <w:t>一般工业</w:t>
            </w:r>
          </w:p>
          <w:p w14:paraId="5107A7D9">
            <w:pPr>
              <w:pStyle w:val="4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aps w:val="0"/>
                <w:color w:val="FF0000"/>
                <w:spacing w:val="0"/>
                <w:position w:val="0"/>
                <w:sz w:val="24"/>
                <w:szCs w:val="24"/>
                <w:highlight w:val="none"/>
              </w:rPr>
            </w:pPr>
            <w:r>
              <w:rPr>
                <w:rFonts w:hint="default" w:ascii="Times New Roman" w:hAnsi="Times New Roman" w:cs="Times New Roman"/>
                <w:caps w:val="0"/>
                <w:color w:val="FF0000"/>
                <w:spacing w:val="0"/>
                <w:position w:val="0"/>
                <w:sz w:val="24"/>
                <w:szCs w:val="24"/>
                <w:highlight w:val="none"/>
              </w:rPr>
              <w:t>固体废物</w:t>
            </w:r>
          </w:p>
        </w:tc>
        <w:tc>
          <w:tcPr>
            <w:tcW w:w="791" w:type="dxa"/>
            <w:tcBorders>
              <w:top w:val="single" w:color="auto" w:sz="4" w:space="0"/>
              <w:left w:val="single" w:color="auto" w:sz="4" w:space="0"/>
              <w:right w:val="single" w:color="auto" w:sz="4" w:space="0"/>
            </w:tcBorders>
            <w:noWrap w:val="0"/>
            <w:vAlign w:val="center"/>
          </w:tcPr>
          <w:p w14:paraId="4514F866">
            <w:pPr>
              <w:pStyle w:val="4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aps w:val="0"/>
                <w:color w:val="FF0000"/>
                <w:spacing w:val="0"/>
                <w:position w:val="0"/>
                <w:sz w:val="24"/>
                <w:szCs w:val="24"/>
                <w:highlight w:val="none"/>
                <w:lang w:val="en-US" w:eastAsia="zh-CN"/>
              </w:rPr>
            </w:pPr>
            <w:r>
              <w:rPr>
                <w:rFonts w:hint="default" w:ascii="Times New Roman" w:hAnsi="Times New Roman" w:cs="Times New Roman"/>
                <w:caps w:val="0"/>
                <w:color w:val="FF0000"/>
                <w:spacing w:val="0"/>
                <w:position w:val="0"/>
                <w:sz w:val="24"/>
                <w:szCs w:val="24"/>
                <w:highlight w:val="none"/>
                <w:lang w:val="en-US" w:eastAsia="zh-CN"/>
              </w:rPr>
              <w:t>SW05尾矿</w:t>
            </w:r>
          </w:p>
        </w:tc>
        <w:tc>
          <w:tcPr>
            <w:tcW w:w="1536" w:type="dxa"/>
            <w:tcBorders>
              <w:top w:val="single" w:color="auto" w:sz="4" w:space="0"/>
              <w:left w:val="single" w:color="auto" w:sz="4" w:space="0"/>
              <w:right w:val="single" w:color="auto" w:sz="4" w:space="0"/>
            </w:tcBorders>
            <w:noWrap w:val="0"/>
            <w:vAlign w:val="center"/>
          </w:tcPr>
          <w:p w14:paraId="598FAE2D">
            <w:pPr>
              <w:pStyle w:val="4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aps w:val="0"/>
                <w:color w:val="FF0000"/>
                <w:spacing w:val="0"/>
                <w:position w:val="0"/>
                <w:sz w:val="24"/>
                <w:szCs w:val="24"/>
                <w:highlight w:val="none"/>
              </w:rPr>
            </w:pPr>
            <w:r>
              <w:rPr>
                <w:rFonts w:hint="default" w:ascii="Times New Roman" w:hAnsi="Times New Roman" w:eastAsia="宋体" w:cs="Times New Roman"/>
                <w:b w:val="0"/>
                <w:bCs w:val="0"/>
                <w:color w:val="FF0000"/>
                <w:sz w:val="24"/>
                <w:szCs w:val="24"/>
              </w:rPr>
              <w:t>900-099-S05</w:t>
            </w:r>
          </w:p>
        </w:tc>
        <w:tc>
          <w:tcPr>
            <w:tcW w:w="1617" w:type="dxa"/>
            <w:tcBorders>
              <w:top w:val="single" w:color="auto" w:sz="4" w:space="0"/>
              <w:left w:val="single" w:color="auto" w:sz="4" w:space="0"/>
              <w:right w:val="single" w:color="auto" w:sz="4" w:space="0"/>
            </w:tcBorders>
            <w:noWrap w:val="0"/>
            <w:vAlign w:val="center"/>
          </w:tcPr>
          <w:p w14:paraId="5E697CC7">
            <w:pPr>
              <w:pStyle w:val="4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aps w:val="0"/>
                <w:color w:val="FF0000"/>
                <w:spacing w:val="0"/>
                <w:position w:val="0"/>
                <w:sz w:val="24"/>
                <w:szCs w:val="24"/>
                <w:highlight w:val="none"/>
                <w:lang w:eastAsia="zh-CN"/>
              </w:rPr>
            </w:pPr>
            <w:r>
              <w:rPr>
                <w:rFonts w:hint="default" w:ascii="Times New Roman" w:hAnsi="Times New Roman" w:cs="Times New Roman"/>
                <w:color w:val="FF0000"/>
                <w:sz w:val="24"/>
                <w:szCs w:val="24"/>
                <w:highlight w:val="none"/>
                <w:lang w:val="en-US" w:eastAsia="zh-CN"/>
              </w:rPr>
              <w:t>46万t</w:t>
            </w:r>
          </w:p>
        </w:tc>
        <w:tc>
          <w:tcPr>
            <w:tcW w:w="1797" w:type="dxa"/>
            <w:tcBorders>
              <w:top w:val="single" w:color="auto" w:sz="4" w:space="0"/>
              <w:left w:val="single" w:color="auto" w:sz="4" w:space="0"/>
              <w:bottom w:val="single" w:color="auto" w:sz="4" w:space="0"/>
              <w:right w:val="single" w:color="auto" w:sz="4" w:space="0"/>
            </w:tcBorders>
            <w:noWrap w:val="0"/>
            <w:vAlign w:val="center"/>
          </w:tcPr>
          <w:p w14:paraId="6AA2411E">
            <w:pPr>
              <w:pStyle w:val="4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aps w:val="0"/>
                <w:color w:val="FF0000"/>
                <w:spacing w:val="0"/>
                <w:position w:val="0"/>
                <w:sz w:val="24"/>
                <w:szCs w:val="24"/>
                <w:highlight w:val="none"/>
                <w:lang w:val="en-US" w:eastAsia="zh-CN"/>
              </w:rPr>
            </w:pPr>
            <w:r>
              <w:rPr>
                <w:rFonts w:hint="default" w:ascii="Times New Roman" w:hAnsi="Times New Roman" w:cs="Times New Roman"/>
                <w:caps w:val="0"/>
                <w:color w:val="FF0000"/>
                <w:spacing w:val="0"/>
                <w:position w:val="0"/>
                <w:sz w:val="24"/>
                <w:szCs w:val="24"/>
                <w:highlight w:val="none"/>
                <w:lang w:val="en-US" w:eastAsia="zh-CN"/>
              </w:rPr>
              <w:t>回填采坑</w:t>
            </w:r>
          </w:p>
        </w:tc>
      </w:tr>
      <w:tr w14:paraId="06A0A7A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trHeight w:val="658" w:hRule="exact"/>
        </w:trPr>
        <w:tc>
          <w:tcPr>
            <w:tcW w:w="619" w:type="dxa"/>
            <w:tcBorders>
              <w:top w:val="single" w:color="auto" w:sz="4" w:space="0"/>
              <w:left w:val="single" w:color="auto" w:sz="4" w:space="0"/>
              <w:bottom w:val="single" w:color="auto" w:sz="4" w:space="0"/>
              <w:right w:val="single" w:color="auto" w:sz="4" w:space="0"/>
            </w:tcBorders>
            <w:noWrap w:val="0"/>
            <w:vAlign w:val="center"/>
          </w:tcPr>
          <w:p w14:paraId="5B76DDD3">
            <w:pPr>
              <w:pStyle w:val="4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aps w:val="0"/>
                <w:color w:val="FF0000"/>
                <w:spacing w:val="0"/>
                <w:position w:val="0"/>
                <w:sz w:val="24"/>
                <w:szCs w:val="24"/>
                <w:highlight w:val="none"/>
                <w:lang w:val="en-US" w:eastAsia="zh-CN"/>
              </w:rPr>
            </w:pPr>
            <w:r>
              <w:rPr>
                <w:rFonts w:hint="default" w:ascii="Times New Roman" w:hAnsi="Times New Roman" w:cs="Times New Roman"/>
                <w:caps w:val="0"/>
                <w:color w:val="FF0000"/>
                <w:spacing w:val="0"/>
                <w:position w:val="0"/>
                <w:sz w:val="24"/>
                <w:szCs w:val="24"/>
                <w:highlight w:val="none"/>
                <w:lang w:val="en-US" w:eastAsia="zh-CN"/>
              </w:rPr>
              <w:t>3</w:t>
            </w:r>
          </w:p>
        </w:tc>
        <w:tc>
          <w:tcPr>
            <w:tcW w:w="1443" w:type="dxa"/>
            <w:tcBorders>
              <w:top w:val="single" w:color="auto" w:sz="4" w:space="0"/>
              <w:left w:val="single" w:color="auto" w:sz="4" w:space="0"/>
              <w:right w:val="single" w:color="auto" w:sz="4" w:space="0"/>
            </w:tcBorders>
            <w:noWrap w:val="0"/>
            <w:vAlign w:val="center"/>
          </w:tcPr>
          <w:p w14:paraId="58EF54AD">
            <w:pPr>
              <w:pStyle w:val="42"/>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aps w:val="0"/>
                <w:color w:val="FF0000"/>
                <w:spacing w:val="0"/>
                <w:position w:val="0"/>
                <w:sz w:val="24"/>
                <w:szCs w:val="24"/>
                <w:highlight w:val="none"/>
                <w:lang w:val="en-US" w:eastAsia="zh-CN"/>
              </w:rPr>
            </w:pPr>
            <w:r>
              <w:rPr>
                <w:rFonts w:hint="default" w:ascii="Times New Roman" w:hAnsi="Times New Roman" w:cs="Times New Roman"/>
                <w:caps w:val="0"/>
                <w:color w:val="FF0000"/>
                <w:spacing w:val="0"/>
                <w:position w:val="0"/>
                <w:sz w:val="24"/>
                <w:szCs w:val="24"/>
                <w:highlight w:val="none"/>
                <w:lang w:val="en-US" w:eastAsia="zh-CN"/>
              </w:rPr>
              <w:t>沉淀池沉渣</w:t>
            </w:r>
          </w:p>
        </w:tc>
        <w:tc>
          <w:tcPr>
            <w:tcW w:w="1264" w:type="dxa"/>
            <w:tcBorders>
              <w:top w:val="single" w:color="auto" w:sz="4" w:space="0"/>
              <w:left w:val="single" w:color="auto" w:sz="4" w:space="0"/>
              <w:right w:val="single" w:color="auto" w:sz="4" w:space="0"/>
            </w:tcBorders>
            <w:noWrap w:val="0"/>
            <w:vAlign w:val="center"/>
          </w:tcPr>
          <w:p w14:paraId="5044DAE9">
            <w:pPr>
              <w:pStyle w:val="4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aps w:val="0"/>
                <w:color w:val="FF0000"/>
                <w:spacing w:val="0"/>
                <w:position w:val="0"/>
                <w:sz w:val="24"/>
                <w:szCs w:val="24"/>
                <w:highlight w:val="none"/>
              </w:rPr>
            </w:pPr>
            <w:r>
              <w:rPr>
                <w:rFonts w:hint="default" w:ascii="Times New Roman" w:hAnsi="Times New Roman" w:cs="Times New Roman"/>
                <w:caps w:val="0"/>
                <w:color w:val="FF0000"/>
                <w:spacing w:val="0"/>
                <w:position w:val="0"/>
                <w:sz w:val="24"/>
                <w:szCs w:val="24"/>
                <w:highlight w:val="none"/>
              </w:rPr>
              <w:t>一般工业</w:t>
            </w:r>
          </w:p>
          <w:p w14:paraId="1BE0DD81">
            <w:pPr>
              <w:pStyle w:val="4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aps w:val="0"/>
                <w:color w:val="FF0000"/>
                <w:spacing w:val="0"/>
                <w:position w:val="0"/>
                <w:sz w:val="24"/>
                <w:szCs w:val="24"/>
                <w:highlight w:val="none"/>
              </w:rPr>
            </w:pPr>
            <w:r>
              <w:rPr>
                <w:rFonts w:hint="default" w:ascii="Times New Roman" w:hAnsi="Times New Roman" w:cs="Times New Roman"/>
                <w:caps w:val="0"/>
                <w:color w:val="FF0000"/>
                <w:spacing w:val="0"/>
                <w:position w:val="0"/>
                <w:sz w:val="24"/>
                <w:szCs w:val="24"/>
                <w:highlight w:val="none"/>
              </w:rPr>
              <w:t>固体废物</w:t>
            </w:r>
          </w:p>
        </w:tc>
        <w:tc>
          <w:tcPr>
            <w:tcW w:w="791" w:type="dxa"/>
            <w:tcBorders>
              <w:top w:val="single" w:color="auto" w:sz="4" w:space="0"/>
              <w:left w:val="single" w:color="auto" w:sz="4" w:space="0"/>
              <w:right w:val="single" w:color="auto" w:sz="4" w:space="0"/>
            </w:tcBorders>
            <w:noWrap w:val="0"/>
            <w:vAlign w:val="center"/>
          </w:tcPr>
          <w:p w14:paraId="18AAA621">
            <w:pPr>
              <w:pStyle w:val="4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aps w:val="0"/>
                <w:color w:val="FF0000"/>
                <w:spacing w:val="0"/>
                <w:position w:val="0"/>
                <w:sz w:val="24"/>
                <w:szCs w:val="24"/>
                <w:highlight w:val="none"/>
              </w:rPr>
            </w:pPr>
            <w:r>
              <w:rPr>
                <w:rFonts w:hint="default" w:ascii="Times New Roman" w:hAnsi="Times New Roman" w:cs="Times New Roman"/>
                <w:caps w:val="0"/>
                <w:color w:val="FF0000"/>
                <w:spacing w:val="0"/>
                <w:position w:val="0"/>
                <w:sz w:val="24"/>
                <w:szCs w:val="24"/>
                <w:highlight w:val="none"/>
                <w:lang w:val="en-US" w:eastAsia="zh-CN"/>
              </w:rPr>
              <w:t>SW05尾矿</w:t>
            </w:r>
          </w:p>
        </w:tc>
        <w:tc>
          <w:tcPr>
            <w:tcW w:w="1536" w:type="dxa"/>
            <w:tcBorders>
              <w:top w:val="single" w:color="auto" w:sz="4" w:space="0"/>
              <w:left w:val="single" w:color="auto" w:sz="4" w:space="0"/>
              <w:right w:val="single" w:color="auto" w:sz="4" w:space="0"/>
            </w:tcBorders>
            <w:noWrap w:val="0"/>
            <w:vAlign w:val="center"/>
          </w:tcPr>
          <w:p w14:paraId="57FBA9FC">
            <w:pPr>
              <w:pStyle w:val="4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aps w:val="0"/>
                <w:color w:val="FF0000"/>
                <w:spacing w:val="0"/>
                <w:position w:val="0"/>
                <w:sz w:val="24"/>
                <w:szCs w:val="24"/>
                <w:highlight w:val="none"/>
              </w:rPr>
            </w:pPr>
            <w:r>
              <w:rPr>
                <w:rFonts w:hint="default" w:ascii="Times New Roman" w:hAnsi="Times New Roman" w:eastAsia="宋体" w:cs="Times New Roman"/>
                <w:b w:val="0"/>
                <w:bCs w:val="0"/>
                <w:color w:val="FF0000"/>
                <w:sz w:val="24"/>
                <w:szCs w:val="24"/>
              </w:rPr>
              <w:t>900-099-S05</w:t>
            </w:r>
          </w:p>
        </w:tc>
        <w:tc>
          <w:tcPr>
            <w:tcW w:w="1617" w:type="dxa"/>
            <w:tcBorders>
              <w:top w:val="single" w:color="auto" w:sz="4" w:space="0"/>
              <w:left w:val="single" w:color="auto" w:sz="4" w:space="0"/>
              <w:right w:val="single" w:color="auto" w:sz="4" w:space="0"/>
            </w:tcBorders>
            <w:noWrap w:val="0"/>
            <w:vAlign w:val="center"/>
          </w:tcPr>
          <w:p w14:paraId="33B819F8">
            <w:pPr>
              <w:pStyle w:val="4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aps w:val="0"/>
                <w:color w:val="FF0000"/>
                <w:spacing w:val="0"/>
                <w:position w:val="0"/>
                <w:sz w:val="24"/>
                <w:szCs w:val="24"/>
                <w:highlight w:val="none"/>
                <w:lang w:val="en-US" w:eastAsia="zh-CN"/>
              </w:rPr>
            </w:pPr>
            <w:r>
              <w:rPr>
                <w:rFonts w:hint="default" w:ascii="Times New Roman" w:hAnsi="Times New Roman" w:cs="Times New Roman"/>
                <w:caps w:val="0"/>
                <w:color w:val="FF0000"/>
                <w:spacing w:val="0"/>
                <w:position w:val="0"/>
                <w:sz w:val="24"/>
                <w:szCs w:val="24"/>
                <w:highlight w:val="none"/>
                <w:lang w:val="en-US" w:eastAsia="zh-CN"/>
              </w:rPr>
              <w:t>4</w:t>
            </w:r>
          </w:p>
        </w:tc>
        <w:tc>
          <w:tcPr>
            <w:tcW w:w="1797" w:type="dxa"/>
            <w:tcBorders>
              <w:top w:val="single" w:color="auto" w:sz="4" w:space="0"/>
              <w:left w:val="single" w:color="auto" w:sz="4" w:space="0"/>
              <w:bottom w:val="single" w:color="auto" w:sz="4" w:space="0"/>
              <w:right w:val="single" w:color="auto" w:sz="4" w:space="0"/>
            </w:tcBorders>
            <w:noWrap w:val="0"/>
            <w:vAlign w:val="center"/>
          </w:tcPr>
          <w:p w14:paraId="192D6F69">
            <w:pPr>
              <w:pStyle w:val="4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aps w:val="0"/>
                <w:color w:val="FF0000"/>
                <w:spacing w:val="0"/>
                <w:position w:val="0"/>
                <w:sz w:val="24"/>
                <w:szCs w:val="24"/>
                <w:highlight w:val="none"/>
              </w:rPr>
            </w:pPr>
            <w:r>
              <w:rPr>
                <w:rFonts w:hint="default" w:ascii="Times New Roman" w:hAnsi="Times New Roman" w:cs="Times New Roman"/>
                <w:caps w:val="0"/>
                <w:color w:val="FF0000"/>
                <w:spacing w:val="0"/>
                <w:position w:val="0"/>
                <w:sz w:val="24"/>
                <w:szCs w:val="24"/>
                <w:highlight w:val="none"/>
                <w:lang w:val="en-US" w:eastAsia="zh-CN"/>
              </w:rPr>
              <w:t>回填采坑</w:t>
            </w:r>
          </w:p>
        </w:tc>
      </w:tr>
      <w:tr w14:paraId="1F6DBA4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trHeight w:val="321" w:hRule="exact"/>
        </w:trPr>
        <w:tc>
          <w:tcPr>
            <w:tcW w:w="619" w:type="dxa"/>
            <w:tcBorders>
              <w:top w:val="single" w:color="auto" w:sz="4" w:space="0"/>
              <w:left w:val="single" w:color="auto" w:sz="4" w:space="0"/>
              <w:bottom w:val="single" w:color="auto" w:sz="4" w:space="0"/>
              <w:right w:val="single" w:color="auto" w:sz="4" w:space="0"/>
            </w:tcBorders>
            <w:noWrap w:val="0"/>
            <w:vAlign w:val="center"/>
          </w:tcPr>
          <w:p w14:paraId="69B8DAA2">
            <w:pPr>
              <w:pStyle w:val="4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aps w:val="0"/>
                <w:color w:val="FF0000"/>
                <w:spacing w:val="0"/>
                <w:position w:val="0"/>
                <w:sz w:val="24"/>
                <w:szCs w:val="24"/>
                <w:highlight w:val="none"/>
                <w:lang w:val="en-US" w:eastAsia="zh-CN"/>
              </w:rPr>
            </w:pPr>
            <w:r>
              <w:rPr>
                <w:rFonts w:hint="default" w:ascii="Times New Roman" w:hAnsi="Times New Roman" w:cs="Times New Roman"/>
                <w:caps w:val="0"/>
                <w:color w:val="FF0000"/>
                <w:spacing w:val="0"/>
                <w:position w:val="0"/>
                <w:sz w:val="24"/>
                <w:szCs w:val="24"/>
                <w:highlight w:val="none"/>
                <w:lang w:val="en-US" w:eastAsia="zh-CN"/>
              </w:rPr>
              <w:t>4</w:t>
            </w:r>
          </w:p>
        </w:tc>
        <w:tc>
          <w:tcPr>
            <w:tcW w:w="1443" w:type="dxa"/>
            <w:tcBorders>
              <w:top w:val="single" w:color="auto" w:sz="4" w:space="0"/>
              <w:left w:val="single" w:color="auto" w:sz="4" w:space="0"/>
              <w:bottom w:val="single" w:color="auto" w:sz="4" w:space="0"/>
              <w:right w:val="single" w:color="auto" w:sz="4" w:space="0"/>
            </w:tcBorders>
            <w:noWrap w:val="0"/>
            <w:vAlign w:val="center"/>
          </w:tcPr>
          <w:p w14:paraId="02FAC35C">
            <w:pPr>
              <w:pStyle w:val="4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aps w:val="0"/>
                <w:color w:val="FF0000"/>
                <w:spacing w:val="0"/>
                <w:position w:val="0"/>
                <w:sz w:val="24"/>
                <w:szCs w:val="24"/>
                <w:highlight w:val="none"/>
                <w:lang w:val="en-US" w:eastAsia="zh-CN"/>
              </w:rPr>
            </w:pPr>
            <w:r>
              <w:rPr>
                <w:rFonts w:hint="default" w:ascii="Times New Roman" w:hAnsi="Times New Roman" w:cs="Times New Roman"/>
                <w:caps w:val="0"/>
                <w:color w:val="FF0000"/>
                <w:spacing w:val="0"/>
                <w:position w:val="0"/>
                <w:sz w:val="24"/>
                <w:szCs w:val="24"/>
                <w:highlight w:val="none"/>
              </w:rPr>
              <w:t>废</w:t>
            </w:r>
            <w:r>
              <w:rPr>
                <w:rFonts w:hint="default" w:ascii="Times New Roman" w:hAnsi="Times New Roman" w:cs="Times New Roman"/>
                <w:caps w:val="0"/>
                <w:color w:val="FF0000"/>
                <w:spacing w:val="0"/>
                <w:position w:val="0"/>
                <w:sz w:val="24"/>
                <w:szCs w:val="24"/>
                <w:highlight w:val="none"/>
                <w:lang w:val="en-US" w:eastAsia="zh-CN"/>
              </w:rPr>
              <w:t>矿物油</w:t>
            </w:r>
          </w:p>
        </w:tc>
        <w:tc>
          <w:tcPr>
            <w:tcW w:w="1264" w:type="dxa"/>
            <w:tcBorders>
              <w:top w:val="single" w:color="auto" w:sz="4" w:space="0"/>
              <w:left w:val="single" w:color="auto" w:sz="4" w:space="0"/>
              <w:bottom w:val="single" w:color="auto" w:sz="4" w:space="0"/>
              <w:right w:val="single" w:color="auto" w:sz="4" w:space="0"/>
            </w:tcBorders>
            <w:noWrap w:val="0"/>
            <w:vAlign w:val="center"/>
          </w:tcPr>
          <w:p w14:paraId="3E73BF7D">
            <w:pPr>
              <w:pStyle w:val="4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aps w:val="0"/>
                <w:color w:val="FF0000"/>
                <w:spacing w:val="0"/>
                <w:position w:val="0"/>
                <w:sz w:val="24"/>
                <w:szCs w:val="24"/>
                <w:highlight w:val="none"/>
                <w:lang w:val="en-US" w:eastAsia="zh-CN"/>
              </w:rPr>
            </w:pPr>
            <w:r>
              <w:rPr>
                <w:rFonts w:hint="default" w:ascii="Times New Roman" w:hAnsi="Times New Roman" w:cs="Times New Roman"/>
                <w:caps w:val="0"/>
                <w:color w:val="FF0000"/>
                <w:spacing w:val="0"/>
                <w:position w:val="0"/>
                <w:sz w:val="24"/>
                <w:szCs w:val="24"/>
                <w:highlight w:val="none"/>
              </w:rPr>
              <w:t>危险废物</w:t>
            </w:r>
          </w:p>
        </w:tc>
        <w:tc>
          <w:tcPr>
            <w:tcW w:w="791" w:type="dxa"/>
            <w:tcBorders>
              <w:top w:val="single" w:color="auto" w:sz="4" w:space="0"/>
              <w:left w:val="single" w:color="auto" w:sz="4" w:space="0"/>
              <w:bottom w:val="single" w:color="auto" w:sz="4" w:space="0"/>
              <w:right w:val="single" w:color="auto" w:sz="4" w:space="0"/>
            </w:tcBorders>
            <w:noWrap w:val="0"/>
            <w:vAlign w:val="center"/>
          </w:tcPr>
          <w:p w14:paraId="414B0475">
            <w:pPr>
              <w:pStyle w:val="4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aps w:val="0"/>
                <w:color w:val="FF0000"/>
                <w:spacing w:val="0"/>
                <w:position w:val="0"/>
                <w:sz w:val="24"/>
                <w:szCs w:val="24"/>
                <w:highlight w:val="none"/>
                <w:lang w:val="en-US" w:eastAsia="zh-CN"/>
              </w:rPr>
            </w:pPr>
            <w:r>
              <w:rPr>
                <w:rFonts w:hint="default" w:ascii="Times New Roman" w:hAnsi="Times New Roman" w:cs="Times New Roman"/>
                <w:caps w:val="0"/>
                <w:color w:val="FF0000"/>
                <w:spacing w:val="0"/>
                <w:position w:val="0"/>
                <w:sz w:val="24"/>
                <w:szCs w:val="24"/>
                <w:highlight w:val="none"/>
              </w:rPr>
              <w:t>HW08</w:t>
            </w:r>
          </w:p>
        </w:tc>
        <w:tc>
          <w:tcPr>
            <w:tcW w:w="1536" w:type="dxa"/>
            <w:tcBorders>
              <w:top w:val="single" w:color="auto" w:sz="4" w:space="0"/>
              <w:left w:val="single" w:color="auto" w:sz="4" w:space="0"/>
              <w:bottom w:val="single" w:color="auto" w:sz="4" w:space="0"/>
              <w:right w:val="single" w:color="auto" w:sz="4" w:space="0"/>
            </w:tcBorders>
            <w:noWrap w:val="0"/>
            <w:vAlign w:val="center"/>
          </w:tcPr>
          <w:p w14:paraId="18D9F327">
            <w:pPr>
              <w:pStyle w:val="4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aps w:val="0"/>
                <w:color w:val="FF0000"/>
                <w:spacing w:val="0"/>
                <w:position w:val="0"/>
                <w:sz w:val="24"/>
                <w:szCs w:val="24"/>
                <w:highlight w:val="none"/>
                <w:lang w:val="en-US" w:eastAsia="zh-CN"/>
              </w:rPr>
            </w:pPr>
            <w:r>
              <w:rPr>
                <w:rFonts w:hint="default" w:ascii="Times New Roman" w:hAnsi="Times New Roman" w:cs="Times New Roman"/>
                <w:caps w:val="0"/>
                <w:color w:val="FF0000"/>
                <w:spacing w:val="0"/>
                <w:position w:val="0"/>
                <w:sz w:val="24"/>
                <w:szCs w:val="24"/>
                <w:highlight w:val="none"/>
              </w:rPr>
              <w:t>900-249-08</w:t>
            </w:r>
          </w:p>
        </w:tc>
        <w:tc>
          <w:tcPr>
            <w:tcW w:w="1617" w:type="dxa"/>
            <w:tcBorders>
              <w:top w:val="single" w:color="auto" w:sz="4" w:space="0"/>
              <w:left w:val="single" w:color="auto" w:sz="4" w:space="0"/>
              <w:bottom w:val="single" w:color="auto" w:sz="4" w:space="0"/>
              <w:right w:val="single" w:color="auto" w:sz="4" w:space="0"/>
            </w:tcBorders>
            <w:noWrap w:val="0"/>
            <w:vAlign w:val="center"/>
          </w:tcPr>
          <w:p w14:paraId="3722AC20">
            <w:pPr>
              <w:pStyle w:val="4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aps w:val="0"/>
                <w:color w:val="FF0000"/>
                <w:spacing w:val="0"/>
                <w:position w:val="0"/>
                <w:sz w:val="24"/>
                <w:szCs w:val="24"/>
                <w:highlight w:val="none"/>
                <w:lang w:val="en-US" w:eastAsia="zh-CN"/>
              </w:rPr>
            </w:pPr>
            <w:r>
              <w:rPr>
                <w:rFonts w:hint="default" w:ascii="Times New Roman" w:hAnsi="Times New Roman" w:cs="Times New Roman"/>
                <w:caps w:val="0"/>
                <w:color w:val="FF0000"/>
                <w:spacing w:val="0"/>
                <w:position w:val="0"/>
                <w:sz w:val="24"/>
                <w:szCs w:val="24"/>
                <w:highlight w:val="none"/>
                <w:lang w:val="en-US" w:eastAsia="zh-CN"/>
              </w:rPr>
              <w:t>0.5</w:t>
            </w:r>
          </w:p>
        </w:tc>
        <w:tc>
          <w:tcPr>
            <w:tcW w:w="1797" w:type="dxa"/>
            <w:tcBorders>
              <w:top w:val="single" w:color="auto" w:sz="4" w:space="0"/>
              <w:left w:val="single" w:color="auto" w:sz="4" w:space="0"/>
              <w:right w:val="single" w:color="auto" w:sz="4" w:space="0"/>
            </w:tcBorders>
            <w:noWrap w:val="0"/>
            <w:vAlign w:val="center"/>
          </w:tcPr>
          <w:p w14:paraId="4C7D992D">
            <w:pPr>
              <w:pStyle w:val="4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aps w:val="0"/>
                <w:color w:val="FF0000"/>
                <w:spacing w:val="0"/>
                <w:position w:val="0"/>
                <w:sz w:val="24"/>
                <w:szCs w:val="24"/>
                <w:highlight w:val="none"/>
                <w:lang w:val="en-US" w:eastAsia="zh-CN"/>
              </w:rPr>
            </w:pPr>
            <w:r>
              <w:rPr>
                <w:rFonts w:hint="default" w:ascii="Times New Roman" w:hAnsi="Times New Roman" w:cs="Times New Roman"/>
                <w:caps w:val="0"/>
                <w:color w:val="FF0000"/>
                <w:spacing w:val="0"/>
                <w:position w:val="0"/>
                <w:sz w:val="24"/>
                <w:szCs w:val="24"/>
                <w:highlight w:val="none"/>
              </w:rPr>
              <w:t>交有资质单位处置</w:t>
            </w:r>
          </w:p>
        </w:tc>
      </w:tr>
      <w:tr w14:paraId="574900D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trHeight w:val="991" w:hRule="exact"/>
        </w:trPr>
        <w:tc>
          <w:tcPr>
            <w:tcW w:w="619" w:type="dxa"/>
            <w:tcBorders>
              <w:top w:val="single" w:color="auto" w:sz="4" w:space="0"/>
              <w:left w:val="single" w:color="auto" w:sz="4" w:space="0"/>
              <w:bottom w:val="single" w:color="auto" w:sz="4" w:space="0"/>
              <w:right w:val="single" w:color="auto" w:sz="4" w:space="0"/>
            </w:tcBorders>
            <w:noWrap w:val="0"/>
            <w:vAlign w:val="center"/>
          </w:tcPr>
          <w:p w14:paraId="1DF0A48C">
            <w:pPr>
              <w:pStyle w:val="4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aps w:val="0"/>
                <w:color w:val="FF0000"/>
                <w:spacing w:val="0"/>
                <w:position w:val="0"/>
                <w:sz w:val="24"/>
                <w:szCs w:val="24"/>
                <w:highlight w:val="none"/>
                <w:lang w:val="en-US" w:eastAsia="zh-CN"/>
              </w:rPr>
            </w:pPr>
            <w:r>
              <w:rPr>
                <w:rFonts w:hint="default" w:ascii="Times New Roman" w:hAnsi="Times New Roman" w:cs="Times New Roman"/>
                <w:caps w:val="0"/>
                <w:color w:val="FF0000"/>
                <w:spacing w:val="0"/>
                <w:position w:val="0"/>
                <w:sz w:val="24"/>
                <w:szCs w:val="24"/>
                <w:highlight w:val="none"/>
                <w:lang w:val="en-US" w:eastAsia="zh-CN"/>
              </w:rPr>
              <w:t>5</w:t>
            </w:r>
          </w:p>
        </w:tc>
        <w:tc>
          <w:tcPr>
            <w:tcW w:w="1443" w:type="dxa"/>
            <w:tcBorders>
              <w:top w:val="single" w:color="auto" w:sz="4" w:space="0"/>
              <w:left w:val="single" w:color="auto" w:sz="4" w:space="0"/>
              <w:bottom w:val="single" w:color="auto" w:sz="4" w:space="0"/>
              <w:right w:val="single" w:color="auto" w:sz="4" w:space="0"/>
            </w:tcBorders>
            <w:noWrap w:val="0"/>
            <w:vAlign w:val="center"/>
          </w:tcPr>
          <w:p w14:paraId="1BB11BE8">
            <w:pPr>
              <w:pStyle w:val="4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aps w:val="0"/>
                <w:color w:val="FF0000"/>
                <w:spacing w:val="0"/>
                <w:position w:val="0"/>
                <w:sz w:val="24"/>
                <w:szCs w:val="24"/>
                <w:highlight w:val="none"/>
                <w:lang w:val="en-US" w:eastAsia="zh-CN"/>
              </w:rPr>
            </w:pPr>
            <w:r>
              <w:rPr>
                <w:rFonts w:hint="default" w:ascii="Times New Roman" w:hAnsi="Times New Roman" w:cs="Times New Roman"/>
                <w:caps w:val="0"/>
                <w:color w:val="FF0000"/>
                <w:spacing w:val="0"/>
                <w:position w:val="0"/>
                <w:sz w:val="24"/>
                <w:szCs w:val="24"/>
                <w:highlight w:val="none"/>
              </w:rPr>
              <w:t>生活垃圾</w:t>
            </w:r>
          </w:p>
        </w:tc>
        <w:tc>
          <w:tcPr>
            <w:tcW w:w="1264" w:type="dxa"/>
            <w:tcBorders>
              <w:top w:val="single" w:color="auto" w:sz="4" w:space="0"/>
              <w:left w:val="single" w:color="auto" w:sz="4" w:space="0"/>
              <w:bottom w:val="single" w:color="auto" w:sz="4" w:space="0"/>
              <w:right w:val="single" w:color="auto" w:sz="4" w:space="0"/>
            </w:tcBorders>
            <w:noWrap w:val="0"/>
            <w:vAlign w:val="center"/>
          </w:tcPr>
          <w:p w14:paraId="7991B2D6">
            <w:pPr>
              <w:pStyle w:val="4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aps w:val="0"/>
                <w:color w:val="FF0000"/>
                <w:spacing w:val="0"/>
                <w:position w:val="0"/>
                <w:sz w:val="24"/>
                <w:szCs w:val="24"/>
                <w:highlight w:val="none"/>
                <w:lang w:val="en-US" w:eastAsia="zh-CN"/>
              </w:rPr>
            </w:pPr>
            <w:r>
              <w:rPr>
                <w:rFonts w:hint="default" w:ascii="Times New Roman" w:hAnsi="Times New Roman" w:cs="Times New Roman"/>
                <w:caps w:val="0"/>
                <w:color w:val="FF0000"/>
                <w:spacing w:val="0"/>
                <w:position w:val="0"/>
                <w:sz w:val="24"/>
                <w:szCs w:val="24"/>
                <w:highlight w:val="none"/>
              </w:rPr>
              <w:t>生活垃圾</w:t>
            </w:r>
          </w:p>
        </w:tc>
        <w:tc>
          <w:tcPr>
            <w:tcW w:w="791" w:type="dxa"/>
            <w:tcBorders>
              <w:top w:val="single" w:color="auto" w:sz="4" w:space="0"/>
              <w:left w:val="single" w:color="auto" w:sz="4" w:space="0"/>
              <w:bottom w:val="single" w:color="auto" w:sz="4" w:space="0"/>
              <w:right w:val="single" w:color="auto" w:sz="4" w:space="0"/>
            </w:tcBorders>
            <w:noWrap w:val="0"/>
            <w:vAlign w:val="center"/>
          </w:tcPr>
          <w:p w14:paraId="4213FDBE">
            <w:pPr>
              <w:pStyle w:val="4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aps w:val="0"/>
                <w:color w:val="FF0000"/>
                <w:spacing w:val="0"/>
                <w:position w:val="0"/>
                <w:sz w:val="24"/>
                <w:szCs w:val="24"/>
                <w:highlight w:val="none"/>
                <w:lang w:val="en-US" w:eastAsia="zh-CN"/>
              </w:rPr>
            </w:pPr>
            <w:r>
              <w:rPr>
                <w:rFonts w:hint="default" w:ascii="Times New Roman" w:hAnsi="Times New Roman" w:cs="Times New Roman"/>
                <w:caps w:val="0"/>
                <w:color w:val="FF0000"/>
                <w:spacing w:val="0"/>
                <w:position w:val="0"/>
                <w:sz w:val="24"/>
                <w:szCs w:val="24"/>
                <w:highlight w:val="none"/>
              </w:rPr>
              <w:t>/</w:t>
            </w:r>
          </w:p>
        </w:tc>
        <w:tc>
          <w:tcPr>
            <w:tcW w:w="1536" w:type="dxa"/>
            <w:tcBorders>
              <w:top w:val="single" w:color="auto" w:sz="4" w:space="0"/>
              <w:left w:val="single" w:color="auto" w:sz="4" w:space="0"/>
              <w:bottom w:val="single" w:color="auto" w:sz="4" w:space="0"/>
              <w:right w:val="single" w:color="auto" w:sz="4" w:space="0"/>
            </w:tcBorders>
            <w:noWrap w:val="0"/>
            <w:vAlign w:val="center"/>
          </w:tcPr>
          <w:p w14:paraId="1B82913A">
            <w:pPr>
              <w:pStyle w:val="4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aps w:val="0"/>
                <w:color w:val="FF0000"/>
                <w:spacing w:val="0"/>
                <w:position w:val="0"/>
                <w:sz w:val="24"/>
                <w:szCs w:val="24"/>
                <w:highlight w:val="none"/>
                <w:lang w:val="en-US" w:eastAsia="zh-CN"/>
              </w:rPr>
            </w:pPr>
            <w:r>
              <w:rPr>
                <w:rFonts w:hint="default" w:ascii="Times New Roman" w:hAnsi="Times New Roman" w:cs="Times New Roman"/>
                <w:caps w:val="0"/>
                <w:color w:val="FF0000"/>
                <w:spacing w:val="0"/>
                <w:position w:val="0"/>
                <w:sz w:val="24"/>
                <w:szCs w:val="24"/>
                <w:highlight w:val="none"/>
              </w:rPr>
              <w:t>/</w:t>
            </w:r>
          </w:p>
        </w:tc>
        <w:tc>
          <w:tcPr>
            <w:tcW w:w="1617" w:type="dxa"/>
            <w:tcBorders>
              <w:top w:val="single" w:color="auto" w:sz="4" w:space="0"/>
              <w:left w:val="single" w:color="auto" w:sz="4" w:space="0"/>
              <w:bottom w:val="single" w:color="auto" w:sz="4" w:space="0"/>
              <w:right w:val="single" w:color="auto" w:sz="4" w:space="0"/>
            </w:tcBorders>
            <w:noWrap w:val="0"/>
            <w:vAlign w:val="center"/>
          </w:tcPr>
          <w:p w14:paraId="36ADE55F">
            <w:pPr>
              <w:pStyle w:val="4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aps w:val="0"/>
                <w:color w:val="FF0000"/>
                <w:spacing w:val="0"/>
                <w:position w:val="0"/>
                <w:sz w:val="24"/>
                <w:szCs w:val="24"/>
                <w:highlight w:val="none"/>
                <w:lang w:val="en-US" w:eastAsia="zh-CN"/>
              </w:rPr>
            </w:pPr>
            <w:r>
              <w:rPr>
                <w:rFonts w:hint="default" w:ascii="Times New Roman" w:hAnsi="Times New Roman" w:cs="Times New Roman"/>
                <w:caps w:val="0"/>
                <w:color w:val="FF0000"/>
                <w:spacing w:val="0"/>
                <w:position w:val="0"/>
                <w:sz w:val="24"/>
                <w:szCs w:val="24"/>
                <w:highlight w:val="none"/>
                <w:lang w:val="en-US" w:eastAsia="zh-CN"/>
              </w:rPr>
              <w:t>9.6</w:t>
            </w:r>
          </w:p>
        </w:tc>
        <w:tc>
          <w:tcPr>
            <w:tcW w:w="1797" w:type="dxa"/>
            <w:tcBorders>
              <w:top w:val="single" w:color="auto" w:sz="4" w:space="0"/>
              <w:left w:val="single" w:color="auto" w:sz="4" w:space="0"/>
              <w:bottom w:val="single" w:color="auto" w:sz="4" w:space="0"/>
              <w:right w:val="single" w:color="auto" w:sz="4" w:space="0"/>
            </w:tcBorders>
            <w:noWrap w:val="0"/>
            <w:vAlign w:val="center"/>
          </w:tcPr>
          <w:p w14:paraId="09AB2D08">
            <w:pPr>
              <w:pStyle w:val="4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aps w:val="0"/>
                <w:color w:val="FF0000"/>
                <w:spacing w:val="0"/>
                <w:position w:val="0"/>
                <w:sz w:val="24"/>
                <w:szCs w:val="24"/>
                <w:highlight w:val="none"/>
                <w:lang w:val="en-US" w:eastAsia="zh-CN"/>
              </w:rPr>
            </w:pPr>
            <w:r>
              <w:rPr>
                <w:rFonts w:hint="default" w:ascii="Times New Roman" w:hAnsi="Times New Roman" w:cs="Times New Roman"/>
                <w:caps w:val="0"/>
                <w:color w:val="FF0000"/>
                <w:spacing w:val="0"/>
                <w:position w:val="0"/>
                <w:sz w:val="24"/>
                <w:szCs w:val="24"/>
                <w:highlight w:val="none"/>
                <w:lang w:val="en-US" w:eastAsia="zh-CN"/>
              </w:rPr>
              <w:t>由环卫部门定期清运至生活垃圾填埋场</w:t>
            </w:r>
          </w:p>
        </w:tc>
      </w:tr>
    </w:tbl>
    <w:p w14:paraId="6A293FB0">
      <w:pPr>
        <w:spacing w:beforeLines="0" w:afterLines="0" w:line="240" w:lineRule="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注：</w:t>
      </w:r>
      <w:r>
        <w:rPr>
          <w:rFonts w:hint="eastAsia" w:cs="Times New Roman"/>
          <w:b/>
          <w:bCs/>
          <w:color w:val="auto"/>
          <w:sz w:val="21"/>
          <w:szCs w:val="21"/>
          <w:highlight w:val="none"/>
          <w:lang w:val="en-US" w:eastAsia="zh-CN"/>
        </w:rPr>
        <w:t>废物代码依据</w:t>
      </w:r>
      <w:r>
        <w:rPr>
          <w:rFonts w:hint="eastAsia" w:ascii="宋体" w:hAnsi="宋体" w:eastAsia="宋体" w:cs="宋体"/>
          <w:b/>
          <w:bCs/>
          <w:color w:val="000000"/>
          <w:kern w:val="0"/>
          <w:sz w:val="21"/>
          <w:szCs w:val="21"/>
          <w:highlight w:val="none"/>
          <w:lang w:val="en-US" w:eastAsia="zh-CN" w:bidi="ar-SA"/>
        </w:rPr>
        <w:t>《固体废物分类与代码目录》（生态环境部公告2024年第4号）、《国家危险废物名录》（2025年版）</w:t>
      </w:r>
      <w:r>
        <w:rPr>
          <w:rFonts w:hint="eastAsia" w:ascii="宋体" w:hAnsi="宋体" w:cs="宋体"/>
          <w:b/>
          <w:bCs/>
          <w:color w:val="000000"/>
          <w:kern w:val="0"/>
          <w:sz w:val="21"/>
          <w:szCs w:val="21"/>
          <w:highlight w:val="none"/>
          <w:lang w:val="en-US" w:eastAsia="zh-CN" w:bidi="ar-SA"/>
        </w:rPr>
        <w:t>。</w:t>
      </w:r>
    </w:p>
    <w:p w14:paraId="276D34F3">
      <w:pPr>
        <w:spacing w:beforeLines="0" w:afterLines="0"/>
        <w:rPr>
          <w:rFonts w:hint="default" w:ascii="Times New Roman" w:hAnsi="Times New Roman" w:cs="Times New Roman"/>
          <w:color w:val="auto"/>
          <w:sz w:val="24"/>
          <w:szCs w:val="24"/>
          <w:highlight w:val="none"/>
        </w:rPr>
      </w:pPr>
      <w:bookmarkStart w:id="160" w:name="（5）生态环境"/>
      <w:bookmarkEnd w:id="160"/>
      <w:r>
        <w:rPr>
          <w:rFonts w:hint="default" w:ascii="Times New Roman" w:hAnsi="Times New Roman" w:cs="Times New Roman"/>
          <w:color w:val="auto"/>
          <w:sz w:val="24"/>
          <w:szCs w:val="24"/>
          <w:highlight w:val="none"/>
        </w:rPr>
        <w:t>（5）生态环境</w:t>
      </w:r>
    </w:p>
    <w:p w14:paraId="1F714314">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本项目为天然石英砂矿开采工程。开采过程中产生的废料、工程占地、车辆运输过程会对区域生态环境造成一定程度的影响，本项目对区域生态的影响主要体现在水土流失，关注重点为防风固沙。</w:t>
      </w:r>
    </w:p>
    <w:p w14:paraId="0DEEDA13">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矿山开采的主要影响是对地质环境的影响，即开采过程中可能发生滑坡、泥石流等地质灾害。矿山开采对生态环境的影响主要表现在矿山开挖山体过程造成植被的破坏，永久占地改变区域土地利用功能，降低土壤的抗侵蚀能力，引起水土流失，如果生态破坏程度过大或得不到及时修复，就有可能导致区域生态环境进一步衰退，故需</w:t>
      </w:r>
      <w:r>
        <w:rPr>
          <w:rFonts w:hint="default" w:ascii="Times New Roman" w:hAnsi="Times New Roman" w:cs="Times New Roman"/>
          <w:color w:val="auto"/>
          <w:spacing w:val="-57"/>
          <w:sz w:val="24"/>
          <w:szCs w:val="24"/>
          <w:highlight w:val="none"/>
        </w:rPr>
        <w:t xml:space="preserve"> </w:t>
      </w:r>
      <w:r>
        <w:rPr>
          <w:rFonts w:hint="default" w:ascii="Times New Roman" w:hAnsi="Times New Roman" w:cs="Times New Roman"/>
          <w:color w:val="auto"/>
          <w:sz w:val="24"/>
          <w:szCs w:val="24"/>
          <w:highlight w:val="none"/>
        </w:rPr>
        <w:t>要采取一定的恢复措施，以维护区域生态环境的完整性。矿山开采对周围环境的影响主要体现在以下几个方面：</w:t>
      </w:r>
    </w:p>
    <w:p w14:paraId="734C6B97">
      <w:pPr>
        <w:numPr>
          <w:ilvl w:val="0"/>
          <w:numId w:val="29"/>
        </w:numPr>
        <w:spacing w:beforeLines="0" w:afterLines="0"/>
        <w:ind w:firstLine="5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土地利用类型改变</w:t>
      </w:r>
    </w:p>
    <w:p w14:paraId="4ACAA1CB">
      <w:pPr>
        <w:numPr>
          <w:ilvl w:val="0"/>
          <w:numId w:val="0"/>
        </w:numPr>
        <w:spacing w:beforeLines="0" w:afterLines="0"/>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露天采场、废料堆场、办公生活区、道路等占地，导致原有土地利用类型发生改变，由原有草地变为工矿用地。</w:t>
      </w:r>
    </w:p>
    <w:p w14:paraId="6E7143D3">
      <w:pPr>
        <w:numPr>
          <w:ilvl w:val="0"/>
          <w:numId w:val="29"/>
        </w:numPr>
        <w:spacing w:beforeLines="0" w:afterLines="0"/>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植被破坏</w:t>
      </w:r>
    </w:p>
    <w:p w14:paraId="5D8C7B51">
      <w:pPr>
        <w:numPr>
          <w:ilvl w:val="0"/>
          <w:numId w:val="0"/>
        </w:numPr>
        <w:spacing w:beforeLines="0" w:afterLines="0"/>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本项目采矿区域植被稀疏，采矿过程将破坏矿体表层植被，此外矿区道路、办公生活区、</w:t>
      </w:r>
      <w:r>
        <w:rPr>
          <w:rFonts w:hint="default" w:ascii="Times New Roman" w:hAnsi="Times New Roman" w:cs="Times New Roman"/>
          <w:color w:val="auto"/>
          <w:sz w:val="24"/>
          <w:szCs w:val="24"/>
          <w:highlight w:val="none"/>
          <w:lang w:val="en-US" w:eastAsia="zh-CN"/>
        </w:rPr>
        <w:t>工业广场</w:t>
      </w:r>
      <w:r>
        <w:rPr>
          <w:rFonts w:hint="default" w:ascii="Times New Roman" w:hAnsi="Times New Roman" w:cs="Times New Roman"/>
          <w:color w:val="auto"/>
          <w:sz w:val="24"/>
          <w:szCs w:val="24"/>
          <w:highlight w:val="none"/>
        </w:rPr>
        <w:t>、废料堆场的建设破坏了原有的牧草地。</w:t>
      </w:r>
    </w:p>
    <w:p w14:paraId="2F54007C">
      <w:pPr>
        <w:numPr>
          <w:ilvl w:val="0"/>
          <w:numId w:val="29"/>
        </w:numPr>
        <w:spacing w:beforeLines="0" w:afterLines="0"/>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景观影响</w:t>
      </w:r>
    </w:p>
    <w:p w14:paraId="21DE3C1D">
      <w:pPr>
        <w:numPr>
          <w:ilvl w:val="0"/>
          <w:numId w:val="0"/>
        </w:numPr>
        <w:spacing w:beforeLines="0" w:afterLines="0"/>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由于矿石开采，废石堆放，地表景观格局将不可避免产生变化。矿山运输道路建设造成矿区自然景观的分隔，使景观的破碎度增加，整体性被破坏，景观的连通性降 低。但区域景观生态水平与质量一般，并没有需要特殊保护的景观。</w:t>
      </w:r>
    </w:p>
    <w:p w14:paraId="46461D96">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4）水土流失</w:t>
      </w:r>
    </w:p>
    <w:p w14:paraId="6286088E">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①矿区废料堆场在雨水冲刷和风蚀作用下引发水土流失。</w:t>
      </w:r>
    </w:p>
    <w:p w14:paraId="0559DE37">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②露天开采扰动地表，降低土壤抗侵蚀能力，引发水土流失。</w:t>
      </w:r>
    </w:p>
    <w:p w14:paraId="534158B4">
      <w:pPr>
        <w:pStyle w:val="3"/>
        <w:bidi w:val="0"/>
        <w:rPr>
          <w:rFonts w:hint="default"/>
        </w:rPr>
      </w:pPr>
      <w:bookmarkStart w:id="161" w:name="3.7污染物排放情况汇总"/>
      <w:bookmarkEnd w:id="161"/>
      <w:bookmarkStart w:id="162" w:name="bookmark21"/>
      <w:bookmarkEnd w:id="162"/>
      <w:bookmarkStart w:id="163" w:name="_Toc25756"/>
      <w:bookmarkStart w:id="164" w:name="_Toc7132"/>
      <w:r>
        <w:rPr>
          <w:rFonts w:hint="default"/>
        </w:rPr>
        <w:t>污染物排放情况汇总</w:t>
      </w:r>
      <w:bookmarkEnd w:id="163"/>
      <w:bookmarkEnd w:id="164"/>
    </w:p>
    <w:p w14:paraId="22A79D2C">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本项目污染物产排污情况详见表 3.</w:t>
      </w:r>
      <w:r>
        <w:rPr>
          <w:rFonts w:hint="eastAsia" w:cs="Times New Roman"/>
          <w:color w:val="auto"/>
          <w:sz w:val="24"/>
          <w:szCs w:val="24"/>
          <w:highlight w:val="none"/>
          <w:lang w:val="en-US" w:eastAsia="zh-CN"/>
        </w:rPr>
        <w:t>9</w:t>
      </w:r>
      <w:r>
        <w:rPr>
          <w:rFonts w:hint="default" w:ascii="Times New Roman" w:hAnsi="Times New Roman" w:cs="Times New Roman"/>
          <w:color w:val="auto"/>
          <w:sz w:val="24"/>
          <w:szCs w:val="24"/>
          <w:highlight w:val="none"/>
        </w:rPr>
        <w:t>-1。</w:t>
      </w:r>
    </w:p>
    <w:p w14:paraId="1BCA7ECD">
      <w:pPr>
        <w:pStyle w:val="45"/>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表 3.</w:t>
      </w:r>
      <w:r>
        <w:rPr>
          <w:rFonts w:hint="eastAsia" w:ascii="Times New Roman" w:hAnsi="Times New Roman" w:cs="Times New Roman"/>
          <w:color w:val="auto"/>
          <w:sz w:val="24"/>
          <w:szCs w:val="24"/>
          <w:highlight w:val="none"/>
          <w:lang w:val="en-US" w:eastAsia="zh-CN"/>
        </w:rPr>
        <w:t>9</w:t>
      </w:r>
      <w:r>
        <w:rPr>
          <w:rFonts w:hint="default" w:ascii="Times New Roman" w:hAnsi="Times New Roman" w:cs="Times New Roman"/>
          <w:color w:val="auto"/>
          <w:sz w:val="24"/>
          <w:szCs w:val="24"/>
          <w:highlight w:val="none"/>
        </w:rPr>
        <w:t>-1</w:t>
      </w:r>
      <w:r>
        <w:rPr>
          <w:rFonts w:hint="default" w:ascii="Times New Roman" w:hAnsi="Times New Roman" w:cs="Times New Roman"/>
          <w:color w:val="auto"/>
          <w:sz w:val="24"/>
          <w:szCs w:val="24"/>
          <w:highlight w:val="none"/>
        </w:rPr>
        <w:tab/>
      </w:r>
      <w:r>
        <w:rPr>
          <w:rFonts w:hint="default" w:ascii="Times New Roman" w:hAnsi="Times New Roman" w:cs="Times New Roman"/>
          <w:color w:val="auto"/>
          <w:sz w:val="24"/>
          <w:szCs w:val="24"/>
          <w:highlight w:val="none"/>
        </w:rPr>
        <w:t>本项目污染物产排污一览表</w:t>
      </w:r>
    </w:p>
    <w:tbl>
      <w:tblPr>
        <w:tblStyle w:val="31"/>
        <w:tblW w:w="9168" w:type="dxa"/>
        <w:tblInd w:w="2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
        <w:gridCol w:w="786"/>
        <w:gridCol w:w="1"/>
        <w:gridCol w:w="1171"/>
        <w:gridCol w:w="1"/>
        <w:gridCol w:w="875"/>
        <w:gridCol w:w="1"/>
        <w:gridCol w:w="995"/>
        <w:gridCol w:w="1"/>
        <w:gridCol w:w="2003"/>
        <w:gridCol w:w="1"/>
        <w:gridCol w:w="1199"/>
        <w:gridCol w:w="1"/>
        <w:gridCol w:w="881"/>
        <w:gridCol w:w="1"/>
        <w:gridCol w:w="1249"/>
        <w:gridCol w:w="1"/>
      </w:tblGrid>
      <w:tr w14:paraId="0AE18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dxa"/>
          <w:trHeight w:val="283" w:hRule="atLeast"/>
        </w:trPr>
        <w:tc>
          <w:tcPr>
            <w:tcW w:w="787" w:type="dxa"/>
            <w:gridSpan w:val="2"/>
            <w:tcBorders>
              <w:tl2br w:val="nil"/>
              <w:tr2bl w:val="nil"/>
            </w:tcBorders>
            <w:noWrap w:val="0"/>
            <w:vAlign w:val="center"/>
          </w:tcPr>
          <w:p w14:paraId="39BDE73B">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污染因素</w:t>
            </w:r>
          </w:p>
        </w:tc>
        <w:tc>
          <w:tcPr>
            <w:tcW w:w="1172" w:type="dxa"/>
            <w:gridSpan w:val="2"/>
            <w:tcBorders>
              <w:tl2br w:val="nil"/>
              <w:tr2bl w:val="nil"/>
            </w:tcBorders>
            <w:noWrap w:val="0"/>
            <w:vAlign w:val="center"/>
          </w:tcPr>
          <w:p w14:paraId="6C5350B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工艺过程</w:t>
            </w:r>
          </w:p>
        </w:tc>
        <w:tc>
          <w:tcPr>
            <w:tcW w:w="876" w:type="dxa"/>
            <w:gridSpan w:val="2"/>
            <w:tcBorders>
              <w:tl2br w:val="nil"/>
              <w:tr2bl w:val="nil"/>
            </w:tcBorders>
            <w:noWrap w:val="0"/>
            <w:vAlign w:val="center"/>
          </w:tcPr>
          <w:p w14:paraId="74A5815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污染因子</w:t>
            </w:r>
          </w:p>
        </w:tc>
        <w:tc>
          <w:tcPr>
            <w:tcW w:w="996" w:type="dxa"/>
            <w:gridSpan w:val="2"/>
            <w:tcBorders>
              <w:tl2br w:val="nil"/>
              <w:tr2bl w:val="nil"/>
            </w:tcBorders>
            <w:noWrap w:val="0"/>
            <w:vAlign w:val="center"/>
          </w:tcPr>
          <w:p w14:paraId="328A90F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产生量</w:t>
            </w:r>
          </w:p>
          <w:p w14:paraId="708D486D">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t/a</w:t>
            </w:r>
          </w:p>
        </w:tc>
        <w:tc>
          <w:tcPr>
            <w:tcW w:w="2004" w:type="dxa"/>
            <w:gridSpan w:val="2"/>
            <w:tcBorders>
              <w:tl2br w:val="nil"/>
              <w:tr2bl w:val="nil"/>
            </w:tcBorders>
            <w:noWrap w:val="0"/>
            <w:vAlign w:val="center"/>
          </w:tcPr>
          <w:p w14:paraId="3B0B29E8">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措施</w:t>
            </w:r>
          </w:p>
        </w:tc>
        <w:tc>
          <w:tcPr>
            <w:tcW w:w="1200" w:type="dxa"/>
            <w:gridSpan w:val="2"/>
            <w:tcBorders>
              <w:tl2br w:val="nil"/>
              <w:tr2bl w:val="nil"/>
            </w:tcBorders>
            <w:noWrap w:val="0"/>
            <w:vAlign w:val="center"/>
          </w:tcPr>
          <w:p w14:paraId="2621179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排放量</w:t>
            </w:r>
          </w:p>
        </w:tc>
        <w:tc>
          <w:tcPr>
            <w:tcW w:w="882" w:type="dxa"/>
            <w:gridSpan w:val="2"/>
            <w:tcBorders>
              <w:tl2br w:val="nil"/>
              <w:tr2bl w:val="nil"/>
            </w:tcBorders>
            <w:noWrap w:val="0"/>
            <w:vAlign w:val="center"/>
          </w:tcPr>
          <w:p w14:paraId="6555302B">
            <w:pPr>
              <w:pStyle w:val="48"/>
              <w:spacing w:beforeLines="0" w:afterLines="0"/>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rPr>
              <w:t>排放浓</w:t>
            </w:r>
            <w:r>
              <w:rPr>
                <w:rFonts w:hint="eastAsia" w:ascii="Times New Roman" w:hAnsi="Times New Roman" w:cs="Times New Roman"/>
                <w:color w:val="auto"/>
                <w:sz w:val="24"/>
                <w:szCs w:val="24"/>
                <w:highlight w:val="none"/>
                <w:lang w:val="en-US" w:eastAsia="zh-CN"/>
              </w:rPr>
              <w:t>度</w:t>
            </w:r>
          </w:p>
        </w:tc>
        <w:tc>
          <w:tcPr>
            <w:tcW w:w="1250" w:type="dxa"/>
            <w:gridSpan w:val="2"/>
            <w:tcBorders>
              <w:tl2br w:val="nil"/>
              <w:tr2bl w:val="nil"/>
            </w:tcBorders>
            <w:noWrap w:val="0"/>
            <w:vAlign w:val="center"/>
          </w:tcPr>
          <w:p w14:paraId="7EF7E77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排放去向</w:t>
            </w:r>
          </w:p>
        </w:tc>
      </w:tr>
      <w:tr w14:paraId="48AAA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dxa"/>
          <w:trHeight w:val="283" w:hRule="atLeast"/>
        </w:trPr>
        <w:tc>
          <w:tcPr>
            <w:tcW w:w="787" w:type="dxa"/>
            <w:gridSpan w:val="2"/>
            <w:vMerge w:val="restart"/>
            <w:tcBorders>
              <w:tl2br w:val="nil"/>
              <w:tr2bl w:val="nil"/>
            </w:tcBorders>
            <w:noWrap w:val="0"/>
            <w:vAlign w:val="center"/>
          </w:tcPr>
          <w:p w14:paraId="3F1AE05C">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废气</w:t>
            </w:r>
          </w:p>
        </w:tc>
        <w:tc>
          <w:tcPr>
            <w:tcW w:w="1172" w:type="dxa"/>
            <w:gridSpan w:val="2"/>
            <w:tcBorders>
              <w:tl2br w:val="nil"/>
              <w:tr2bl w:val="nil"/>
            </w:tcBorders>
            <w:noWrap w:val="0"/>
            <w:vAlign w:val="center"/>
          </w:tcPr>
          <w:p w14:paraId="15078B06">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矿石开采</w:t>
            </w:r>
          </w:p>
        </w:tc>
        <w:tc>
          <w:tcPr>
            <w:tcW w:w="876" w:type="dxa"/>
            <w:gridSpan w:val="2"/>
            <w:tcBorders>
              <w:tl2br w:val="nil"/>
              <w:tr2bl w:val="nil"/>
            </w:tcBorders>
            <w:noWrap w:val="0"/>
            <w:vAlign w:val="center"/>
          </w:tcPr>
          <w:p w14:paraId="6A80CAAD">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粉尘</w:t>
            </w:r>
          </w:p>
        </w:tc>
        <w:tc>
          <w:tcPr>
            <w:tcW w:w="996" w:type="dxa"/>
            <w:gridSpan w:val="2"/>
            <w:tcBorders>
              <w:tl2br w:val="nil"/>
              <w:tr2bl w:val="nil"/>
            </w:tcBorders>
            <w:noWrap w:val="0"/>
            <w:vAlign w:val="center"/>
          </w:tcPr>
          <w:p w14:paraId="7A7AE196">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65.6</w:t>
            </w:r>
          </w:p>
        </w:tc>
        <w:tc>
          <w:tcPr>
            <w:tcW w:w="2004" w:type="dxa"/>
            <w:gridSpan w:val="2"/>
            <w:tcBorders>
              <w:tl2br w:val="nil"/>
              <w:tr2bl w:val="nil"/>
            </w:tcBorders>
            <w:noWrap w:val="0"/>
            <w:vAlign w:val="center"/>
          </w:tcPr>
          <w:p w14:paraId="7648FF11">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采用移动式雾炮机降尘、分区分片开采等</w:t>
            </w:r>
          </w:p>
        </w:tc>
        <w:tc>
          <w:tcPr>
            <w:tcW w:w="1200" w:type="dxa"/>
            <w:gridSpan w:val="2"/>
            <w:tcBorders>
              <w:tl2br w:val="nil"/>
              <w:tr2bl w:val="nil"/>
            </w:tcBorders>
            <w:noWrap w:val="0"/>
            <w:vAlign w:val="center"/>
          </w:tcPr>
          <w:p w14:paraId="32656E41">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9.84</w:t>
            </w:r>
            <w:r>
              <w:rPr>
                <w:rFonts w:hint="default" w:ascii="Times New Roman" w:hAnsi="Times New Roman" w:cs="Times New Roman"/>
                <w:color w:val="auto"/>
                <w:sz w:val="24"/>
                <w:szCs w:val="24"/>
                <w:highlight w:val="none"/>
              </w:rPr>
              <w:t>t/a</w:t>
            </w:r>
          </w:p>
        </w:tc>
        <w:tc>
          <w:tcPr>
            <w:tcW w:w="882" w:type="dxa"/>
            <w:gridSpan w:val="2"/>
            <w:tcBorders>
              <w:tl2br w:val="nil"/>
              <w:tr2bl w:val="nil"/>
            </w:tcBorders>
            <w:noWrap w:val="0"/>
            <w:vAlign w:val="center"/>
          </w:tcPr>
          <w:p w14:paraId="560962B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p>
        </w:tc>
        <w:tc>
          <w:tcPr>
            <w:tcW w:w="1250" w:type="dxa"/>
            <w:gridSpan w:val="2"/>
            <w:tcBorders>
              <w:tl2br w:val="nil"/>
              <w:tr2bl w:val="nil"/>
            </w:tcBorders>
            <w:noWrap w:val="0"/>
            <w:vAlign w:val="center"/>
          </w:tcPr>
          <w:p w14:paraId="11F50C2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无组织排放</w:t>
            </w:r>
          </w:p>
        </w:tc>
      </w:tr>
      <w:tr w14:paraId="7692C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dxa"/>
          <w:trHeight w:val="283" w:hRule="atLeast"/>
        </w:trPr>
        <w:tc>
          <w:tcPr>
            <w:tcW w:w="787" w:type="dxa"/>
            <w:gridSpan w:val="2"/>
            <w:vMerge w:val="continue"/>
            <w:tcBorders>
              <w:tl2br w:val="nil"/>
              <w:tr2bl w:val="nil"/>
            </w:tcBorders>
            <w:noWrap w:val="0"/>
            <w:vAlign w:val="center"/>
          </w:tcPr>
          <w:p w14:paraId="0E1DE1A6">
            <w:pPr>
              <w:pStyle w:val="48"/>
              <w:spacing w:beforeLines="0" w:afterLines="0"/>
              <w:rPr>
                <w:rFonts w:hint="default" w:ascii="Times New Roman" w:hAnsi="Times New Roman" w:cs="Times New Roman"/>
                <w:color w:val="auto"/>
                <w:sz w:val="24"/>
                <w:szCs w:val="24"/>
                <w:highlight w:val="none"/>
              </w:rPr>
            </w:pPr>
          </w:p>
        </w:tc>
        <w:tc>
          <w:tcPr>
            <w:tcW w:w="1172" w:type="dxa"/>
            <w:gridSpan w:val="2"/>
            <w:tcBorders>
              <w:tl2br w:val="nil"/>
              <w:tr2bl w:val="nil"/>
            </w:tcBorders>
            <w:noWrap w:val="0"/>
            <w:vAlign w:val="center"/>
          </w:tcPr>
          <w:p w14:paraId="4C773A1C">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表土堆场</w:t>
            </w:r>
          </w:p>
        </w:tc>
        <w:tc>
          <w:tcPr>
            <w:tcW w:w="876" w:type="dxa"/>
            <w:gridSpan w:val="2"/>
            <w:vMerge w:val="restart"/>
            <w:tcBorders>
              <w:tl2br w:val="nil"/>
              <w:tr2bl w:val="nil"/>
            </w:tcBorders>
            <w:noWrap w:val="0"/>
            <w:vAlign w:val="center"/>
          </w:tcPr>
          <w:p w14:paraId="37A5CBC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堆场粉尘</w:t>
            </w:r>
          </w:p>
        </w:tc>
        <w:tc>
          <w:tcPr>
            <w:tcW w:w="996" w:type="dxa"/>
            <w:gridSpan w:val="2"/>
            <w:tcBorders>
              <w:tl2br w:val="nil"/>
              <w:tr2bl w:val="nil"/>
            </w:tcBorders>
            <w:noWrap w:val="0"/>
            <w:vAlign w:val="center"/>
          </w:tcPr>
          <w:p w14:paraId="5DF8FC01">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9.22</w:t>
            </w:r>
          </w:p>
        </w:tc>
        <w:tc>
          <w:tcPr>
            <w:tcW w:w="2004" w:type="dxa"/>
            <w:gridSpan w:val="2"/>
            <w:vMerge w:val="restart"/>
            <w:tcBorders>
              <w:tl2br w:val="nil"/>
              <w:tr2bl w:val="nil"/>
            </w:tcBorders>
            <w:noWrap w:val="0"/>
            <w:vAlign w:val="center"/>
          </w:tcPr>
          <w:p w14:paraId="05085DC4">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定期洒水，</w:t>
            </w:r>
          </w:p>
          <w:p w14:paraId="675520F9">
            <w:pPr>
              <w:pStyle w:val="48"/>
              <w:spacing w:beforeLines="0" w:afterLines="0"/>
              <w:rPr>
                <w:rFonts w:hint="default" w:ascii="Times New Roman" w:hAnsi="Times New Roman" w:cs="Times New Roman"/>
                <w:color w:val="auto"/>
                <w:sz w:val="24"/>
                <w:szCs w:val="24"/>
                <w:highlight w:val="none"/>
                <w:lang w:val="en-US"/>
              </w:rPr>
            </w:pPr>
            <w:r>
              <w:rPr>
                <w:rFonts w:hint="default" w:ascii="Times New Roman" w:hAnsi="Times New Roman" w:cs="Times New Roman"/>
                <w:color w:val="auto"/>
                <w:sz w:val="24"/>
                <w:szCs w:val="24"/>
                <w:highlight w:val="none"/>
              </w:rPr>
              <w:t>上部采用</w:t>
            </w:r>
            <w:r>
              <w:rPr>
                <w:rFonts w:hint="default" w:ascii="Times New Roman" w:hAnsi="Times New Roman" w:cs="Times New Roman"/>
                <w:color w:val="auto"/>
                <w:sz w:val="24"/>
                <w:szCs w:val="24"/>
                <w:highlight w:val="none"/>
                <w:lang w:val="en-US" w:eastAsia="zh-CN"/>
              </w:rPr>
              <w:t>篷布覆盖</w:t>
            </w:r>
          </w:p>
        </w:tc>
        <w:tc>
          <w:tcPr>
            <w:tcW w:w="1200" w:type="dxa"/>
            <w:gridSpan w:val="2"/>
            <w:tcBorders>
              <w:tl2br w:val="nil"/>
              <w:tr2bl w:val="nil"/>
            </w:tcBorders>
            <w:noWrap w:val="0"/>
            <w:vAlign w:val="center"/>
          </w:tcPr>
          <w:p w14:paraId="736D82CD">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0.922</w:t>
            </w:r>
            <w:r>
              <w:rPr>
                <w:rFonts w:hint="default" w:ascii="Times New Roman" w:hAnsi="Times New Roman" w:cs="Times New Roman"/>
                <w:color w:val="auto"/>
                <w:sz w:val="24"/>
                <w:szCs w:val="24"/>
                <w:highlight w:val="none"/>
              </w:rPr>
              <w:t>t/a</w:t>
            </w:r>
          </w:p>
        </w:tc>
        <w:tc>
          <w:tcPr>
            <w:tcW w:w="882" w:type="dxa"/>
            <w:gridSpan w:val="2"/>
            <w:tcBorders>
              <w:tl2br w:val="nil"/>
              <w:tr2bl w:val="nil"/>
            </w:tcBorders>
            <w:noWrap w:val="0"/>
            <w:vAlign w:val="center"/>
          </w:tcPr>
          <w:p w14:paraId="14563FB6">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p>
        </w:tc>
        <w:tc>
          <w:tcPr>
            <w:tcW w:w="1250" w:type="dxa"/>
            <w:gridSpan w:val="2"/>
            <w:tcBorders>
              <w:tl2br w:val="nil"/>
              <w:tr2bl w:val="nil"/>
            </w:tcBorders>
            <w:noWrap w:val="0"/>
            <w:vAlign w:val="center"/>
          </w:tcPr>
          <w:p w14:paraId="7667B56B">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无组织排放</w:t>
            </w:r>
          </w:p>
        </w:tc>
      </w:tr>
      <w:tr w14:paraId="7A20C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dxa"/>
          <w:trHeight w:val="283" w:hRule="atLeast"/>
        </w:trPr>
        <w:tc>
          <w:tcPr>
            <w:tcW w:w="787" w:type="dxa"/>
            <w:gridSpan w:val="2"/>
            <w:vMerge w:val="continue"/>
            <w:tcBorders>
              <w:tl2br w:val="nil"/>
              <w:tr2bl w:val="nil"/>
            </w:tcBorders>
            <w:noWrap w:val="0"/>
            <w:vAlign w:val="center"/>
          </w:tcPr>
          <w:p w14:paraId="7D0AB261">
            <w:pPr>
              <w:pStyle w:val="48"/>
              <w:spacing w:beforeLines="0" w:afterLines="0"/>
              <w:rPr>
                <w:rFonts w:hint="default" w:ascii="Times New Roman" w:hAnsi="Times New Roman" w:cs="Times New Roman"/>
                <w:color w:val="auto"/>
                <w:sz w:val="24"/>
                <w:szCs w:val="24"/>
                <w:highlight w:val="none"/>
              </w:rPr>
            </w:pPr>
          </w:p>
        </w:tc>
        <w:tc>
          <w:tcPr>
            <w:tcW w:w="1172" w:type="dxa"/>
            <w:gridSpan w:val="2"/>
            <w:tcBorders>
              <w:tl2br w:val="nil"/>
              <w:tr2bl w:val="nil"/>
            </w:tcBorders>
            <w:noWrap w:val="0"/>
            <w:vAlign w:val="center"/>
          </w:tcPr>
          <w:p w14:paraId="2BA5FA7A">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排土场</w:t>
            </w:r>
          </w:p>
        </w:tc>
        <w:tc>
          <w:tcPr>
            <w:tcW w:w="876" w:type="dxa"/>
            <w:gridSpan w:val="2"/>
            <w:vMerge w:val="continue"/>
            <w:tcBorders>
              <w:tl2br w:val="nil"/>
              <w:tr2bl w:val="nil"/>
            </w:tcBorders>
            <w:noWrap w:val="0"/>
            <w:vAlign w:val="center"/>
          </w:tcPr>
          <w:p w14:paraId="5A2C8B85">
            <w:pPr>
              <w:pStyle w:val="48"/>
              <w:spacing w:beforeLines="0" w:afterLines="0"/>
              <w:rPr>
                <w:rFonts w:hint="default" w:ascii="Times New Roman" w:hAnsi="Times New Roman" w:cs="Times New Roman"/>
                <w:color w:val="auto"/>
                <w:sz w:val="24"/>
                <w:szCs w:val="24"/>
                <w:highlight w:val="none"/>
              </w:rPr>
            </w:pPr>
          </w:p>
        </w:tc>
        <w:tc>
          <w:tcPr>
            <w:tcW w:w="996" w:type="dxa"/>
            <w:gridSpan w:val="2"/>
            <w:tcBorders>
              <w:tl2br w:val="nil"/>
              <w:tr2bl w:val="nil"/>
            </w:tcBorders>
            <w:noWrap w:val="0"/>
            <w:vAlign w:val="center"/>
          </w:tcPr>
          <w:p w14:paraId="78E910C2">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21.958</w:t>
            </w:r>
          </w:p>
        </w:tc>
        <w:tc>
          <w:tcPr>
            <w:tcW w:w="2004" w:type="dxa"/>
            <w:gridSpan w:val="2"/>
            <w:vMerge w:val="continue"/>
            <w:tcBorders>
              <w:tl2br w:val="nil"/>
              <w:tr2bl w:val="nil"/>
            </w:tcBorders>
            <w:noWrap w:val="0"/>
            <w:vAlign w:val="center"/>
          </w:tcPr>
          <w:p w14:paraId="38E9D6BD">
            <w:pPr>
              <w:pStyle w:val="48"/>
              <w:spacing w:beforeLines="0" w:afterLines="0"/>
              <w:rPr>
                <w:rFonts w:hint="default" w:ascii="Times New Roman" w:hAnsi="Times New Roman" w:cs="Times New Roman"/>
                <w:color w:val="auto"/>
                <w:sz w:val="24"/>
                <w:szCs w:val="24"/>
                <w:highlight w:val="none"/>
              </w:rPr>
            </w:pPr>
          </w:p>
        </w:tc>
        <w:tc>
          <w:tcPr>
            <w:tcW w:w="1200" w:type="dxa"/>
            <w:gridSpan w:val="2"/>
            <w:tcBorders>
              <w:tl2br w:val="nil"/>
              <w:tr2bl w:val="nil"/>
            </w:tcBorders>
            <w:noWrap w:val="0"/>
            <w:vAlign w:val="center"/>
          </w:tcPr>
          <w:p w14:paraId="095DF7BE">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2.1958</w:t>
            </w:r>
            <w:r>
              <w:rPr>
                <w:rFonts w:hint="default" w:ascii="Times New Roman" w:hAnsi="Times New Roman" w:cs="Times New Roman"/>
                <w:color w:val="auto"/>
                <w:sz w:val="24"/>
                <w:szCs w:val="24"/>
                <w:highlight w:val="none"/>
              </w:rPr>
              <w:t>t/a</w:t>
            </w:r>
          </w:p>
        </w:tc>
        <w:tc>
          <w:tcPr>
            <w:tcW w:w="882" w:type="dxa"/>
            <w:gridSpan w:val="2"/>
            <w:tcBorders>
              <w:tl2br w:val="nil"/>
              <w:tr2bl w:val="nil"/>
            </w:tcBorders>
            <w:noWrap w:val="0"/>
            <w:vAlign w:val="center"/>
          </w:tcPr>
          <w:p w14:paraId="714F9A07">
            <w:pPr>
              <w:pStyle w:val="48"/>
              <w:spacing w:beforeLines="0" w:afterLines="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w:t>
            </w:r>
          </w:p>
        </w:tc>
        <w:tc>
          <w:tcPr>
            <w:tcW w:w="1250" w:type="dxa"/>
            <w:gridSpan w:val="2"/>
            <w:tcBorders>
              <w:tl2br w:val="nil"/>
              <w:tr2bl w:val="nil"/>
            </w:tcBorders>
            <w:noWrap w:val="0"/>
            <w:vAlign w:val="center"/>
          </w:tcPr>
          <w:p w14:paraId="69EFB31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无组织排放</w:t>
            </w:r>
          </w:p>
        </w:tc>
      </w:tr>
      <w:tr w14:paraId="79E2D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dxa"/>
          <w:trHeight w:val="283" w:hRule="atLeast"/>
        </w:trPr>
        <w:tc>
          <w:tcPr>
            <w:tcW w:w="787" w:type="dxa"/>
            <w:gridSpan w:val="2"/>
            <w:vMerge w:val="continue"/>
            <w:tcBorders>
              <w:tl2br w:val="nil"/>
              <w:tr2bl w:val="nil"/>
            </w:tcBorders>
            <w:noWrap w:val="0"/>
            <w:vAlign w:val="center"/>
          </w:tcPr>
          <w:p w14:paraId="3046DEB6">
            <w:pPr>
              <w:pStyle w:val="48"/>
              <w:spacing w:beforeLines="0" w:afterLines="0"/>
              <w:rPr>
                <w:rFonts w:hint="default" w:ascii="Times New Roman" w:hAnsi="Times New Roman" w:cs="Times New Roman"/>
                <w:color w:val="auto"/>
                <w:sz w:val="24"/>
                <w:szCs w:val="24"/>
                <w:highlight w:val="none"/>
              </w:rPr>
            </w:pPr>
          </w:p>
        </w:tc>
        <w:tc>
          <w:tcPr>
            <w:tcW w:w="1172" w:type="dxa"/>
            <w:gridSpan w:val="2"/>
            <w:tcBorders>
              <w:tl2br w:val="nil"/>
              <w:tr2bl w:val="nil"/>
            </w:tcBorders>
            <w:noWrap w:val="0"/>
            <w:vAlign w:val="center"/>
          </w:tcPr>
          <w:p w14:paraId="2635DAD3">
            <w:pPr>
              <w:pStyle w:val="48"/>
              <w:spacing w:beforeLines="0" w:afterLines="0"/>
              <w:rPr>
                <w:rFonts w:hint="eastAsia" w:ascii="Times New Roman" w:hAnsi="Times New Roman" w:cs="Times New Roman"/>
                <w:color w:val="FF0000"/>
                <w:sz w:val="24"/>
                <w:szCs w:val="24"/>
                <w:highlight w:val="none"/>
                <w:lang w:val="en-US" w:eastAsia="zh-CN"/>
              </w:rPr>
            </w:pPr>
            <w:r>
              <w:rPr>
                <w:rFonts w:hint="eastAsia" w:ascii="Times New Roman" w:hAnsi="Times New Roman" w:cs="Times New Roman"/>
                <w:color w:val="FF0000"/>
                <w:sz w:val="24"/>
                <w:szCs w:val="24"/>
                <w:highlight w:val="none"/>
                <w:lang w:val="en-US" w:eastAsia="zh-CN"/>
              </w:rPr>
              <w:t>原料</w:t>
            </w:r>
          </w:p>
          <w:p w14:paraId="42AB670F">
            <w:pPr>
              <w:pStyle w:val="48"/>
              <w:spacing w:beforeLines="0" w:afterLines="0"/>
              <w:rPr>
                <w:rFonts w:hint="default" w:ascii="Times New Roman" w:hAnsi="Times New Roman" w:cs="Times New Roman"/>
                <w:color w:val="FF0000"/>
                <w:sz w:val="24"/>
                <w:szCs w:val="24"/>
                <w:highlight w:val="none"/>
                <w:lang w:val="en-US" w:eastAsia="zh-CN"/>
              </w:rPr>
            </w:pPr>
            <w:r>
              <w:rPr>
                <w:rFonts w:hint="eastAsia" w:ascii="Times New Roman" w:hAnsi="Times New Roman" w:cs="Times New Roman"/>
                <w:color w:val="FF0000"/>
                <w:sz w:val="24"/>
                <w:szCs w:val="24"/>
                <w:highlight w:val="none"/>
                <w:lang w:val="en-US" w:eastAsia="zh-CN"/>
              </w:rPr>
              <w:t>堆场</w:t>
            </w:r>
          </w:p>
        </w:tc>
        <w:tc>
          <w:tcPr>
            <w:tcW w:w="876" w:type="dxa"/>
            <w:gridSpan w:val="2"/>
            <w:tcBorders>
              <w:tl2br w:val="nil"/>
              <w:tr2bl w:val="nil"/>
            </w:tcBorders>
            <w:noWrap w:val="0"/>
            <w:vAlign w:val="center"/>
          </w:tcPr>
          <w:p w14:paraId="13CC087A">
            <w:pPr>
              <w:pStyle w:val="48"/>
              <w:spacing w:beforeLines="0" w:afterLines="0"/>
              <w:rPr>
                <w:rFonts w:hint="eastAsia" w:ascii="Times New Roman" w:hAnsi="Times New Roman" w:eastAsia="宋体" w:cs="Times New Roman"/>
                <w:color w:val="FF0000"/>
                <w:sz w:val="24"/>
                <w:szCs w:val="24"/>
                <w:highlight w:val="none"/>
                <w:lang w:val="en-US" w:eastAsia="zh-CN"/>
              </w:rPr>
            </w:pPr>
            <w:r>
              <w:rPr>
                <w:rFonts w:hint="eastAsia" w:ascii="Times New Roman" w:hAnsi="Times New Roman" w:cs="Times New Roman"/>
                <w:color w:val="FF0000"/>
                <w:sz w:val="24"/>
                <w:szCs w:val="24"/>
                <w:highlight w:val="none"/>
                <w:lang w:val="en-US" w:eastAsia="zh-CN"/>
              </w:rPr>
              <w:t>堆场粉尘</w:t>
            </w:r>
          </w:p>
        </w:tc>
        <w:tc>
          <w:tcPr>
            <w:tcW w:w="996" w:type="dxa"/>
            <w:gridSpan w:val="2"/>
            <w:tcBorders>
              <w:tl2br w:val="nil"/>
              <w:tr2bl w:val="nil"/>
            </w:tcBorders>
            <w:noWrap w:val="0"/>
            <w:vAlign w:val="center"/>
          </w:tcPr>
          <w:p w14:paraId="1195CC88">
            <w:pPr>
              <w:pStyle w:val="48"/>
              <w:spacing w:beforeLines="0" w:afterLines="0"/>
              <w:rPr>
                <w:rFonts w:hint="default" w:ascii="Times New Roman" w:hAnsi="Times New Roman" w:cs="Times New Roman"/>
                <w:color w:val="FF0000"/>
                <w:sz w:val="24"/>
                <w:szCs w:val="24"/>
                <w:highlight w:val="none"/>
                <w:lang w:val="en-US" w:eastAsia="zh-CN"/>
              </w:rPr>
            </w:pPr>
            <w:r>
              <w:rPr>
                <w:rFonts w:hint="eastAsia" w:ascii="Times New Roman" w:hAnsi="Times New Roman" w:cs="Times New Roman"/>
                <w:color w:val="FF0000"/>
                <w:sz w:val="24"/>
                <w:szCs w:val="24"/>
                <w:highlight w:val="none"/>
                <w:lang w:val="en-US" w:eastAsia="zh-CN"/>
              </w:rPr>
              <w:t>99.86</w:t>
            </w:r>
          </w:p>
        </w:tc>
        <w:tc>
          <w:tcPr>
            <w:tcW w:w="2004" w:type="dxa"/>
            <w:gridSpan w:val="2"/>
            <w:tcBorders>
              <w:tl2br w:val="nil"/>
              <w:tr2bl w:val="nil"/>
            </w:tcBorders>
            <w:noWrap w:val="0"/>
            <w:vAlign w:val="center"/>
          </w:tcPr>
          <w:p w14:paraId="7B73AF6F">
            <w:pPr>
              <w:pStyle w:val="48"/>
              <w:spacing w:beforeLines="0" w:afterLines="0"/>
              <w:rPr>
                <w:rFonts w:hint="default" w:ascii="Times New Roman" w:hAnsi="Times New Roman" w:eastAsia="宋体" w:cs="Times New Roman"/>
                <w:color w:val="FF0000"/>
                <w:sz w:val="24"/>
                <w:szCs w:val="24"/>
                <w:highlight w:val="none"/>
                <w:lang w:val="en-US" w:eastAsia="zh-CN"/>
              </w:rPr>
            </w:pPr>
            <w:r>
              <w:rPr>
                <w:rFonts w:hint="eastAsia" w:ascii="Times New Roman" w:hAnsi="Times New Roman" w:cs="Times New Roman"/>
                <w:color w:val="FF0000"/>
                <w:sz w:val="24"/>
                <w:szCs w:val="24"/>
                <w:highlight w:val="none"/>
                <w:lang w:val="en-US" w:eastAsia="zh-CN"/>
              </w:rPr>
              <w:t>设置在封闭厂房内，作业时洒水</w:t>
            </w:r>
          </w:p>
        </w:tc>
        <w:tc>
          <w:tcPr>
            <w:tcW w:w="1200" w:type="dxa"/>
            <w:gridSpan w:val="2"/>
            <w:tcBorders>
              <w:tl2br w:val="nil"/>
              <w:tr2bl w:val="nil"/>
            </w:tcBorders>
            <w:noWrap w:val="0"/>
            <w:vAlign w:val="center"/>
          </w:tcPr>
          <w:p w14:paraId="5F0FAA28">
            <w:pPr>
              <w:pStyle w:val="48"/>
              <w:spacing w:beforeLines="0" w:afterLines="0"/>
              <w:rPr>
                <w:rFonts w:hint="default" w:ascii="Times New Roman" w:hAnsi="Times New Roman" w:cs="Times New Roman"/>
                <w:color w:val="FF0000"/>
                <w:sz w:val="24"/>
                <w:szCs w:val="24"/>
                <w:highlight w:val="none"/>
                <w:lang w:val="en-US" w:eastAsia="zh-CN"/>
              </w:rPr>
            </w:pPr>
            <w:r>
              <w:rPr>
                <w:rFonts w:hint="eastAsia" w:ascii="Times New Roman" w:hAnsi="Times New Roman" w:cs="Times New Roman"/>
                <w:color w:val="FF0000"/>
                <w:sz w:val="24"/>
                <w:szCs w:val="24"/>
                <w:highlight w:val="none"/>
                <w:lang w:val="en-US" w:eastAsia="zh-CN"/>
              </w:rPr>
              <w:t>0.26</w:t>
            </w:r>
            <w:r>
              <w:rPr>
                <w:rFonts w:hint="default" w:ascii="Times New Roman" w:hAnsi="Times New Roman" w:cs="Times New Roman"/>
                <w:color w:val="auto"/>
                <w:sz w:val="24"/>
                <w:szCs w:val="24"/>
                <w:highlight w:val="none"/>
              </w:rPr>
              <w:t>t/a</w:t>
            </w:r>
          </w:p>
        </w:tc>
        <w:tc>
          <w:tcPr>
            <w:tcW w:w="882" w:type="dxa"/>
            <w:gridSpan w:val="2"/>
            <w:tcBorders>
              <w:tl2br w:val="nil"/>
              <w:tr2bl w:val="nil"/>
            </w:tcBorders>
            <w:noWrap w:val="0"/>
            <w:vAlign w:val="center"/>
          </w:tcPr>
          <w:p w14:paraId="1E8A5940">
            <w:pPr>
              <w:pStyle w:val="48"/>
              <w:spacing w:beforeLines="0" w:afterLines="0"/>
              <w:rPr>
                <w:rFonts w:hint="default" w:ascii="Times New Roman" w:hAnsi="Times New Roman" w:cs="Times New Roman"/>
                <w:color w:val="FF0000"/>
                <w:sz w:val="24"/>
                <w:szCs w:val="24"/>
                <w:highlight w:val="none"/>
                <w:lang w:val="en-US" w:eastAsia="zh-CN"/>
              </w:rPr>
            </w:pPr>
            <w:r>
              <w:rPr>
                <w:rFonts w:hint="eastAsia" w:ascii="Times New Roman" w:hAnsi="Times New Roman" w:cs="Times New Roman"/>
                <w:color w:val="FF0000"/>
                <w:sz w:val="24"/>
                <w:szCs w:val="24"/>
                <w:highlight w:val="none"/>
                <w:lang w:val="en-US" w:eastAsia="zh-CN"/>
              </w:rPr>
              <w:t>/</w:t>
            </w:r>
          </w:p>
        </w:tc>
        <w:tc>
          <w:tcPr>
            <w:tcW w:w="1250" w:type="dxa"/>
            <w:gridSpan w:val="2"/>
            <w:tcBorders>
              <w:tl2br w:val="nil"/>
              <w:tr2bl w:val="nil"/>
            </w:tcBorders>
            <w:noWrap w:val="0"/>
            <w:vAlign w:val="center"/>
          </w:tcPr>
          <w:p w14:paraId="0F8791AE">
            <w:pPr>
              <w:pStyle w:val="48"/>
              <w:spacing w:beforeLines="0" w:afterLines="0"/>
              <w:rPr>
                <w:rFonts w:hint="default" w:ascii="Times New Roman" w:hAnsi="Times New Roman" w:cs="Times New Roman"/>
                <w:color w:val="FF0000"/>
                <w:sz w:val="24"/>
                <w:szCs w:val="24"/>
                <w:highlight w:val="none"/>
              </w:rPr>
            </w:pPr>
            <w:r>
              <w:rPr>
                <w:rFonts w:hint="default" w:ascii="Times New Roman" w:hAnsi="Times New Roman" w:cs="Times New Roman"/>
                <w:color w:val="FF0000"/>
                <w:sz w:val="24"/>
                <w:szCs w:val="24"/>
                <w:highlight w:val="none"/>
              </w:rPr>
              <w:t>无组织排放</w:t>
            </w:r>
          </w:p>
        </w:tc>
      </w:tr>
      <w:tr w14:paraId="7F4B4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dxa"/>
          <w:trHeight w:val="283" w:hRule="atLeast"/>
        </w:trPr>
        <w:tc>
          <w:tcPr>
            <w:tcW w:w="787" w:type="dxa"/>
            <w:gridSpan w:val="2"/>
            <w:vMerge w:val="continue"/>
            <w:tcBorders>
              <w:tl2br w:val="nil"/>
              <w:tr2bl w:val="nil"/>
            </w:tcBorders>
            <w:noWrap w:val="0"/>
            <w:vAlign w:val="center"/>
          </w:tcPr>
          <w:p w14:paraId="711ECB04">
            <w:pPr>
              <w:pStyle w:val="48"/>
              <w:spacing w:beforeLines="0" w:afterLines="0"/>
              <w:rPr>
                <w:rFonts w:hint="default" w:ascii="Times New Roman" w:hAnsi="Times New Roman" w:cs="Times New Roman"/>
                <w:color w:val="auto"/>
                <w:sz w:val="24"/>
                <w:szCs w:val="24"/>
                <w:highlight w:val="none"/>
              </w:rPr>
            </w:pPr>
          </w:p>
        </w:tc>
        <w:tc>
          <w:tcPr>
            <w:tcW w:w="1172" w:type="dxa"/>
            <w:gridSpan w:val="2"/>
            <w:tcBorders>
              <w:tl2br w:val="nil"/>
              <w:tr2bl w:val="nil"/>
            </w:tcBorders>
            <w:noWrap w:val="0"/>
            <w:vAlign w:val="center"/>
          </w:tcPr>
          <w:p w14:paraId="7590CDE5">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矿石</w:t>
            </w:r>
          </w:p>
          <w:p w14:paraId="589DADA4">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运输</w:t>
            </w:r>
          </w:p>
        </w:tc>
        <w:tc>
          <w:tcPr>
            <w:tcW w:w="876" w:type="dxa"/>
            <w:gridSpan w:val="2"/>
            <w:tcBorders>
              <w:tl2br w:val="nil"/>
              <w:tr2bl w:val="nil"/>
            </w:tcBorders>
            <w:noWrap w:val="0"/>
            <w:vAlign w:val="center"/>
          </w:tcPr>
          <w:p w14:paraId="7256FD7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粉尘</w:t>
            </w:r>
          </w:p>
        </w:tc>
        <w:tc>
          <w:tcPr>
            <w:tcW w:w="996" w:type="dxa"/>
            <w:gridSpan w:val="2"/>
            <w:tcBorders>
              <w:tl2br w:val="nil"/>
              <w:tr2bl w:val="nil"/>
            </w:tcBorders>
            <w:noWrap w:val="0"/>
            <w:vAlign w:val="center"/>
          </w:tcPr>
          <w:p w14:paraId="03AC92C5">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7.18t/a</w:t>
            </w:r>
          </w:p>
        </w:tc>
        <w:tc>
          <w:tcPr>
            <w:tcW w:w="2004" w:type="dxa"/>
            <w:gridSpan w:val="2"/>
            <w:tcBorders>
              <w:tl2br w:val="nil"/>
              <w:tr2bl w:val="nil"/>
            </w:tcBorders>
            <w:noWrap w:val="0"/>
            <w:vAlign w:val="center"/>
          </w:tcPr>
          <w:p w14:paraId="704C3F96">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采取苫布遮盖密闭运输；控制运输车辆行驶速度及装载量，减少物料转运环节，缩短物料运输距离，严禁在大风及暴雨天气进行物料采装、运输等</w:t>
            </w:r>
          </w:p>
        </w:tc>
        <w:tc>
          <w:tcPr>
            <w:tcW w:w="1200" w:type="dxa"/>
            <w:gridSpan w:val="2"/>
            <w:tcBorders>
              <w:tl2br w:val="nil"/>
              <w:tr2bl w:val="nil"/>
            </w:tcBorders>
            <w:noWrap w:val="0"/>
            <w:vAlign w:val="center"/>
          </w:tcPr>
          <w:p w14:paraId="39D86576">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1.44</w:t>
            </w:r>
            <w:r>
              <w:rPr>
                <w:rFonts w:hint="default" w:ascii="Times New Roman" w:hAnsi="Times New Roman" w:cs="Times New Roman"/>
                <w:color w:val="auto"/>
                <w:sz w:val="24"/>
                <w:szCs w:val="24"/>
                <w:highlight w:val="none"/>
              </w:rPr>
              <w:t>t/a</w:t>
            </w:r>
          </w:p>
        </w:tc>
        <w:tc>
          <w:tcPr>
            <w:tcW w:w="882" w:type="dxa"/>
            <w:gridSpan w:val="2"/>
            <w:tcBorders>
              <w:tl2br w:val="nil"/>
              <w:tr2bl w:val="nil"/>
            </w:tcBorders>
            <w:noWrap w:val="0"/>
            <w:vAlign w:val="center"/>
          </w:tcPr>
          <w:p w14:paraId="3B8170DE">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p>
        </w:tc>
        <w:tc>
          <w:tcPr>
            <w:tcW w:w="1250" w:type="dxa"/>
            <w:gridSpan w:val="2"/>
            <w:tcBorders>
              <w:tl2br w:val="nil"/>
              <w:tr2bl w:val="nil"/>
            </w:tcBorders>
            <w:noWrap w:val="0"/>
            <w:vAlign w:val="center"/>
          </w:tcPr>
          <w:p w14:paraId="217B2AE6">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无组织排放</w:t>
            </w:r>
          </w:p>
        </w:tc>
      </w:tr>
      <w:tr w14:paraId="03C40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dxa"/>
          <w:trHeight w:val="283" w:hRule="atLeast"/>
        </w:trPr>
        <w:tc>
          <w:tcPr>
            <w:tcW w:w="787" w:type="dxa"/>
            <w:gridSpan w:val="2"/>
            <w:vMerge w:val="continue"/>
            <w:tcBorders>
              <w:tl2br w:val="nil"/>
              <w:tr2bl w:val="nil"/>
            </w:tcBorders>
            <w:noWrap w:val="0"/>
            <w:vAlign w:val="center"/>
          </w:tcPr>
          <w:p w14:paraId="261EF690">
            <w:pPr>
              <w:pStyle w:val="48"/>
              <w:spacing w:beforeLines="0" w:afterLines="0"/>
              <w:rPr>
                <w:rFonts w:hint="default" w:ascii="Times New Roman" w:hAnsi="Times New Roman" w:cs="Times New Roman"/>
                <w:color w:val="auto"/>
                <w:sz w:val="24"/>
                <w:szCs w:val="24"/>
                <w:highlight w:val="none"/>
              </w:rPr>
            </w:pPr>
          </w:p>
        </w:tc>
        <w:tc>
          <w:tcPr>
            <w:tcW w:w="1172" w:type="dxa"/>
            <w:gridSpan w:val="2"/>
            <w:tcBorders>
              <w:tl2br w:val="nil"/>
              <w:tr2bl w:val="nil"/>
            </w:tcBorders>
            <w:noWrap w:val="0"/>
            <w:vAlign w:val="center"/>
          </w:tcPr>
          <w:p w14:paraId="2D9029E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原矿</w:t>
            </w:r>
          </w:p>
          <w:p w14:paraId="1F8F33DC">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筛分</w:t>
            </w:r>
          </w:p>
        </w:tc>
        <w:tc>
          <w:tcPr>
            <w:tcW w:w="876" w:type="dxa"/>
            <w:gridSpan w:val="2"/>
            <w:tcBorders>
              <w:tl2br w:val="nil"/>
              <w:tr2bl w:val="nil"/>
            </w:tcBorders>
            <w:noWrap w:val="0"/>
            <w:vAlign w:val="center"/>
          </w:tcPr>
          <w:p w14:paraId="34610A4B">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粉尘</w:t>
            </w:r>
          </w:p>
        </w:tc>
        <w:tc>
          <w:tcPr>
            <w:tcW w:w="996" w:type="dxa"/>
            <w:gridSpan w:val="2"/>
            <w:tcBorders>
              <w:tl2br w:val="nil"/>
              <w:tr2bl w:val="nil"/>
            </w:tcBorders>
            <w:noWrap w:val="0"/>
            <w:vAlign w:val="center"/>
          </w:tcPr>
          <w:p w14:paraId="739716E7">
            <w:pPr>
              <w:pStyle w:val="48"/>
              <w:spacing w:beforeLines="0" w:afterLines="0"/>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40</w:t>
            </w:r>
          </w:p>
        </w:tc>
        <w:tc>
          <w:tcPr>
            <w:tcW w:w="2004" w:type="dxa"/>
            <w:gridSpan w:val="2"/>
            <w:tcBorders>
              <w:tl2br w:val="nil"/>
              <w:tr2bl w:val="nil"/>
            </w:tcBorders>
            <w:noWrap w:val="0"/>
            <w:vAlign w:val="center"/>
          </w:tcPr>
          <w:p w14:paraId="23CFEF67">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设置集气罩+布袋除尘器进行处理，处理后经15m高排气筒排放</w:t>
            </w:r>
          </w:p>
        </w:tc>
        <w:tc>
          <w:tcPr>
            <w:tcW w:w="1200" w:type="dxa"/>
            <w:gridSpan w:val="2"/>
            <w:tcBorders>
              <w:tl2br w:val="nil"/>
              <w:tr2bl w:val="nil"/>
            </w:tcBorders>
            <w:noWrap w:val="0"/>
            <w:vAlign w:val="center"/>
          </w:tcPr>
          <w:p w14:paraId="7FF566CE">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0.144</w:t>
            </w:r>
            <w:r>
              <w:rPr>
                <w:rFonts w:hint="default" w:ascii="Times New Roman" w:hAnsi="Times New Roman" w:cs="Times New Roman"/>
                <w:color w:val="auto"/>
                <w:sz w:val="24"/>
                <w:szCs w:val="24"/>
                <w:highlight w:val="none"/>
              </w:rPr>
              <w:t>t/a</w:t>
            </w:r>
          </w:p>
        </w:tc>
        <w:tc>
          <w:tcPr>
            <w:tcW w:w="882" w:type="dxa"/>
            <w:gridSpan w:val="2"/>
            <w:tcBorders>
              <w:tl2br w:val="nil"/>
              <w:tr2bl w:val="nil"/>
            </w:tcBorders>
            <w:noWrap w:val="0"/>
            <w:vAlign w:val="center"/>
          </w:tcPr>
          <w:p w14:paraId="23E61934">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2.</w:t>
            </w:r>
            <w:r>
              <w:rPr>
                <w:rFonts w:hint="eastAsia" w:ascii="Times New Roman" w:hAnsi="Times New Roman" w:cs="Times New Roman"/>
                <w:color w:val="auto"/>
                <w:sz w:val="24"/>
                <w:szCs w:val="24"/>
                <w:highlight w:val="none"/>
                <w:lang w:val="en-US" w:eastAsia="zh-CN"/>
              </w:rPr>
              <w:t>22</w:t>
            </w:r>
            <w:r>
              <w:rPr>
                <w:rFonts w:hint="default" w:ascii="Times New Roman" w:hAnsi="Times New Roman" w:cs="Times New Roman"/>
                <w:color w:val="auto"/>
                <w:sz w:val="24"/>
                <w:szCs w:val="24"/>
                <w:highlight w:val="none"/>
              </w:rPr>
              <w:t>mg/m</w:t>
            </w:r>
            <w:r>
              <w:rPr>
                <w:rFonts w:hint="default" w:ascii="Times New Roman" w:hAnsi="Times New Roman" w:cs="Times New Roman"/>
                <w:color w:val="auto"/>
                <w:sz w:val="24"/>
                <w:szCs w:val="24"/>
                <w:highlight w:val="none"/>
                <w:vertAlign w:val="superscript"/>
              </w:rPr>
              <w:t>3</w:t>
            </w:r>
          </w:p>
        </w:tc>
        <w:tc>
          <w:tcPr>
            <w:tcW w:w="1250" w:type="dxa"/>
            <w:gridSpan w:val="2"/>
            <w:tcBorders>
              <w:tl2br w:val="nil"/>
              <w:tr2bl w:val="nil"/>
            </w:tcBorders>
            <w:noWrap w:val="0"/>
            <w:vAlign w:val="center"/>
          </w:tcPr>
          <w:p w14:paraId="22DD3F9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有组织排放</w:t>
            </w:r>
          </w:p>
        </w:tc>
      </w:tr>
      <w:tr w14:paraId="29DCF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dxa"/>
          <w:trHeight w:val="903" w:hRule="atLeast"/>
        </w:trPr>
        <w:tc>
          <w:tcPr>
            <w:tcW w:w="787" w:type="dxa"/>
            <w:gridSpan w:val="2"/>
            <w:vMerge w:val="continue"/>
            <w:tcBorders>
              <w:tl2br w:val="nil"/>
              <w:tr2bl w:val="nil"/>
            </w:tcBorders>
            <w:noWrap w:val="0"/>
            <w:vAlign w:val="center"/>
          </w:tcPr>
          <w:p w14:paraId="092877D1">
            <w:pPr>
              <w:pStyle w:val="48"/>
              <w:spacing w:beforeLines="0" w:afterLines="0"/>
              <w:rPr>
                <w:rFonts w:hint="default" w:ascii="Times New Roman" w:hAnsi="Times New Roman" w:cs="Times New Roman"/>
                <w:color w:val="auto"/>
                <w:sz w:val="24"/>
                <w:szCs w:val="24"/>
                <w:highlight w:val="none"/>
              </w:rPr>
            </w:pPr>
          </w:p>
        </w:tc>
        <w:tc>
          <w:tcPr>
            <w:tcW w:w="1172" w:type="dxa"/>
            <w:gridSpan w:val="2"/>
            <w:tcBorders>
              <w:tl2br w:val="nil"/>
              <w:tr2bl w:val="nil"/>
            </w:tcBorders>
            <w:noWrap w:val="0"/>
            <w:vAlign w:val="center"/>
          </w:tcPr>
          <w:p w14:paraId="6E988D4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原矿</w:t>
            </w:r>
          </w:p>
          <w:p w14:paraId="540A6E6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筛分</w:t>
            </w:r>
          </w:p>
        </w:tc>
        <w:tc>
          <w:tcPr>
            <w:tcW w:w="876" w:type="dxa"/>
            <w:gridSpan w:val="2"/>
            <w:tcBorders>
              <w:tl2br w:val="nil"/>
              <w:tr2bl w:val="nil"/>
            </w:tcBorders>
            <w:noWrap w:val="0"/>
            <w:vAlign w:val="center"/>
          </w:tcPr>
          <w:p w14:paraId="4E5E17F5">
            <w:pPr>
              <w:pStyle w:val="48"/>
              <w:spacing w:beforeLines="0" w:afterLines="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粉尘</w:t>
            </w:r>
          </w:p>
        </w:tc>
        <w:tc>
          <w:tcPr>
            <w:tcW w:w="996" w:type="dxa"/>
            <w:gridSpan w:val="2"/>
            <w:tcBorders>
              <w:tl2br w:val="nil"/>
              <w:tr2bl w:val="nil"/>
            </w:tcBorders>
            <w:noWrap w:val="0"/>
            <w:vAlign w:val="center"/>
          </w:tcPr>
          <w:p w14:paraId="73439F64">
            <w:pPr>
              <w:pStyle w:val="48"/>
              <w:spacing w:beforeLines="0" w:afterLines="0"/>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0.4</w:t>
            </w:r>
          </w:p>
        </w:tc>
        <w:tc>
          <w:tcPr>
            <w:tcW w:w="2004" w:type="dxa"/>
            <w:gridSpan w:val="2"/>
            <w:tcBorders>
              <w:tl2br w:val="nil"/>
              <w:tr2bl w:val="nil"/>
            </w:tcBorders>
            <w:noWrap w:val="0"/>
            <w:vAlign w:val="center"/>
          </w:tcPr>
          <w:p w14:paraId="0396D849">
            <w:pPr>
              <w:pStyle w:val="48"/>
              <w:spacing w:beforeLines="0" w:afterLines="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除尘器未收集的粉尘，厂房内无组织排放</w:t>
            </w:r>
          </w:p>
        </w:tc>
        <w:tc>
          <w:tcPr>
            <w:tcW w:w="1200" w:type="dxa"/>
            <w:gridSpan w:val="2"/>
            <w:tcBorders>
              <w:tl2br w:val="nil"/>
              <w:tr2bl w:val="nil"/>
            </w:tcBorders>
            <w:noWrap w:val="0"/>
            <w:vAlign w:val="center"/>
          </w:tcPr>
          <w:p w14:paraId="3787ED9A">
            <w:pPr>
              <w:pStyle w:val="48"/>
              <w:spacing w:beforeLines="0" w:afterLines="0"/>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0.4</w:t>
            </w:r>
            <w:r>
              <w:rPr>
                <w:rFonts w:hint="default" w:ascii="Times New Roman" w:hAnsi="Times New Roman" w:cs="Times New Roman"/>
                <w:color w:val="auto"/>
                <w:sz w:val="24"/>
                <w:szCs w:val="24"/>
                <w:highlight w:val="none"/>
              </w:rPr>
              <w:t>t/a</w:t>
            </w:r>
          </w:p>
        </w:tc>
        <w:tc>
          <w:tcPr>
            <w:tcW w:w="882" w:type="dxa"/>
            <w:gridSpan w:val="2"/>
            <w:tcBorders>
              <w:tl2br w:val="nil"/>
              <w:tr2bl w:val="nil"/>
            </w:tcBorders>
            <w:noWrap w:val="0"/>
            <w:vAlign w:val="center"/>
          </w:tcPr>
          <w:p w14:paraId="568B821D">
            <w:pPr>
              <w:pStyle w:val="48"/>
              <w:spacing w:beforeLines="0" w:afterLines="0"/>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w:t>
            </w:r>
          </w:p>
        </w:tc>
        <w:tc>
          <w:tcPr>
            <w:tcW w:w="1250" w:type="dxa"/>
            <w:gridSpan w:val="2"/>
            <w:tcBorders>
              <w:tl2br w:val="nil"/>
              <w:tr2bl w:val="nil"/>
            </w:tcBorders>
            <w:noWrap w:val="0"/>
            <w:vAlign w:val="center"/>
          </w:tcPr>
          <w:p w14:paraId="1A42D8CC">
            <w:pPr>
              <w:pStyle w:val="48"/>
              <w:spacing w:beforeLines="0" w:afterLines="0"/>
              <w:rPr>
                <w:rFonts w:hint="default" w:ascii="Times New Roman" w:hAnsi="Times New Roman" w:cs="Times New Roman"/>
                <w:color w:val="auto"/>
                <w:sz w:val="24"/>
                <w:szCs w:val="24"/>
                <w:highlight w:val="green"/>
              </w:rPr>
            </w:pPr>
            <w:r>
              <w:rPr>
                <w:rFonts w:hint="default" w:ascii="Times New Roman" w:hAnsi="Times New Roman" w:cs="Times New Roman"/>
                <w:color w:val="auto"/>
                <w:sz w:val="24"/>
                <w:szCs w:val="24"/>
                <w:highlight w:val="none"/>
              </w:rPr>
              <w:t>无组织排放</w:t>
            </w:r>
          </w:p>
        </w:tc>
      </w:tr>
      <w:tr w14:paraId="46C29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dxa"/>
          <w:trHeight w:val="1054" w:hRule="atLeast"/>
        </w:trPr>
        <w:tc>
          <w:tcPr>
            <w:tcW w:w="787" w:type="dxa"/>
            <w:gridSpan w:val="2"/>
            <w:vMerge w:val="continue"/>
            <w:tcBorders>
              <w:tl2br w:val="nil"/>
              <w:tr2bl w:val="nil"/>
            </w:tcBorders>
            <w:noWrap w:val="0"/>
            <w:vAlign w:val="center"/>
          </w:tcPr>
          <w:p w14:paraId="69E4F8B1">
            <w:pPr>
              <w:pStyle w:val="48"/>
              <w:spacing w:beforeLines="0" w:afterLines="0"/>
              <w:rPr>
                <w:rFonts w:hint="default" w:ascii="Times New Roman" w:hAnsi="Times New Roman" w:cs="Times New Roman"/>
                <w:color w:val="auto"/>
                <w:sz w:val="24"/>
                <w:szCs w:val="24"/>
                <w:highlight w:val="none"/>
              </w:rPr>
            </w:pPr>
          </w:p>
        </w:tc>
        <w:tc>
          <w:tcPr>
            <w:tcW w:w="1172" w:type="dxa"/>
            <w:gridSpan w:val="2"/>
            <w:tcBorders>
              <w:tl2br w:val="nil"/>
              <w:tr2bl w:val="nil"/>
            </w:tcBorders>
            <w:noWrap w:val="0"/>
            <w:vAlign w:val="center"/>
          </w:tcPr>
          <w:p w14:paraId="6B71D029">
            <w:pPr>
              <w:pStyle w:val="48"/>
              <w:spacing w:beforeLines="0" w:afterLines="0"/>
              <w:rPr>
                <w:rFonts w:hint="default" w:ascii="Times New Roman" w:hAnsi="Times New Roman" w:cs="Times New Roman"/>
                <w:color w:val="00B050"/>
                <w:sz w:val="24"/>
                <w:szCs w:val="24"/>
                <w:highlight w:val="none"/>
                <w:lang w:val="en-US" w:eastAsia="zh-CN"/>
              </w:rPr>
            </w:pPr>
            <w:r>
              <w:rPr>
                <w:rFonts w:hint="default" w:ascii="Times New Roman" w:hAnsi="Times New Roman" w:cs="Times New Roman"/>
                <w:color w:val="00B050"/>
                <w:sz w:val="24"/>
                <w:szCs w:val="24"/>
                <w:highlight w:val="none"/>
                <w:lang w:val="en-US" w:eastAsia="zh-CN"/>
              </w:rPr>
              <w:t>烘干废气</w:t>
            </w:r>
          </w:p>
        </w:tc>
        <w:tc>
          <w:tcPr>
            <w:tcW w:w="876" w:type="dxa"/>
            <w:gridSpan w:val="2"/>
            <w:tcBorders>
              <w:tl2br w:val="nil"/>
              <w:tr2bl w:val="nil"/>
            </w:tcBorders>
            <w:noWrap w:val="0"/>
            <w:vAlign w:val="center"/>
          </w:tcPr>
          <w:p w14:paraId="4641732D">
            <w:pPr>
              <w:pStyle w:val="48"/>
              <w:spacing w:beforeLines="0" w:afterLines="0"/>
              <w:rPr>
                <w:rFonts w:hint="default" w:ascii="Times New Roman" w:hAnsi="Times New Roman" w:cs="Times New Roman"/>
                <w:color w:val="00B050"/>
                <w:sz w:val="24"/>
                <w:szCs w:val="24"/>
                <w:highlight w:val="none"/>
                <w:lang w:val="en-US" w:eastAsia="zh-CN"/>
              </w:rPr>
            </w:pPr>
            <w:r>
              <w:rPr>
                <w:rFonts w:hint="default" w:ascii="Times New Roman" w:hAnsi="Times New Roman" w:cs="Times New Roman"/>
                <w:color w:val="00B050"/>
                <w:sz w:val="24"/>
                <w:szCs w:val="24"/>
                <w:highlight w:val="none"/>
                <w:lang w:val="en-US" w:eastAsia="zh-CN"/>
              </w:rPr>
              <w:t>颗粒物</w:t>
            </w:r>
          </w:p>
        </w:tc>
        <w:tc>
          <w:tcPr>
            <w:tcW w:w="996" w:type="dxa"/>
            <w:gridSpan w:val="2"/>
            <w:tcBorders>
              <w:tl2br w:val="nil"/>
              <w:tr2bl w:val="nil"/>
            </w:tcBorders>
            <w:noWrap w:val="0"/>
            <w:vAlign w:val="center"/>
          </w:tcPr>
          <w:p w14:paraId="789A58E5">
            <w:pPr>
              <w:pStyle w:val="48"/>
              <w:spacing w:beforeLines="0" w:afterLines="0"/>
              <w:rPr>
                <w:rFonts w:hint="default" w:ascii="Times New Roman" w:hAnsi="Times New Roman" w:cs="Times New Roman"/>
                <w:color w:val="00B050"/>
                <w:sz w:val="24"/>
                <w:szCs w:val="24"/>
                <w:highlight w:val="none"/>
                <w:lang w:val="en-US" w:eastAsia="zh-CN"/>
              </w:rPr>
            </w:pPr>
            <w:r>
              <w:rPr>
                <w:rFonts w:hint="eastAsia" w:ascii="Times New Roman" w:hAnsi="Times New Roman" w:cs="Times New Roman"/>
                <w:color w:val="00B050"/>
                <w:sz w:val="24"/>
                <w:szCs w:val="24"/>
                <w:highlight w:val="none"/>
                <w:lang w:val="en-US" w:eastAsia="zh-CN"/>
              </w:rPr>
              <w:t>170</w:t>
            </w:r>
            <w:r>
              <w:rPr>
                <w:rFonts w:hint="default" w:ascii="Times New Roman" w:hAnsi="Times New Roman" w:cs="Times New Roman"/>
                <w:color w:val="00B050"/>
                <w:sz w:val="24"/>
                <w:szCs w:val="24"/>
                <w:highlight w:val="none"/>
                <w:lang w:val="en-US" w:eastAsia="zh-CN"/>
              </w:rPr>
              <w:t xml:space="preserve"> </w:t>
            </w:r>
          </w:p>
        </w:tc>
        <w:tc>
          <w:tcPr>
            <w:tcW w:w="2004" w:type="dxa"/>
            <w:gridSpan w:val="2"/>
            <w:tcBorders>
              <w:tl2br w:val="nil"/>
              <w:tr2bl w:val="nil"/>
            </w:tcBorders>
            <w:noWrap w:val="0"/>
            <w:vAlign w:val="center"/>
          </w:tcPr>
          <w:p w14:paraId="1F6DB9FE">
            <w:pPr>
              <w:pStyle w:val="48"/>
              <w:spacing w:beforeLines="0" w:afterLines="0"/>
              <w:rPr>
                <w:rFonts w:hint="default" w:ascii="Times New Roman" w:hAnsi="Times New Roman" w:cs="Times New Roman"/>
                <w:color w:val="00B050"/>
                <w:sz w:val="24"/>
                <w:szCs w:val="24"/>
                <w:highlight w:val="none"/>
                <w:lang w:val="en-US" w:eastAsia="zh-CN"/>
              </w:rPr>
            </w:pPr>
            <w:r>
              <w:rPr>
                <w:rFonts w:hint="default" w:ascii="Times New Roman" w:hAnsi="Times New Roman" w:cs="Times New Roman"/>
                <w:color w:val="00B050"/>
                <w:sz w:val="24"/>
                <w:szCs w:val="24"/>
                <w:highlight w:val="none"/>
                <w:lang w:val="en-US" w:eastAsia="zh-CN"/>
              </w:rPr>
              <w:t>热风炉废气经布袋除尘器+15m排气筒排放</w:t>
            </w:r>
          </w:p>
        </w:tc>
        <w:tc>
          <w:tcPr>
            <w:tcW w:w="1200" w:type="dxa"/>
            <w:gridSpan w:val="2"/>
            <w:tcBorders>
              <w:tl2br w:val="nil"/>
              <w:tr2bl w:val="nil"/>
            </w:tcBorders>
            <w:noWrap w:val="0"/>
            <w:vAlign w:val="center"/>
          </w:tcPr>
          <w:p w14:paraId="7680D874">
            <w:pPr>
              <w:pStyle w:val="48"/>
              <w:spacing w:beforeLines="0" w:afterLines="0"/>
              <w:rPr>
                <w:rFonts w:hint="default" w:ascii="Times New Roman" w:hAnsi="Times New Roman" w:cs="Times New Roman"/>
                <w:color w:val="00B050"/>
                <w:sz w:val="24"/>
                <w:szCs w:val="24"/>
                <w:highlight w:val="none"/>
                <w:lang w:val="en-US" w:eastAsia="zh-CN"/>
              </w:rPr>
            </w:pPr>
            <w:r>
              <w:rPr>
                <w:rFonts w:hint="eastAsia" w:ascii="Times New Roman" w:hAnsi="Times New Roman" w:cs="Times New Roman"/>
                <w:color w:val="00B050"/>
                <w:sz w:val="24"/>
                <w:szCs w:val="24"/>
                <w:highlight w:val="none"/>
                <w:lang w:val="en-US" w:eastAsia="zh-CN"/>
              </w:rPr>
              <w:t>0.680</w:t>
            </w:r>
            <w:r>
              <w:rPr>
                <w:rFonts w:hint="default" w:ascii="Times New Roman" w:hAnsi="Times New Roman" w:cs="Times New Roman"/>
                <w:color w:val="00B050"/>
                <w:sz w:val="24"/>
                <w:szCs w:val="24"/>
                <w:highlight w:val="none"/>
              </w:rPr>
              <w:t>t/a</w:t>
            </w:r>
            <w:r>
              <w:rPr>
                <w:rFonts w:hint="default" w:ascii="Times New Roman" w:hAnsi="Times New Roman" w:cs="Times New Roman"/>
                <w:color w:val="00B050"/>
                <w:sz w:val="24"/>
                <w:szCs w:val="24"/>
                <w:highlight w:val="none"/>
                <w:lang w:val="en-US" w:eastAsia="zh-CN"/>
              </w:rPr>
              <w:t xml:space="preserve"> </w:t>
            </w:r>
          </w:p>
        </w:tc>
        <w:tc>
          <w:tcPr>
            <w:tcW w:w="882" w:type="dxa"/>
            <w:gridSpan w:val="2"/>
            <w:tcBorders>
              <w:tl2br w:val="nil"/>
              <w:tr2bl w:val="nil"/>
            </w:tcBorders>
            <w:noWrap w:val="0"/>
            <w:vAlign w:val="center"/>
          </w:tcPr>
          <w:p w14:paraId="0DAB6978">
            <w:pPr>
              <w:pStyle w:val="48"/>
              <w:spacing w:beforeLines="0" w:afterLines="0"/>
              <w:rPr>
                <w:rFonts w:hint="default" w:ascii="Times New Roman" w:hAnsi="Times New Roman" w:cs="Times New Roman"/>
                <w:color w:val="00B050"/>
                <w:sz w:val="24"/>
                <w:szCs w:val="24"/>
                <w:highlight w:val="none"/>
                <w:lang w:val="en-US" w:eastAsia="zh-CN"/>
              </w:rPr>
            </w:pPr>
            <w:r>
              <w:rPr>
                <w:rFonts w:hint="eastAsia" w:ascii="Times New Roman" w:hAnsi="Times New Roman" w:cs="Times New Roman"/>
                <w:color w:val="00B050"/>
                <w:sz w:val="24"/>
                <w:szCs w:val="24"/>
                <w:highlight w:val="none"/>
                <w:lang w:val="en-US" w:eastAsia="zh-CN"/>
              </w:rPr>
              <w:t>11.806</w:t>
            </w:r>
            <w:r>
              <w:rPr>
                <w:rFonts w:hint="default" w:ascii="Times New Roman" w:hAnsi="Times New Roman" w:cs="Times New Roman"/>
                <w:color w:val="00B050"/>
                <w:sz w:val="24"/>
                <w:szCs w:val="24"/>
                <w:highlight w:val="none"/>
              </w:rPr>
              <w:t>mg/m</w:t>
            </w:r>
            <w:r>
              <w:rPr>
                <w:rFonts w:hint="default" w:ascii="Times New Roman" w:hAnsi="Times New Roman" w:cs="Times New Roman"/>
                <w:color w:val="00B050"/>
                <w:sz w:val="24"/>
                <w:szCs w:val="24"/>
                <w:highlight w:val="none"/>
                <w:vertAlign w:val="superscript"/>
              </w:rPr>
              <w:t>3</w:t>
            </w:r>
            <w:r>
              <w:rPr>
                <w:rFonts w:hint="default" w:ascii="Times New Roman" w:hAnsi="Times New Roman" w:cs="Times New Roman"/>
                <w:color w:val="00B050"/>
                <w:sz w:val="24"/>
                <w:szCs w:val="24"/>
                <w:highlight w:val="none"/>
                <w:lang w:val="en-US" w:eastAsia="zh-CN"/>
              </w:rPr>
              <w:t xml:space="preserve"> </w:t>
            </w:r>
          </w:p>
        </w:tc>
        <w:tc>
          <w:tcPr>
            <w:tcW w:w="1250" w:type="dxa"/>
            <w:gridSpan w:val="2"/>
            <w:tcBorders>
              <w:tl2br w:val="nil"/>
              <w:tr2bl w:val="nil"/>
            </w:tcBorders>
            <w:noWrap w:val="0"/>
            <w:vAlign w:val="center"/>
          </w:tcPr>
          <w:p w14:paraId="775A7C66">
            <w:pPr>
              <w:pStyle w:val="48"/>
              <w:spacing w:beforeLines="0" w:afterLines="0"/>
              <w:rPr>
                <w:rFonts w:hint="default" w:ascii="Times New Roman" w:hAnsi="Times New Roman" w:cs="Times New Roman"/>
                <w:color w:val="00B050"/>
                <w:sz w:val="24"/>
                <w:szCs w:val="24"/>
                <w:highlight w:val="none"/>
                <w:lang w:val="en-US" w:eastAsia="zh-CN"/>
              </w:rPr>
            </w:pPr>
            <w:r>
              <w:rPr>
                <w:rFonts w:hint="default" w:ascii="Times New Roman" w:hAnsi="Times New Roman" w:cs="Times New Roman"/>
                <w:color w:val="00B050"/>
                <w:sz w:val="24"/>
                <w:szCs w:val="24"/>
                <w:highlight w:val="none"/>
                <w:lang w:val="en-US" w:eastAsia="zh-CN"/>
              </w:rPr>
              <w:t>有组织排放</w:t>
            </w:r>
          </w:p>
        </w:tc>
      </w:tr>
      <w:tr w14:paraId="6D7C2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dxa"/>
          <w:trHeight w:val="283" w:hRule="atLeast"/>
        </w:trPr>
        <w:tc>
          <w:tcPr>
            <w:tcW w:w="787" w:type="dxa"/>
            <w:gridSpan w:val="2"/>
            <w:vMerge w:val="continue"/>
            <w:tcBorders>
              <w:tl2br w:val="nil"/>
              <w:tr2bl w:val="nil"/>
            </w:tcBorders>
            <w:noWrap w:val="0"/>
            <w:vAlign w:val="center"/>
          </w:tcPr>
          <w:p w14:paraId="69BD49C5">
            <w:pPr>
              <w:pStyle w:val="48"/>
              <w:spacing w:beforeLines="0" w:afterLines="0"/>
              <w:rPr>
                <w:rFonts w:hint="default" w:ascii="Times New Roman" w:hAnsi="Times New Roman" w:cs="Times New Roman"/>
                <w:color w:val="auto"/>
                <w:sz w:val="24"/>
                <w:szCs w:val="24"/>
                <w:highlight w:val="none"/>
              </w:rPr>
            </w:pPr>
          </w:p>
        </w:tc>
        <w:tc>
          <w:tcPr>
            <w:tcW w:w="1172" w:type="dxa"/>
            <w:gridSpan w:val="2"/>
            <w:tcBorders>
              <w:tl2br w:val="nil"/>
              <w:tr2bl w:val="nil"/>
            </w:tcBorders>
            <w:noWrap w:val="0"/>
            <w:vAlign w:val="center"/>
          </w:tcPr>
          <w:p w14:paraId="6B67A718">
            <w:pPr>
              <w:pStyle w:val="48"/>
              <w:spacing w:beforeLines="0" w:afterLines="0"/>
              <w:rPr>
                <w:rFonts w:hint="default" w:ascii="Times New Roman" w:hAnsi="Times New Roman" w:cs="Times New Roman"/>
                <w:color w:val="00B050"/>
                <w:sz w:val="24"/>
                <w:szCs w:val="24"/>
                <w:highlight w:val="none"/>
                <w:lang w:val="en-US" w:eastAsia="zh-CN"/>
              </w:rPr>
            </w:pPr>
            <w:r>
              <w:rPr>
                <w:rFonts w:hint="eastAsia" w:ascii="Times New Roman" w:hAnsi="Times New Roman" w:cs="Times New Roman"/>
                <w:color w:val="00B050"/>
                <w:sz w:val="24"/>
                <w:szCs w:val="24"/>
                <w:highlight w:val="none"/>
                <w:lang w:val="en-US" w:eastAsia="zh-CN"/>
              </w:rPr>
              <w:t>食堂油烟</w:t>
            </w:r>
          </w:p>
        </w:tc>
        <w:tc>
          <w:tcPr>
            <w:tcW w:w="876" w:type="dxa"/>
            <w:gridSpan w:val="2"/>
            <w:tcBorders>
              <w:tl2br w:val="nil"/>
              <w:tr2bl w:val="nil"/>
            </w:tcBorders>
            <w:noWrap w:val="0"/>
            <w:vAlign w:val="center"/>
          </w:tcPr>
          <w:p w14:paraId="7392CFCC">
            <w:pPr>
              <w:pStyle w:val="48"/>
              <w:spacing w:beforeLines="0" w:afterLines="0"/>
              <w:rPr>
                <w:rFonts w:hint="default" w:ascii="Times New Roman" w:hAnsi="Times New Roman" w:cs="Times New Roman"/>
                <w:color w:val="00B050"/>
                <w:sz w:val="24"/>
                <w:szCs w:val="24"/>
                <w:highlight w:val="none"/>
                <w:lang w:val="en-US" w:eastAsia="zh-CN"/>
              </w:rPr>
            </w:pPr>
            <w:r>
              <w:rPr>
                <w:rFonts w:hint="eastAsia" w:ascii="Times New Roman" w:hAnsi="Times New Roman" w:cs="Times New Roman"/>
                <w:color w:val="00B050"/>
                <w:sz w:val="24"/>
                <w:szCs w:val="24"/>
                <w:highlight w:val="none"/>
                <w:lang w:val="en-US" w:eastAsia="zh-CN"/>
              </w:rPr>
              <w:t>油烟</w:t>
            </w:r>
          </w:p>
        </w:tc>
        <w:tc>
          <w:tcPr>
            <w:tcW w:w="996" w:type="dxa"/>
            <w:gridSpan w:val="2"/>
            <w:tcBorders>
              <w:tl2br w:val="nil"/>
              <w:tr2bl w:val="nil"/>
            </w:tcBorders>
            <w:noWrap w:val="0"/>
            <w:vAlign w:val="center"/>
          </w:tcPr>
          <w:p w14:paraId="2DBE115B">
            <w:pPr>
              <w:pStyle w:val="48"/>
              <w:spacing w:beforeLines="0" w:afterLines="0"/>
              <w:rPr>
                <w:rFonts w:hint="default" w:ascii="Times New Roman" w:hAnsi="Times New Roman" w:cs="Times New Roman"/>
                <w:color w:val="00B050"/>
                <w:sz w:val="24"/>
                <w:szCs w:val="24"/>
                <w:highlight w:val="none"/>
                <w:lang w:val="en-US" w:eastAsia="zh-CN"/>
              </w:rPr>
            </w:pPr>
            <w:r>
              <w:rPr>
                <w:rFonts w:hint="eastAsia" w:ascii="Times New Roman" w:hAnsi="Times New Roman" w:cs="Times New Roman"/>
                <w:color w:val="00B050"/>
                <w:sz w:val="24"/>
                <w:szCs w:val="24"/>
                <w:highlight w:val="none"/>
                <w:lang w:val="en-US" w:eastAsia="zh-CN"/>
              </w:rPr>
              <w:t>5.433kg/a</w:t>
            </w:r>
          </w:p>
        </w:tc>
        <w:tc>
          <w:tcPr>
            <w:tcW w:w="2004" w:type="dxa"/>
            <w:gridSpan w:val="2"/>
            <w:tcBorders>
              <w:tl2br w:val="nil"/>
              <w:tr2bl w:val="nil"/>
            </w:tcBorders>
            <w:noWrap w:val="0"/>
            <w:vAlign w:val="center"/>
          </w:tcPr>
          <w:p w14:paraId="0717A51C">
            <w:pPr>
              <w:pStyle w:val="48"/>
              <w:spacing w:beforeLines="0" w:afterLines="0"/>
              <w:rPr>
                <w:rFonts w:hint="default" w:ascii="Times New Roman" w:hAnsi="Times New Roman" w:cs="Times New Roman"/>
                <w:color w:val="00B050"/>
                <w:sz w:val="24"/>
                <w:szCs w:val="24"/>
                <w:highlight w:val="none"/>
                <w:lang w:val="en-US" w:eastAsia="zh-CN"/>
              </w:rPr>
            </w:pPr>
            <w:r>
              <w:rPr>
                <w:rFonts w:hint="eastAsia" w:ascii="Times New Roman" w:hAnsi="Times New Roman" w:cs="Times New Roman"/>
                <w:color w:val="00B050"/>
                <w:sz w:val="24"/>
                <w:szCs w:val="24"/>
                <w:highlight w:val="none"/>
                <w:lang w:val="en-US" w:eastAsia="zh-CN"/>
              </w:rPr>
              <w:t>油烟净化器</w:t>
            </w:r>
          </w:p>
        </w:tc>
        <w:tc>
          <w:tcPr>
            <w:tcW w:w="1200" w:type="dxa"/>
            <w:gridSpan w:val="2"/>
            <w:tcBorders>
              <w:tl2br w:val="nil"/>
              <w:tr2bl w:val="nil"/>
            </w:tcBorders>
            <w:noWrap w:val="0"/>
            <w:vAlign w:val="center"/>
          </w:tcPr>
          <w:p w14:paraId="617C02A8">
            <w:pPr>
              <w:pStyle w:val="48"/>
              <w:spacing w:beforeLines="0" w:afterLines="0"/>
              <w:rPr>
                <w:rFonts w:hint="default" w:ascii="Times New Roman" w:hAnsi="Times New Roman" w:cs="Times New Roman"/>
                <w:color w:val="00B050"/>
                <w:sz w:val="24"/>
                <w:szCs w:val="24"/>
                <w:highlight w:val="none"/>
                <w:lang w:val="en-US" w:eastAsia="zh-CN"/>
              </w:rPr>
            </w:pPr>
            <w:r>
              <w:rPr>
                <w:rFonts w:hint="eastAsia" w:ascii="Times New Roman" w:hAnsi="Times New Roman" w:cs="Times New Roman"/>
                <w:color w:val="00B050"/>
                <w:sz w:val="24"/>
                <w:szCs w:val="24"/>
                <w:highlight w:val="none"/>
                <w:lang w:val="en-US" w:eastAsia="zh-CN"/>
              </w:rPr>
              <w:t>1.358kg/a</w:t>
            </w:r>
          </w:p>
        </w:tc>
        <w:tc>
          <w:tcPr>
            <w:tcW w:w="882" w:type="dxa"/>
            <w:gridSpan w:val="2"/>
            <w:tcBorders>
              <w:tl2br w:val="nil"/>
              <w:tr2bl w:val="nil"/>
            </w:tcBorders>
            <w:noWrap w:val="0"/>
            <w:vAlign w:val="center"/>
          </w:tcPr>
          <w:p w14:paraId="35C5DEF0">
            <w:pPr>
              <w:pStyle w:val="48"/>
              <w:spacing w:beforeLines="0" w:afterLines="0"/>
              <w:rPr>
                <w:rFonts w:hint="default" w:ascii="Times New Roman" w:hAnsi="Times New Roman" w:cs="Times New Roman"/>
                <w:color w:val="00B050"/>
                <w:sz w:val="24"/>
                <w:szCs w:val="24"/>
                <w:highlight w:val="none"/>
                <w:lang w:val="en-US" w:eastAsia="zh-CN"/>
              </w:rPr>
            </w:pPr>
            <w:r>
              <w:rPr>
                <w:rFonts w:hint="eastAsia" w:ascii="Times New Roman" w:hAnsi="Times New Roman" w:cs="Times New Roman"/>
                <w:color w:val="00B050"/>
                <w:sz w:val="24"/>
                <w:szCs w:val="24"/>
                <w:highlight w:val="none"/>
                <w:lang w:val="en-US" w:eastAsia="zh-CN"/>
              </w:rPr>
              <w:t>0.8</w:t>
            </w:r>
            <w:r>
              <w:rPr>
                <w:rFonts w:hint="default" w:ascii="Times New Roman" w:hAnsi="Times New Roman" w:cs="Times New Roman"/>
                <w:color w:val="00B050"/>
                <w:sz w:val="24"/>
                <w:szCs w:val="24"/>
                <w:highlight w:val="none"/>
              </w:rPr>
              <w:t>mg/m</w:t>
            </w:r>
            <w:r>
              <w:rPr>
                <w:rFonts w:hint="default" w:ascii="Times New Roman" w:hAnsi="Times New Roman" w:cs="Times New Roman"/>
                <w:color w:val="00B050"/>
                <w:sz w:val="24"/>
                <w:szCs w:val="24"/>
                <w:highlight w:val="none"/>
                <w:vertAlign w:val="superscript"/>
              </w:rPr>
              <w:t>3</w:t>
            </w:r>
          </w:p>
        </w:tc>
        <w:tc>
          <w:tcPr>
            <w:tcW w:w="1250" w:type="dxa"/>
            <w:gridSpan w:val="2"/>
            <w:tcBorders>
              <w:tl2br w:val="nil"/>
              <w:tr2bl w:val="nil"/>
            </w:tcBorders>
            <w:noWrap w:val="0"/>
            <w:vAlign w:val="center"/>
          </w:tcPr>
          <w:p w14:paraId="33DE89ED">
            <w:pPr>
              <w:pStyle w:val="48"/>
              <w:spacing w:beforeLines="0" w:afterLines="0"/>
              <w:rPr>
                <w:rFonts w:hint="eastAsia" w:ascii="Times New Roman" w:hAnsi="Times New Roman" w:eastAsia="宋体" w:cs="Times New Roman"/>
                <w:color w:val="00B050"/>
                <w:sz w:val="24"/>
                <w:szCs w:val="24"/>
                <w:highlight w:val="none"/>
                <w:lang w:val="en-US" w:eastAsia="zh-CN"/>
              </w:rPr>
            </w:pPr>
            <w:r>
              <w:rPr>
                <w:rFonts w:hint="eastAsia" w:ascii="Times New Roman" w:hAnsi="Times New Roman" w:cs="Times New Roman"/>
                <w:color w:val="00B050"/>
                <w:sz w:val="24"/>
                <w:szCs w:val="24"/>
                <w:highlight w:val="none"/>
                <w:lang w:val="en-US" w:eastAsia="zh-CN"/>
              </w:rPr>
              <w:t>无组织</w:t>
            </w:r>
          </w:p>
        </w:tc>
      </w:tr>
      <w:tr w14:paraId="09AA5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dxa"/>
          <w:trHeight w:val="369" w:hRule="atLeast"/>
        </w:trPr>
        <w:tc>
          <w:tcPr>
            <w:tcW w:w="787" w:type="dxa"/>
            <w:gridSpan w:val="2"/>
            <w:vMerge w:val="restart"/>
            <w:tcBorders>
              <w:tl2br w:val="nil"/>
              <w:tr2bl w:val="nil"/>
            </w:tcBorders>
            <w:noWrap w:val="0"/>
            <w:vAlign w:val="center"/>
          </w:tcPr>
          <w:p w14:paraId="47019ADA">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废水</w:t>
            </w:r>
          </w:p>
        </w:tc>
        <w:tc>
          <w:tcPr>
            <w:tcW w:w="1172" w:type="dxa"/>
            <w:gridSpan w:val="2"/>
            <w:vMerge w:val="restart"/>
            <w:tcBorders>
              <w:tl2br w:val="nil"/>
              <w:tr2bl w:val="nil"/>
            </w:tcBorders>
            <w:noWrap w:val="0"/>
            <w:vAlign w:val="center"/>
          </w:tcPr>
          <w:p w14:paraId="6FE85AD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生活污水</w:t>
            </w:r>
          </w:p>
          <w:p w14:paraId="2DCBE33A">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768</w:t>
            </w:r>
            <w:r>
              <w:rPr>
                <w:rFonts w:hint="default" w:ascii="Times New Roman" w:hAnsi="Times New Roman" w:cs="Times New Roman"/>
                <w:color w:val="auto"/>
                <w:sz w:val="24"/>
                <w:szCs w:val="24"/>
                <w:highlight w:val="none"/>
              </w:rPr>
              <w:t>m</w:t>
            </w:r>
          </w:p>
          <w:p w14:paraId="4D4D45EC">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/a）</w:t>
            </w:r>
          </w:p>
        </w:tc>
        <w:tc>
          <w:tcPr>
            <w:tcW w:w="876" w:type="dxa"/>
            <w:gridSpan w:val="2"/>
            <w:tcBorders>
              <w:tl2br w:val="nil"/>
              <w:tr2bl w:val="nil"/>
            </w:tcBorders>
            <w:noWrap w:val="0"/>
            <w:vAlign w:val="center"/>
          </w:tcPr>
          <w:p w14:paraId="5453DAAA">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SS</w:t>
            </w:r>
          </w:p>
        </w:tc>
        <w:tc>
          <w:tcPr>
            <w:tcW w:w="996" w:type="dxa"/>
            <w:gridSpan w:val="2"/>
            <w:tcBorders>
              <w:tl2br w:val="nil"/>
              <w:tr2bl w:val="nil"/>
            </w:tcBorders>
            <w:noWrap w:val="0"/>
            <w:vAlign w:val="center"/>
          </w:tcPr>
          <w:p w14:paraId="3E9EAAC6">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0.269</w:t>
            </w:r>
            <w:r>
              <w:rPr>
                <w:rFonts w:hint="default" w:ascii="Times New Roman" w:hAnsi="Times New Roman" w:cs="Times New Roman"/>
                <w:color w:val="auto"/>
                <w:sz w:val="24"/>
                <w:szCs w:val="24"/>
                <w:highlight w:val="none"/>
              </w:rPr>
              <w:t>t/a</w:t>
            </w:r>
          </w:p>
        </w:tc>
        <w:tc>
          <w:tcPr>
            <w:tcW w:w="2004" w:type="dxa"/>
            <w:gridSpan w:val="2"/>
            <w:vMerge w:val="restart"/>
            <w:tcBorders>
              <w:tl2br w:val="nil"/>
              <w:tr2bl w:val="nil"/>
            </w:tcBorders>
            <w:noWrap w:val="0"/>
            <w:vAlign w:val="center"/>
          </w:tcPr>
          <w:p w14:paraId="51F6D6D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经一体化污水处理设施处理后回用于厂区洒水降尘</w:t>
            </w:r>
          </w:p>
        </w:tc>
        <w:tc>
          <w:tcPr>
            <w:tcW w:w="1200" w:type="dxa"/>
            <w:gridSpan w:val="2"/>
            <w:tcBorders>
              <w:tl2br w:val="nil"/>
              <w:tr2bl w:val="nil"/>
            </w:tcBorders>
            <w:noWrap w:val="0"/>
            <w:vAlign w:val="center"/>
          </w:tcPr>
          <w:p w14:paraId="7C1BFF0F">
            <w:pPr>
              <w:pStyle w:val="48"/>
              <w:spacing w:beforeLines="0" w:afterLines="0"/>
              <w:rPr>
                <w:rFonts w:hint="default" w:ascii="Times New Roman" w:hAnsi="Times New Roman" w:cs="Times New Roman"/>
                <w:color w:val="auto"/>
                <w:sz w:val="24"/>
                <w:szCs w:val="24"/>
                <w:highlight w:val="none"/>
                <w:lang w:val="en-US"/>
              </w:rPr>
            </w:pPr>
            <w:r>
              <w:rPr>
                <w:rFonts w:hint="default" w:ascii="Times New Roman" w:hAnsi="Times New Roman" w:cs="Times New Roman"/>
                <w:color w:val="auto"/>
                <w:sz w:val="24"/>
                <w:szCs w:val="24"/>
                <w:highlight w:val="none"/>
                <w:lang w:val="en-US" w:eastAsia="zh-CN"/>
              </w:rPr>
              <w:t>0.115</w:t>
            </w:r>
            <w:r>
              <w:rPr>
                <w:rFonts w:hint="default" w:ascii="Times New Roman" w:hAnsi="Times New Roman" w:cs="Times New Roman"/>
                <w:color w:val="auto"/>
                <w:sz w:val="24"/>
                <w:szCs w:val="24"/>
                <w:highlight w:val="none"/>
              </w:rPr>
              <w:t>t/a</w:t>
            </w:r>
          </w:p>
        </w:tc>
        <w:tc>
          <w:tcPr>
            <w:tcW w:w="882" w:type="dxa"/>
            <w:gridSpan w:val="2"/>
            <w:tcBorders>
              <w:tl2br w:val="nil"/>
              <w:tr2bl w:val="nil"/>
            </w:tcBorders>
            <w:noWrap w:val="0"/>
            <w:vAlign w:val="center"/>
          </w:tcPr>
          <w:p w14:paraId="2BEC51A1">
            <w:pPr>
              <w:pStyle w:val="48"/>
              <w:spacing w:beforeLines="0" w:afterLines="0"/>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150</w:t>
            </w:r>
            <w:r>
              <w:rPr>
                <w:rFonts w:hint="default" w:ascii="Times New Roman" w:hAnsi="Times New Roman" w:cs="Times New Roman"/>
                <w:color w:val="auto"/>
                <w:sz w:val="24"/>
                <w:szCs w:val="24"/>
                <w:highlight w:val="none"/>
              </w:rPr>
              <w:t>mg/</w:t>
            </w:r>
            <w:r>
              <w:rPr>
                <w:rFonts w:hint="eastAsia" w:ascii="Times New Roman" w:hAnsi="Times New Roman" w:cs="Times New Roman"/>
                <w:color w:val="auto"/>
                <w:sz w:val="24"/>
                <w:szCs w:val="24"/>
                <w:highlight w:val="none"/>
                <w:lang w:val="en-US" w:eastAsia="zh-CN"/>
              </w:rPr>
              <w:t>L</w:t>
            </w:r>
          </w:p>
        </w:tc>
        <w:tc>
          <w:tcPr>
            <w:tcW w:w="1250" w:type="dxa"/>
            <w:gridSpan w:val="2"/>
            <w:vMerge w:val="restart"/>
            <w:tcBorders>
              <w:tl2br w:val="nil"/>
              <w:tr2bl w:val="nil"/>
            </w:tcBorders>
            <w:noWrap w:val="0"/>
            <w:vAlign w:val="top"/>
          </w:tcPr>
          <w:p w14:paraId="598B3038">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经一体化污水处理设施处理后回用于厂区洒水降尘和绿化</w:t>
            </w:r>
          </w:p>
        </w:tc>
      </w:tr>
      <w:tr w14:paraId="7325B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dxa"/>
          <w:trHeight w:val="713" w:hRule="atLeast"/>
        </w:trPr>
        <w:tc>
          <w:tcPr>
            <w:tcW w:w="787" w:type="dxa"/>
            <w:gridSpan w:val="2"/>
            <w:vMerge w:val="continue"/>
            <w:tcBorders>
              <w:tl2br w:val="nil"/>
              <w:tr2bl w:val="nil"/>
            </w:tcBorders>
            <w:noWrap w:val="0"/>
            <w:vAlign w:val="center"/>
          </w:tcPr>
          <w:p w14:paraId="33047B8F">
            <w:pPr>
              <w:pStyle w:val="48"/>
              <w:spacing w:beforeLines="0" w:afterLines="0"/>
              <w:rPr>
                <w:rFonts w:hint="default" w:ascii="Times New Roman" w:hAnsi="Times New Roman" w:cs="Times New Roman"/>
                <w:color w:val="auto"/>
                <w:sz w:val="24"/>
                <w:szCs w:val="24"/>
                <w:highlight w:val="none"/>
              </w:rPr>
            </w:pPr>
          </w:p>
        </w:tc>
        <w:tc>
          <w:tcPr>
            <w:tcW w:w="1172" w:type="dxa"/>
            <w:gridSpan w:val="2"/>
            <w:vMerge w:val="continue"/>
            <w:tcBorders>
              <w:tl2br w:val="nil"/>
              <w:tr2bl w:val="nil"/>
            </w:tcBorders>
            <w:noWrap w:val="0"/>
            <w:vAlign w:val="center"/>
          </w:tcPr>
          <w:p w14:paraId="511A2430">
            <w:pPr>
              <w:pStyle w:val="48"/>
              <w:spacing w:beforeLines="0" w:afterLines="0"/>
              <w:rPr>
                <w:rFonts w:hint="default" w:ascii="Times New Roman" w:hAnsi="Times New Roman" w:cs="Times New Roman"/>
                <w:color w:val="auto"/>
                <w:sz w:val="24"/>
                <w:szCs w:val="24"/>
                <w:highlight w:val="none"/>
              </w:rPr>
            </w:pPr>
          </w:p>
        </w:tc>
        <w:tc>
          <w:tcPr>
            <w:tcW w:w="876" w:type="dxa"/>
            <w:gridSpan w:val="2"/>
            <w:tcBorders>
              <w:tl2br w:val="nil"/>
              <w:tr2bl w:val="nil"/>
            </w:tcBorders>
            <w:noWrap w:val="0"/>
            <w:vAlign w:val="center"/>
          </w:tcPr>
          <w:p w14:paraId="79102DCF">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COD</w:t>
            </w:r>
          </w:p>
        </w:tc>
        <w:tc>
          <w:tcPr>
            <w:tcW w:w="996" w:type="dxa"/>
            <w:gridSpan w:val="2"/>
            <w:tcBorders>
              <w:tl2br w:val="nil"/>
              <w:tr2bl w:val="nil"/>
            </w:tcBorders>
            <w:noWrap w:val="0"/>
            <w:vAlign w:val="center"/>
          </w:tcPr>
          <w:p w14:paraId="59150615">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0.246</w:t>
            </w:r>
            <w:r>
              <w:rPr>
                <w:rFonts w:hint="default" w:ascii="Times New Roman" w:hAnsi="Times New Roman" w:cs="Times New Roman"/>
                <w:color w:val="auto"/>
                <w:sz w:val="24"/>
                <w:szCs w:val="24"/>
                <w:highlight w:val="none"/>
              </w:rPr>
              <w:t>t/a</w:t>
            </w:r>
          </w:p>
        </w:tc>
        <w:tc>
          <w:tcPr>
            <w:tcW w:w="2004" w:type="dxa"/>
            <w:gridSpan w:val="2"/>
            <w:vMerge w:val="continue"/>
            <w:tcBorders>
              <w:tl2br w:val="nil"/>
              <w:tr2bl w:val="nil"/>
            </w:tcBorders>
            <w:noWrap w:val="0"/>
            <w:vAlign w:val="center"/>
          </w:tcPr>
          <w:p w14:paraId="7415E1AD">
            <w:pPr>
              <w:pStyle w:val="48"/>
              <w:spacing w:beforeLines="0" w:afterLines="0"/>
              <w:rPr>
                <w:rFonts w:hint="default" w:ascii="Times New Roman" w:hAnsi="Times New Roman" w:cs="Times New Roman"/>
                <w:color w:val="auto"/>
                <w:sz w:val="24"/>
                <w:szCs w:val="24"/>
                <w:highlight w:val="none"/>
              </w:rPr>
            </w:pPr>
          </w:p>
        </w:tc>
        <w:tc>
          <w:tcPr>
            <w:tcW w:w="1200" w:type="dxa"/>
            <w:gridSpan w:val="2"/>
            <w:tcBorders>
              <w:tl2br w:val="nil"/>
              <w:tr2bl w:val="nil"/>
            </w:tcBorders>
            <w:noWrap w:val="0"/>
            <w:vAlign w:val="center"/>
          </w:tcPr>
          <w:p w14:paraId="28157F01">
            <w:pPr>
              <w:pStyle w:val="48"/>
              <w:spacing w:beforeLines="0" w:afterLines="0"/>
              <w:rPr>
                <w:rFonts w:hint="default" w:ascii="Times New Roman" w:hAnsi="Times New Roman" w:cs="Times New Roman"/>
                <w:color w:val="auto"/>
                <w:sz w:val="24"/>
                <w:szCs w:val="24"/>
                <w:highlight w:val="none"/>
                <w:lang w:val="en-US"/>
              </w:rPr>
            </w:pPr>
            <w:r>
              <w:rPr>
                <w:rFonts w:hint="default" w:ascii="Times New Roman" w:hAnsi="Times New Roman" w:cs="Times New Roman"/>
                <w:color w:val="auto"/>
                <w:sz w:val="24"/>
                <w:szCs w:val="24"/>
                <w:highlight w:val="none"/>
                <w:lang w:val="en-US" w:eastAsia="zh-CN"/>
              </w:rPr>
              <w:t>0.115</w:t>
            </w:r>
            <w:r>
              <w:rPr>
                <w:rFonts w:hint="default" w:ascii="Times New Roman" w:hAnsi="Times New Roman" w:cs="Times New Roman"/>
                <w:color w:val="auto"/>
                <w:sz w:val="24"/>
                <w:szCs w:val="24"/>
                <w:highlight w:val="none"/>
              </w:rPr>
              <w:t>t/a</w:t>
            </w:r>
          </w:p>
        </w:tc>
        <w:tc>
          <w:tcPr>
            <w:tcW w:w="882" w:type="dxa"/>
            <w:gridSpan w:val="2"/>
            <w:tcBorders>
              <w:tl2br w:val="nil"/>
              <w:tr2bl w:val="nil"/>
            </w:tcBorders>
            <w:noWrap w:val="0"/>
            <w:vAlign w:val="center"/>
          </w:tcPr>
          <w:p w14:paraId="49A87547">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150</w:t>
            </w:r>
            <w:r>
              <w:rPr>
                <w:rFonts w:hint="default" w:ascii="Times New Roman" w:hAnsi="Times New Roman" w:cs="Times New Roman"/>
                <w:color w:val="auto"/>
                <w:sz w:val="24"/>
                <w:szCs w:val="24"/>
                <w:highlight w:val="none"/>
              </w:rPr>
              <w:t>mg/</w:t>
            </w:r>
            <w:r>
              <w:rPr>
                <w:rFonts w:hint="eastAsia" w:ascii="Times New Roman" w:hAnsi="Times New Roman" w:cs="Times New Roman"/>
                <w:color w:val="auto"/>
                <w:sz w:val="24"/>
                <w:szCs w:val="24"/>
                <w:highlight w:val="none"/>
                <w:lang w:val="en-US" w:eastAsia="zh-CN"/>
              </w:rPr>
              <w:t>L</w:t>
            </w:r>
          </w:p>
        </w:tc>
        <w:tc>
          <w:tcPr>
            <w:tcW w:w="1250" w:type="dxa"/>
            <w:gridSpan w:val="2"/>
            <w:vMerge w:val="continue"/>
            <w:tcBorders>
              <w:tl2br w:val="nil"/>
              <w:tr2bl w:val="nil"/>
            </w:tcBorders>
            <w:noWrap w:val="0"/>
            <w:vAlign w:val="top"/>
          </w:tcPr>
          <w:p w14:paraId="7F117764">
            <w:pPr>
              <w:pStyle w:val="48"/>
              <w:spacing w:beforeLines="0" w:afterLines="0"/>
              <w:rPr>
                <w:rFonts w:hint="default" w:ascii="Times New Roman" w:hAnsi="Times New Roman" w:cs="Times New Roman"/>
                <w:color w:val="auto"/>
                <w:sz w:val="24"/>
                <w:szCs w:val="24"/>
                <w:highlight w:val="none"/>
              </w:rPr>
            </w:pPr>
          </w:p>
        </w:tc>
      </w:tr>
      <w:tr w14:paraId="73793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dxa"/>
          <w:trHeight w:val="462" w:hRule="atLeast"/>
        </w:trPr>
        <w:tc>
          <w:tcPr>
            <w:tcW w:w="787" w:type="dxa"/>
            <w:gridSpan w:val="2"/>
            <w:vMerge w:val="continue"/>
            <w:tcBorders>
              <w:tl2br w:val="nil"/>
              <w:tr2bl w:val="nil"/>
            </w:tcBorders>
            <w:noWrap w:val="0"/>
            <w:vAlign w:val="center"/>
          </w:tcPr>
          <w:p w14:paraId="4DF33AF4">
            <w:pPr>
              <w:pStyle w:val="48"/>
              <w:spacing w:beforeLines="0" w:afterLines="0"/>
              <w:rPr>
                <w:rFonts w:hint="default" w:ascii="Times New Roman" w:hAnsi="Times New Roman" w:cs="Times New Roman"/>
                <w:color w:val="auto"/>
                <w:sz w:val="24"/>
                <w:szCs w:val="24"/>
                <w:highlight w:val="none"/>
              </w:rPr>
            </w:pPr>
          </w:p>
        </w:tc>
        <w:tc>
          <w:tcPr>
            <w:tcW w:w="1172" w:type="dxa"/>
            <w:gridSpan w:val="2"/>
            <w:vMerge w:val="continue"/>
            <w:tcBorders>
              <w:tl2br w:val="nil"/>
              <w:tr2bl w:val="nil"/>
            </w:tcBorders>
            <w:noWrap w:val="0"/>
            <w:vAlign w:val="center"/>
          </w:tcPr>
          <w:p w14:paraId="0102081A">
            <w:pPr>
              <w:pStyle w:val="48"/>
              <w:spacing w:beforeLines="0" w:afterLines="0"/>
              <w:rPr>
                <w:rFonts w:hint="default" w:ascii="Times New Roman" w:hAnsi="Times New Roman" w:cs="Times New Roman"/>
                <w:color w:val="auto"/>
                <w:sz w:val="24"/>
                <w:szCs w:val="24"/>
                <w:highlight w:val="none"/>
              </w:rPr>
            </w:pPr>
          </w:p>
        </w:tc>
        <w:tc>
          <w:tcPr>
            <w:tcW w:w="876" w:type="dxa"/>
            <w:gridSpan w:val="2"/>
            <w:tcBorders>
              <w:tl2br w:val="nil"/>
              <w:tr2bl w:val="nil"/>
            </w:tcBorders>
            <w:noWrap w:val="0"/>
            <w:vAlign w:val="center"/>
          </w:tcPr>
          <w:p w14:paraId="7AB43F0F">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BOD</w:t>
            </w:r>
            <w:r>
              <w:rPr>
                <w:rFonts w:hint="default" w:ascii="Times New Roman" w:hAnsi="Times New Roman" w:cs="Times New Roman"/>
                <w:color w:val="auto"/>
                <w:sz w:val="24"/>
                <w:szCs w:val="24"/>
                <w:highlight w:val="none"/>
                <w:vertAlign w:val="subscript"/>
                <w:lang w:val="en-US" w:eastAsia="zh-CN"/>
              </w:rPr>
              <w:t>5</w:t>
            </w:r>
          </w:p>
        </w:tc>
        <w:tc>
          <w:tcPr>
            <w:tcW w:w="996" w:type="dxa"/>
            <w:gridSpan w:val="2"/>
            <w:tcBorders>
              <w:tl2br w:val="nil"/>
              <w:tr2bl w:val="nil"/>
            </w:tcBorders>
            <w:noWrap w:val="0"/>
            <w:vAlign w:val="center"/>
          </w:tcPr>
          <w:p w14:paraId="15B22EA4">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0.169</w:t>
            </w:r>
            <w:r>
              <w:rPr>
                <w:rFonts w:hint="default" w:ascii="Times New Roman" w:hAnsi="Times New Roman" w:cs="Times New Roman"/>
                <w:color w:val="auto"/>
                <w:sz w:val="24"/>
                <w:szCs w:val="24"/>
                <w:highlight w:val="none"/>
              </w:rPr>
              <w:t>t/a</w:t>
            </w:r>
          </w:p>
        </w:tc>
        <w:tc>
          <w:tcPr>
            <w:tcW w:w="2004" w:type="dxa"/>
            <w:gridSpan w:val="2"/>
            <w:vMerge w:val="continue"/>
            <w:tcBorders>
              <w:tl2br w:val="nil"/>
              <w:tr2bl w:val="nil"/>
            </w:tcBorders>
            <w:noWrap w:val="0"/>
            <w:vAlign w:val="center"/>
          </w:tcPr>
          <w:p w14:paraId="294A762F">
            <w:pPr>
              <w:pStyle w:val="48"/>
              <w:spacing w:beforeLines="0" w:afterLines="0"/>
              <w:rPr>
                <w:rFonts w:hint="default" w:ascii="Times New Roman" w:hAnsi="Times New Roman" w:cs="Times New Roman"/>
                <w:color w:val="auto"/>
                <w:sz w:val="24"/>
                <w:szCs w:val="24"/>
                <w:highlight w:val="none"/>
              </w:rPr>
            </w:pPr>
          </w:p>
        </w:tc>
        <w:tc>
          <w:tcPr>
            <w:tcW w:w="1200" w:type="dxa"/>
            <w:gridSpan w:val="2"/>
            <w:tcBorders>
              <w:tl2br w:val="nil"/>
              <w:tr2bl w:val="nil"/>
            </w:tcBorders>
            <w:noWrap w:val="0"/>
            <w:vAlign w:val="center"/>
          </w:tcPr>
          <w:p w14:paraId="2A5D483C">
            <w:pPr>
              <w:pStyle w:val="48"/>
              <w:spacing w:beforeLines="0" w:afterLines="0"/>
              <w:rPr>
                <w:rFonts w:hint="default" w:ascii="Times New Roman" w:hAnsi="Times New Roman" w:cs="Times New Roman"/>
                <w:color w:val="auto"/>
                <w:sz w:val="24"/>
                <w:szCs w:val="24"/>
                <w:highlight w:val="none"/>
                <w:lang w:val="en-US"/>
              </w:rPr>
            </w:pPr>
            <w:r>
              <w:rPr>
                <w:rFonts w:hint="default" w:ascii="Times New Roman" w:hAnsi="Times New Roman" w:cs="Times New Roman"/>
                <w:color w:val="auto"/>
                <w:sz w:val="24"/>
                <w:szCs w:val="24"/>
                <w:highlight w:val="none"/>
                <w:lang w:val="en-US" w:eastAsia="zh-CN"/>
              </w:rPr>
              <w:t>0.023</w:t>
            </w:r>
            <w:r>
              <w:rPr>
                <w:rFonts w:hint="default" w:ascii="Times New Roman" w:hAnsi="Times New Roman" w:cs="Times New Roman"/>
                <w:color w:val="auto"/>
                <w:sz w:val="24"/>
                <w:szCs w:val="24"/>
                <w:highlight w:val="none"/>
              </w:rPr>
              <w:t>t/a</w:t>
            </w:r>
          </w:p>
        </w:tc>
        <w:tc>
          <w:tcPr>
            <w:tcW w:w="882" w:type="dxa"/>
            <w:gridSpan w:val="2"/>
            <w:tcBorders>
              <w:tl2br w:val="nil"/>
              <w:tr2bl w:val="nil"/>
            </w:tcBorders>
            <w:noWrap w:val="0"/>
            <w:vAlign w:val="center"/>
          </w:tcPr>
          <w:p w14:paraId="58AD07ED">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30</w:t>
            </w:r>
            <w:r>
              <w:rPr>
                <w:rFonts w:hint="default" w:ascii="Times New Roman" w:hAnsi="Times New Roman" w:cs="Times New Roman"/>
                <w:color w:val="auto"/>
                <w:sz w:val="24"/>
                <w:szCs w:val="24"/>
                <w:highlight w:val="none"/>
              </w:rPr>
              <w:t>mg/</w:t>
            </w:r>
            <w:r>
              <w:rPr>
                <w:rFonts w:hint="eastAsia" w:ascii="Times New Roman" w:hAnsi="Times New Roman" w:cs="Times New Roman"/>
                <w:color w:val="auto"/>
                <w:sz w:val="24"/>
                <w:szCs w:val="24"/>
                <w:highlight w:val="none"/>
                <w:lang w:val="en-US" w:eastAsia="zh-CN"/>
              </w:rPr>
              <w:t>L</w:t>
            </w:r>
          </w:p>
        </w:tc>
        <w:tc>
          <w:tcPr>
            <w:tcW w:w="1250" w:type="dxa"/>
            <w:gridSpan w:val="2"/>
            <w:vMerge w:val="continue"/>
            <w:tcBorders>
              <w:tl2br w:val="nil"/>
              <w:tr2bl w:val="nil"/>
            </w:tcBorders>
            <w:noWrap w:val="0"/>
            <w:vAlign w:val="top"/>
          </w:tcPr>
          <w:p w14:paraId="307FB215">
            <w:pPr>
              <w:pStyle w:val="48"/>
              <w:spacing w:beforeLines="0" w:afterLines="0"/>
              <w:rPr>
                <w:rFonts w:hint="default" w:ascii="Times New Roman" w:hAnsi="Times New Roman" w:cs="Times New Roman"/>
                <w:color w:val="auto"/>
                <w:sz w:val="24"/>
                <w:szCs w:val="24"/>
                <w:highlight w:val="none"/>
              </w:rPr>
            </w:pPr>
          </w:p>
        </w:tc>
      </w:tr>
      <w:tr w14:paraId="3C3AE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dxa"/>
          <w:trHeight w:val="613" w:hRule="atLeast"/>
        </w:trPr>
        <w:tc>
          <w:tcPr>
            <w:tcW w:w="787" w:type="dxa"/>
            <w:gridSpan w:val="2"/>
            <w:vMerge w:val="continue"/>
            <w:tcBorders>
              <w:tl2br w:val="nil"/>
              <w:tr2bl w:val="nil"/>
            </w:tcBorders>
            <w:noWrap w:val="0"/>
            <w:vAlign w:val="center"/>
          </w:tcPr>
          <w:p w14:paraId="16987A09">
            <w:pPr>
              <w:pStyle w:val="48"/>
              <w:spacing w:beforeLines="0" w:afterLines="0"/>
              <w:rPr>
                <w:rFonts w:hint="default" w:ascii="Times New Roman" w:hAnsi="Times New Roman" w:cs="Times New Roman"/>
                <w:color w:val="auto"/>
                <w:sz w:val="24"/>
                <w:szCs w:val="24"/>
                <w:highlight w:val="none"/>
              </w:rPr>
            </w:pPr>
          </w:p>
        </w:tc>
        <w:tc>
          <w:tcPr>
            <w:tcW w:w="1172" w:type="dxa"/>
            <w:gridSpan w:val="2"/>
            <w:vMerge w:val="continue"/>
            <w:tcBorders>
              <w:tl2br w:val="nil"/>
              <w:tr2bl w:val="nil"/>
            </w:tcBorders>
            <w:noWrap w:val="0"/>
            <w:vAlign w:val="center"/>
          </w:tcPr>
          <w:p w14:paraId="6759F8A6">
            <w:pPr>
              <w:pStyle w:val="48"/>
              <w:spacing w:beforeLines="0" w:afterLines="0"/>
              <w:rPr>
                <w:rFonts w:hint="default" w:ascii="Times New Roman" w:hAnsi="Times New Roman" w:cs="Times New Roman"/>
                <w:color w:val="auto"/>
                <w:sz w:val="24"/>
                <w:szCs w:val="24"/>
                <w:highlight w:val="none"/>
              </w:rPr>
            </w:pPr>
          </w:p>
        </w:tc>
        <w:tc>
          <w:tcPr>
            <w:tcW w:w="876" w:type="dxa"/>
            <w:gridSpan w:val="2"/>
            <w:tcBorders>
              <w:tl2br w:val="nil"/>
              <w:tr2bl w:val="nil"/>
            </w:tcBorders>
            <w:noWrap w:val="0"/>
            <w:vAlign w:val="center"/>
          </w:tcPr>
          <w:p w14:paraId="2AFB5177">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NH</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-N</w:t>
            </w:r>
          </w:p>
        </w:tc>
        <w:tc>
          <w:tcPr>
            <w:tcW w:w="996" w:type="dxa"/>
            <w:gridSpan w:val="2"/>
            <w:tcBorders>
              <w:tl2br w:val="nil"/>
              <w:tr2bl w:val="nil"/>
            </w:tcBorders>
            <w:noWrap w:val="0"/>
            <w:vAlign w:val="center"/>
          </w:tcPr>
          <w:p w14:paraId="08A750AA">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0.023</w:t>
            </w:r>
            <w:r>
              <w:rPr>
                <w:rFonts w:hint="default" w:ascii="Times New Roman" w:hAnsi="Times New Roman" w:cs="Times New Roman"/>
                <w:color w:val="auto"/>
                <w:sz w:val="24"/>
                <w:szCs w:val="24"/>
                <w:highlight w:val="none"/>
              </w:rPr>
              <w:t>t/a</w:t>
            </w:r>
          </w:p>
        </w:tc>
        <w:tc>
          <w:tcPr>
            <w:tcW w:w="2004" w:type="dxa"/>
            <w:gridSpan w:val="2"/>
            <w:vMerge w:val="continue"/>
            <w:tcBorders>
              <w:tl2br w:val="nil"/>
              <w:tr2bl w:val="nil"/>
            </w:tcBorders>
            <w:noWrap w:val="0"/>
            <w:vAlign w:val="center"/>
          </w:tcPr>
          <w:p w14:paraId="637A6A3C">
            <w:pPr>
              <w:pStyle w:val="48"/>
              <w:spacing w:beforeLines="0" w:afterLines="0"/>
              <w:rPr>
                <w:rFonts w:hint="default" w:ascii="Times New Roman" w:hAnsi="Times New Roman" w:cs="Times New Roman"/>
                <w:color w:val="auto"/>
                <w:sz w:val="24"/>
                <w:szCs w:val="24"/>
                <w:highlight w:val="none"/>
              </w:rPr>
            </w:pPr>
          </w:p>
        </w:tc>
        <w:tc>
          <w:tcPr>
            <w:tcW w:w="1200" w:type="dxa"/>
            <w:gridSpan w:val="2"/>
            <w:tcBorders>
              <w:tl2br w:val="nil"/>
              <w:tr2bl w:val="nil"/>
            </w:tcBorders>
            <w:noWrap w:val="0"/>
            <w:vAlign w:val="center"/>
          </w:tcPr>
          <w:p w14:paraId="68EAD86C">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0.019</w:t>
            </w:r>
            <w:r>
              <w:rPr>
                <w:rFonts w:hint="default" w:ascii="Times New Roman" w:hAnsi="Times New Roman" w:cs="Times New Roman"/>
                <w:color w:val="auto"/>
                <w:sz w:val="24"/>
                <w:szCs w:val="24"/>
                <w:highlight w:val="none"/>
              </w:rPr>
              <w:t>t/a</w:t>
            </w:r>
          </w:p>
        </w:tc>
        <w:tc>
          <w:tcPr>
            <w:tcW w:w="882" w:type="dxa"/>
            <w:gridSpan w:val="2"/>
            <w:tcBorders>
              <w:tl2br w:val="nil"/>
              <w:tr2bl w:val="nil"/>
            </w:tcBorders>
            <w:noWrap w:val="0"/>
            <w:vAlign w:val="center"/>
          </w:tcPr>
          <w:p w14:paraId="3AB43A36">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25</w:t>
            </w:r>
            <w:r>
              <w:rPr>
                <w:rFonts w:hint="default" w:ascii="Times New Roman" w:hAnsi="Times New Roman" w:cs="Times New Roman"/>
                <w:color w:val="auto"/>
                <w:sz w:val="24"/>
                <w:szCs w:val="24"/>
                <w:highlight w:val="none"/>
              </w:rPr>
              <w:t>mg/</w:t>
            </w:r>
            <w:r>
              <w:rPr>
                <w:rFonts w:hint="eastAsia" w:ascii="Times New Roman" w:hAnsi="Times New Roman" w:cs="Times New Roman"/>
                <w:color w:val="auto"/>
                <w:sz w:val="24"/>
                <w:szCs w:val="24"/>
                <w:highlight w:val="none"/>
                <w:lang w:val="en-US" w:eastAsia="zh-CN"/>
              </w:rPr>
              <w:t>L</w:t>
            </w:r>
          </w:p>
        </w:tc>
        <w:tc>
          <w:tcPr>
            <w:tcW w:w="1250" w:type="dxa"/>
            <w:gridSpan w:val="2"/>
            <w:vMerge w:val="continue"/>
            <w:tcBorders>
              <w:tl2br w:val="nil"/>
              <w:tr2bl w:val="nil"/>
            </w:tcBorders>
            <w:noWrap w:val="0"/>
            <w:vAlign w:val="top"/>
          </w:tcPr>
          <w:p w14:paraId="3782D8A4">
            <w:pPr>
              <w:pStyle w:val="48"/>
              <w:spacing w:beforeLines="0" w:afterLines="0"/>
              <w:rPr>
                <w:rFonts w:hint="default" w:ascii="Times New Roman" w:hAnsi="Times New Roman" w:cs="Times New Roman"/>
                <w:color w:val="auto"/>
                <w:sz w:val="24"/>
                <w:szCs w:val="24"/>
                <w:highlight w:val="none"/>
              </w:rPr>
            </w:pPr>
          </w:p>
        </w:tc>
      </w:tr>
      <w:tr w14:paraId="6F2A0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dxa"/>
          <w:trHeight w:val="1892" w:hRule="atLeast"/>
        </w:trPr>
        <w:tc>
          <w:tcPr>
            <w:tcW w:w="787" w:type="dxa"/>
            <w:gridSpan w:val="2"/>
            <w:vMerge w:val="restart"/>
            <w:tcBorders>
              <w:tl2br w:val="nil"/>
              <w:tr2bl w:val="nil"/>
            </w:tcBorders>
            <w:noWrap w:val="0"/>
            <w:vAlign w:val="center"/>
          </w:tcPr>
          <w:p w14:paraId="4353D894">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固体废物</w:t>
            </w:r>
          </w:p>
        </w:tc>
        <w:tc>
          <w:tcPr>
            <w:tcW w:w="1172" w:type="dxa"/>
            <w:gridSpan w:val="2"/>
            <w:tcBorders>
              <w:tl2br w:val="nil"/>
              <w:tr2bl w:val="nil"/>
            </w:tcBorders>
            <w:noWrap w:val="0"/>
            <w:vAlign w:val="center"/>
          </w:tcPr>
          <w:p w14:paraId="5C6BC66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矿石筛分</w:t>
            </w:r>
          </w:p>
        </w:tc>
        <w:tc>
          <w:tcPr>
            <w:tcW w:w="876" w:type="dxa"/>
            <w:gridSpan w:val="2"/>
            <w:tcBorders>
              <w:tl2br w:val="nil"/>
              <w:tr2bl w:val="nil"/>
            </w:tcBorders>
            <w:noWrap w:val="0"/>
            <w:vAlign w:val="center"/>
          </w:tcPr>
          <w:p w14:paraId="6D9B151A">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rPr>
              <w:t>废料</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废土</w:t>
            </w:r>
          </w:p>
        </w:tc>
        <w:tc>
          <w:tcPr>
            <w:tcW w:w="996" w:type="dxa"/>
            <w:gridSpan w:val="2"/>
            <w:tcBorders>
              <w:tl2br w:val="nil"/>
              <w:tr2bl w:val="nil"/>
            </w:tcBorders>
            <w:noWrap w:val="0"/>
            <w:vAlign w:val="center"/>
          </w:tcPr>
          <w:p w14:paraId="3B732D8A">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46</w:t>
            </w:r>
            <w:r>
              <w:rPr>
                <w:rFonts w:hint="default" w:ascii="Times New Roman" w:hAnsi="Times New Roman" w:cs="Times New Roman"/>
                <w:color w:val="auto"/>
                <w:sz w:val="24"/>
                <w:szCs w:val="24"/>
                <w:highlight w:val="none"/>
              </w:rPr>
              <w:t>万</w:t>
            </w:r>
            <w:r>
              <w:rPr>
                <w:rFonts w:hint="default" w:ascii="Times New Roman" w:hAnsi="Times New Roman" w:cs="Times New Roman"/>
                <w:color w:val="auto"/>
                <w:sz w:val="24"/>
                <w:szCs w:val="24"/>
                <w:highlight w:val="none"/>
                <w:lang w:val="en-US" w:eastAsia="zh-CN"/>
              </w:rPr>
              <w:t>t/a</w:t>
            </w:r>
          </w:p>
        </w:tc>
        <w:tc>
          <w:tcPr>
            <w:tcW w:w="2004" w:type="dxa"/>
            <w:gridSpan w:val="2"/>
            <w:tcBorders>
              <w:tl2br w:val="nil"/>
              <w:tr2bl w:val="nil"/>
            </w:tcBorders>
            <w:noWrap w:val="0"/>
            <w:vAlign w:val="center"/>
          </w:tcPr>
          <w:p w14:paraId="44BF9DF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运至废料堆场，后期回填采坑</w:t>
            </w:r>
          </w:p>
        </w:tc>
        <w:tc>
          <w:tcPr>
            <w:tcW w:w="1200" w:type="dxa"/>
            <w:gridSpan w:val="2"/>
            <w:tcBorders>
              <w:tl2br w:val="nil"/>
              <w:tr2bl w:val="nil"/>
            </w:tcBorders>
            <w:noWrap w:val="0"/>
            <w:vAlign w:val="center"/>
          </w:tcPr>
          <w:p w14:paraId="0D08D0FE">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46</w:t>
            </w:r>
            <w:r>
              <w:rPr>
                <w:rFonts w:hint="default" w:ascii="Times New Roman" w:hAnsi="Times New Roman" w:cs="Times New Roman"/>
                <w:color w:val="auto"/>
                <w:sz w:val="24"/>
                <w:szCs w:val="24"/>
                <w:highlight w:val="none"/>
              </w:rPr>
              <w:t>万</w:t>
            </w:r>
            <w:r>
              <w:rPr>
                <w:rFonts w:hint="default" w:ascii="Times New Roman" w:hAnsi="Times New Roman" w:cs="Times New Roman"/>
                <w:color w:val="auto"/>
                <w:sz w:val="24"/>
                <w:szCs w:val="24"/>
                <w:highlight w:val="none"/>
                <w:lang w:val="en-US" w:eastAsia="zh-CN"/>
              </w:rPr>
              <w:t>t/a</w:t>
            </w:r>
          </w:p>
        </w:tc>
        <w:tc>
          <w:tcPr>
            <w:tcW w:w="882" w:type="dxa"/>
            <w:gridSpan w:val="2"/>
            <w:tcBorders>
              <w:tl2br w:val="nil"/>
              <w:tr2bl w:val="nil"/>
            </w:tcBorders>
            <w:noWrap w:val="0"/>
            <w:vAlign w:val="center"/>
          </w:tcPr>
          <w:p w14:paraId="2518666E">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p>
        </w:tc>
        <w:tc>
          <w:tcPr>
            <w:tcW w:w="1250" w:type="dxa"/>
            <w:gridSpan w:val="2"/>
            <w:tcBorders>
              <w:tl2br w:val="nil"/>
              <w:tr2bl w:val="nil"/>
            </w:tcBorders>
            <w:noWrap w:val="0"/>
            <w:vAlign w:val="center"/>
          </w:tcPr>
          <w:p w14:paraId="719B1CD6">
            <w:pPr>
              <w:pStyle w:val="48"/>
              <w:spacing w:beforeLines="0" w:afterLines="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开采前期</w:t>
            </w:r>
            <w:r>
              <w:rPr>
                <w:rFonts w:hint="default" w:ascii="Times New Roman" w:hAnsi="Times New Roman" w:cs="Times New Roman"/>
                <w:color w:val="auto"/>
                <w:sz w:val="24"/>
                <w:szCs w:val="24"/>
                <w:highlight w:val="none"/>
              </w:rPr>
              <w:t>运至废料堆场堆存，</w:t>
            </w:r>
            <w:r>
              <w:rPr>
                <w:rFonts w:hint="default" w:ascii="Times New Roman" w:hAnsi="Times New Roman" w:cs="Times New Roman"/>
                <w:color w:val="auto"/>
                <w:sz w:val="24"/>
                <w:szCs w:val="24"/>
                <w:highlight w:val="none"/>
                <w:lang w:val="en-US" w:eastAsia="zh-CN"/>
              </w:rPr>
              <w:t>具备内排条件时采取边开采边</w:t>
            </w:r>
            <w:r>
              <w:rPr>
                <w:rFonts w:hint="default" w:ascii="Times New Roman" w:hAnsi="Times New Roman" w:cs="Times New Roman"/>
                <w:color w:val="auto"/>
                <w:sz w:val="24"/>
                <w:szCs w:val="24"/>
                <w:highlight w:val="none"/>
              </w:rPr>
              <w:t>回填</w:t>
            </w:r>
            <w:r>
              <w:rPr>
                <w:rFonts w:hint="default" w:ascii="Times New Roman" w:hAnsi="Times New Roman" w:cs="Times New Roman"/>
                <w:color w:val="auto"/>
                <w:sz w:val="24"/>
                <w:szCs w:val="24"/>
                <w:highlight w:val="none"/>
                <w:lang w:val="en-US" w:eastAsia="zh-CN"/>
              </w:rPr>
              <w:t>至采坑。</w:t>
            </w:r>
          </w:p>
        </w:tc>
      </w:tr>
      <w:tr w14:paraId="3711A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283" w:hRule="atLeast"/>
        </w:trPr>
        <w:tc>
          <w:tcPr>
            <w:tcW w:w="787" w:type="dxa"/>
            <w:gridSpan w:val="2"/>
            <w:vMerge w:val="continue"/>
            <w:tcBorders>
              <w:tl2br w:val="nil"/>
              <w:tr2bl w:val="nil"/>
            </w:tcBorders>
            <w:noWrap w:val="0"/>
            <w:vAlign w:val="center"/>
          </w:tcPr>
          <w:p w14:paraId="3B4FAEE6">
            <w:pPr>
              <w:pStyle w:val="48"/>
              <w:spacing w:beforeLines="0" w:afterLines="0"/>
              <w:rPr>
                <w:rFonts w:hint="default" w:ascii="Times New Roman" w:hAnsi="Times New Roman" w:cs="Times New Roman"/>
                <w:color w:val="auto"/>
                <w:sz w:val="24"/>
                <w:szCs w:val="24"/>
                <w:highlight w:val="none"/>
              </w:rPr>
            </w:pPr>
            <w:bookmarkStart w:id="165" w:name="bookmark22"/>
            <w:bookmarkEnd w:id="165"/>
          </w:p>
        </w:tc>
        <w:tc>
          <w:tcPr>
            <w:tcW w:w="1172" w:type="dxa"/>
            <w:gridSpan w:val="2"/>
            <w:tcBorders>
              <w:tl2br w:val="nil"/>
              <w:tr2bl w:val="nil"/>
            </w:tcBorders>
            <w:noWrap w:val="0"/>
            <w:vAlign w:val="center"/>
          </w:tcPr>
          <w:p w14:paraId="4C10AD9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剥离表土</w:t>
            </w:r>
          </w:p>
        </w:tc>
        <w:tc>
          <w:tcPr>
            <w:tcW w:w="876" w:type="dxa"/>
            <w:gridSpan w:val="2"/>
            <w:tcBorders>
              <w:tl2br w:val="nil"/>
              <w:tr2bl w:val="nil"/>
            </w:tcBorders>
            <w:noWrap w:val="0"/>
            <w:vAlign w:val="center"/>
          </w:tcPr>
          <w:p w14:paraId="3A8DF54C">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表土</w:t>
            </w:r>
          </w:p>
        </w:tc>
        <w:tc>
          <w:tcPr>
            <w:tcW w:w="996" w:type="dxa"/>
            <w:gridSpan w:val="2"/>
            <w:tcBorders>
              <w:tl2br w:val="nil"/>
              <w:tr2bl w:val="nil"/>
            </w:tcBorders>
            <w:noWrap w:val="0"/>
            <w:vAlign w:val="center"/>
          </w:tcPr>
          <w:p w14:paraId="4E76B6A0">
            <w:pPr>
              <w:pStyle w:val="48"/>
              <w:spacing w:beforeLines="0" w:afterLines="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15.52</w:t>
            </w:r>
            <w:r>
              <w:rPr>
                <w:rFonts w:hint="default" w:ascii="Times New Roman" w:hAnsi="Times New Roman" w:cs="Times New Roman"/>
                <w:color w:val="auto"/>
                <w:sz w:val="24"/>
                <w:szCs w:val="24"/>
                <w:highlight w:val="none"/>
              </w:rPr>
              <w:t>万</w:t>
            </w:r>
            <w:r>
              <w:rPr>
                <w:rFonts w:hint="eastAsia" w:ascii="Times New Roman" w:hAnsi="Times New Roman" w:cs="Times New Roman"/>
                <w:color w:val="auto"/>
                <w:sz w:val="24"/>
                <w:szCs w:val="24"/>
                <w:highlight w:val="none"/>
                <w:lang w:val="en-US" w:eastAsia="zh-CN"/>
              </w:rPr>
              <w:t>t/a</w:t>
            </w:r>
          </w:p>
        </w:tc>
        <w:tc>
          <w:tcPr>
            <w:tcW w:w="2004" w:type="dxa"/>
            <w:gridSpan w:val="2"/>
            <w:tcBorders>
              <w:tl2br w:val="nil"/>
              <w:tr2bl w:val="nil"/>
            </w:tcBorders>
            <w:noWrap w:val="0"/>
            <w:vAlign w:val="center"/>
          </w:tcPr>
          <w:p w14:paraId="297B9338">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集中堆存至表土堆场，后期用于土地复垦</w:t>
            </w:r>
          </w:p>
        </w:tc>
        <w:tc>
          <w:tcPr>
            <w:tcW w:w="1200" w:type="dxa"/>
            <w:gridSpan w:val="2"/>
            <w:tcBorders>
              <w:tl2br w:val="nil"/>
              <w:tr2bl w:val="nil"/>
            </w:tcBorders>
            <w:noWrap w:val="0"/>
            <w:vAlign w:val="center"/>
          </w:tcPr>
          <w:p w14:paraId="6B436C31">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15.52</w:t>
            </w:r>
          </w:p>
          <w:p w14:paraId="01B9FC3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万</w:t>
            </w:r>
            <w:r>
              <w:rPr>
                <w:rFonts w:hint="eastAsia" w:ascii="Times New Roman" w:hAnsi="Times New Roman" w:cs="Times New Roman"/>
                <w:color w:val="auto"/>
                <w:sz w:val="24"/>
                <w:szCs w:val="24"/>
                <w:highlight w:val="none"/>
                <w:lang w:val="en-US" w:eastAsia="zh-CN"/>
              </w:rPr>
              <w:t>t/a</w:t>
            </w:r>
          </w:p>
        </w:tc>
        <w:tc>
          <w:tcPr>
            <w:tcW w:w="882" w:type="dxa"/>
            <w:gridSpan w:val="2"/>
            <w:tcBorders>
              <w:tl2br w:val="nil"/>
              <w:tr2bl w:val="nil"/>
            </w:tcBorders>
            <w:noWrap w:val="0"/>
            <w:vAlign w:val="center"/>
          </w:tcPr>
          <w:p w14:paraId="7671B4AE">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p>
        </w:tc>
        <w:tc>
          <w:tcPr>
            <w:tcW w:w="1250" w:type="dxa"/>
            <w:gridSpan w:val="2"/>
            <w:tcBorders>
              <w:tl2br w:val="nil"/>
              <w:tr2bl w:val="nil"/>
            </w:tcBorders>
            <w:noWrap w:val="0"/>
            <w:vAlign w:val="center"/>
          </w:tcPr>
          <w:p w14:paraId="30644364">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集中堆存至表土堆场，后期用于土地复垦</w:t>
            </w:r>
          </w:p>
        </w:tc>
      </w:tr>
      <w:tr w14:paraId="48D5A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283" w:hRule="atLeast"/>
        </w:trPr>
        <w:tc>
          <w:tcPr>
            <w:tcW w:w="787" w:type="dxa"/>
            <w:gridSpan w:val="2"/>
            <w:vMerge w:val="continue"/>
            <w:tcBorders>
              <w:tl2br w:val="nil"/>
              <w:tr2bl w:val="nil"/>
            </w:tcBorders>
            <w:noWrap w:val="0"/>
            <w:vAlign w:val="center"/>
          </w:tcPr>
          <w:p w14:paraId="38404013">
            <w:pPr>
              <w:pStyle w:val="48"/>
              <w:spacing w:beforeLines="0" w:afterLines="0"/>
              <w:rPr>
                <w:rFonts w:hint="default" w:ascii="Times New Roman" w:hAnsi="Times New Roman" w:cs="Times New Roman"/>
                <w:color w:val="auto"/>
                <w:sz w:val="24"/>
                <w:szCs w:val="24"/>
                <w:highlight w:val="none"/>
              </w:rPr>
            </w:pPr>
          </w:p>
        </w:tc>
        <w:tc>
          <w:tcPr>
            <w:tcW w:w="1172" w:type="dxa"/>
            <w:gridSpan w:val="2"/>
            <w:tcBorders>
              <w:tl2br w:val="nil"/>
              <w:tr2bl w:val="nil"/>
            </w:tcBorders>
            <w:noWrap w:val="0"/>
            <w:vAlign w:val="center"/>
          </w:tcPr>
          <w:p w14:paraId="3A4D2191">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rPr>
              <w:t>沉淀</w:t>
            </w:r>
            <w:r>
              <w:rPr>
                <w:rFonts w:hint="default" w:ascii="Times New Roman" w:hAnsi="Times New Roman" w:cs="Times New Roman"/>
                <w:color w:val="auto"/>
                <w:sz w:val="24"/>
                <w:szCs w:val="24"/>
                <w:highlight w:val="none"/>
                <w:lang w:val="en-US" w:eastAsia="zh-CN"/>
              </w:rPr>
              <w:t>池</w:t>
            </w:r>
          </w:p>
        </w:tc>
        <w:tc>
          <w:tcPr>
            <w:tcW w:w="876" w:type="dxa"/>
            <w:gridSpan w:val="2"/>
            <w:tcBorders>
              <w:tl2br w:val="nil"/>
              <w:tr2bl w:val="nil"/>
            </w:tcBorders>
            <w:noWrap w:val="0"/>
            <w:vAlign w:val="center"/>
          </w:tcPr>
          <w:p w14:paraId="51200CE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沉渣</w:t>
            </w:r>
          </w:p>
        </w:tc>
        <w:tc>
          <w:tcPr>
            <w:tcW w:w="996" w:type="dxa"/>
            <w:gridSpan w:val="2"/>
            <w:tcBorders>
              <w:tl2br w:val="nil"/>
              <w:tr2bl w:val="nil"/>
            </w:tcBorders>
            <w:noWrap w:val="0"/>
            <w:vAlign w:val="center"/>
          </w:tcPr>
          <w:p w14:paraId="32F56D0E">
            <w:pPr>
              <w:pStyle w:val="48"/>
              <w:spacing w:beforeLines="0" w:afterLines="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val="en-US" w:eastAsia="zh-CN"/>
              </w:rPr>
              <w:t>4</w:t>
            </w:r>
            <w:r>
              <w:rPr>
                <w:rFonts w:hint="eastAsia" w:ascii="Times New Roman" w:hAnsi="Times New Roman" w:cs="Times New Roman"/>
                <w:color w:val="auto"/>
                <w:sz w:val="24"/>
                <w:szCs w:val="24"/>
                <w:highlight w:val="none"/>
                <w:lang w:val="en-US" w:eastAsia="zh-CN"/>
              </w:rPr>
              <w:t>t/a</w:t>
            </w:r>
          </w:p>
        </w:tc>
        <w:tc>
          <w:tcPr>
            <w:tcW w:w="2004" w:type="dxa"/>
            <w:gridSpan w:val="2"/>
            <w:tcBorders>
              <w:tl2br w:val="nil"/>
              <w:tr2bl w:val="nil"/>
            </w:tcBorders>
            <w:noWrap w:val="0"/>
            <w:vAlign w:val="center"/>
          </w:tcPr>
          <w:p w14:paraId="548720C3">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定期清运至废料堆场</w:t>
            </w:r>
          </w:p>
        </w:tc>
        <w:tc>
          <w:tcPr>
            <w:tcW w:w="1200" w:type="dxa"/>
            <w:gridSpan w:val="2"/>
            <w:tcBorders>
              <w:tl2br w:val="nil"/>
              <w:tr2bl w:val="nil"/>
            </w:tcBorders>
            <w:noWrap w:val="0"/>
            <w:vAlign w:val="center"/>
          </w:tcPr>
          <w:p w14:paraId="2C5F4F40">
            <w:pPr>
              <w:pStyle w:val="48"/>
              <w:spacing w:beforeLines="0" w:afterLines="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val="en-US" w:eastAsia="zh-CN"/>
              </w:rPr>
              <w:t>4</w:t>
            </w:r>
            <w:r>
              <w:rPr>
                <w:rFonts w:hint="eastAsia" w:ascii="Times New Roman" w:hAnsi="Times New Roman" w:cs="Times New Roman"/>
                <w:color w:val="auto"/>
                <w:sz w:val="24"/>
                <w:szCs w:val="24"/>
                <w:highlight w:val="none"/>
                <w:lang w:val="en-US" w:eastAsia="zh-CN"/>
              </w:rPr>
              <w:t>t/a</w:t>
            </w:r>
          </w:p>
        </w:tc>
        <w:tc>
          <w:tcPr>
            <w:tcW w:w="882" w:type="dxa"/>
            <w:gridSpan w:val="2"/>
            <w:tcBorders>
              <w:tl2br w:val="nil"/>
              <w:tr2bl w:val="nil"/>
            </w:tcBorders>
            <w:noWrap w:val="0"/>
            <w:vAlign w:val="center"/>
          </w:tcPr>
          <w:p w14:paraId="1AEC9BCB">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p>
        </w:tc>
        <w:tc>
          <w:tcPr>
            <w:tcW w:w="1250" w:type="dxa"/>
            <w:gridSpan w:val="2"/>
            <w:tcBorders>
              <w:tl2br w:val="nil"/>
              <w:tr2bl w:val="nil"/>
            </w:tcBorders>
            <w:noWrap w:val="0"/>
            <w:vAlign w:val="center"/>
          </w:tcPr>
          <w:p w14:paraId="136C168A">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定期清运至废料堆场</w:t>
            </w:r>
          </w:p>
        </w:tc>
      </w:tr>
      <w:tr w14:paraId="2213A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283" w:hRule="atLeast"/>
        </w:trPr>
        <w:tc>
          <w:tcPr>
            <w:tcW w:w="787" w:type="dxa"/>
            <w:gridSpan w:val="2"/>
            <w:vMerge w:val="continue"/>
            <w:tcBorders>
              <w:tl2br w:val="nil"/>
              <w:tr2bl w:val="nil"/>
            </w:tcBorders>
            <w:noWrap w:val="0"/>
            <w:vAlign w:val="center"/>
          </w:tcPr>
          <w:p w14:paraId="1EA08343">
            <w:pPr>
              <w:pStyle w:val="48"/>
              <w:spacing w:beforeLines="0" w:afterLines="0"/>
              <w:rPr>
                <w:rFonts w:hint="default" w:ascii="Times New Roman" w:hAnsi="Times New Roman" w:cs="Times New Roman"/>
                <w:color w:val="auto"/>
                <w:sz w:val="24"/>
                <w:szCs w:val="24"/>
                <w:highlight w:val="none"/>
              </w:rPr>
            </w:pPr>
          </w:p>
        </w:tc>
        <w:tc>
          <w:tcPr>
            <w:tcW w:w="1172" w:type="dxa"/>
            <w:gridSpan w:val="2"/>
            <w:tcBorders>
              <w:tl2br w:val="nil"/>
              <w:tr2bl w:val="nil"/>
            </w:tcBorders>
            <w:noWrap w:val="0"/>
            <w:vAlign w:val="center"/>
          </w:tcPr>
          <w:p w14:paraId="13B805BC">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办公生活</w:t>
            </w:r>
          </w:p>
        </w:tc>
        <w:tc>
          <w:tcPr>
            <w:tcW w:w="876" w:type="dxa"/>
            <w:gridSpan w:val="2"/>
            <w:tcBorders>
              <w:tl2br w:val="nil"/>
              <w:tr2bl w:val="nil"/>
            </w:tcBorders>
            <w:noWrap w:val="0"/>
            <w:vAlign w:val="center"/>
          </w:tcPr>
          <w:p w14:paraId="062F661C">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生活垃圾</w:t>
            </w:r>
          </w:p>
        </w:tc>
        <w:tc>
          <w:tcPr>
            <w:tcW w:w="996" w:type="dxa"/>
            <w:gridSpan w:val="2"/>
            <w:tcBorders>
              <w:tl2br w:val="nil"/>
              <w:tr2bl w:val="nil"/>
            </w:tcBorders>
            <w:noWrap w:val="0"/>
            <w:vAlign w:val="center"/>
          </w:tcPr>
          <w:p w14:paraId="03A4F7F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9.6</w:t>
            </w:r>
            <w:r>
              <w:rPr>
                <w:rFonts w:hint="eastAsia" w:ascii="Times New Roman" w:hAnsi="Times New Roman" w:cs="Times New Roman"/>
                <w:color w:val="auto"/>
                <w:sz w:val="24"/>
                <w:szCs w:val="24"/>
                <w:highlight w:val="none"/>
                <w:lang w:val="en-US" w:eastAsia="zh-CN"/>
              </w:rPr>
              <w:t>t/a</w:t>
            </w:r>
          </w:p>
        </w:tc>
        <w:tc>
          <w:tcPr>
            <w:tcW w:w="2004" w:type="dxa"/>
            <w:gridSpan w:val="2"/>
            <w:tcBorders>
              <w:tl2br w:val="nil"/>
              <w:tr2bl w:val="nil"/>
            </w:tcBorders>
            <w:noWrap w:val="0"/>
            <w:vAlign w:val="center"/>
          </w:tcPr>
          <w:p w14:paraId="0B26EA6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垃圾箱收集，定期拉运至阜康市生活垃圾填埋场</w:t>
            </w:r>
          </w:p>
        </w:tc>
        <w:tc>
          <w:tcPr>
            <w:tcW w:w="1200" w:type="dxa"/>
            <w:gridSpan w:val="2"/>
            <w:tcBorders>
              <w:tl2br w:val="nil"/>
              <w:tr2bl w:val="nil"/>
            </w:tcBorders>
            <w:noWrap w:val="0"/>
            <w:vAlign w:val="center"/>
          </w:tcPr>
          <w:p w14:paraId="2D716066">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9.6</w:t>
            </w:r>
            <w:r>
              <w:rPr>
                <w:rFonts w:hint="eastAsia" w:ascii="Times New Roman" w:hAnsi="Times New Roman" w:cs="Times New Roman"/>
                <w:color w:val="auto"/>
                <w:sz w:val="24"/>
                <w:szCs w:val="24"/>
                <w:highlight w:val="none"/>
                <w:lang w:val="en-US" w:eastAsia="zh-CN"/>
              </w:rPr>
              <w:t>t/a</w:t>
            </w:r>
          </w:p>
        </w:tc>
        <w:tc>
          <w:tcPr>
            <w:tcW w:w="882" w:type="dxa"/>
            <w:gridSpan w:val="2"/>
            <w:tcBorders>
              <w:tl2br w:val="nil"/>
              <w:tr2bl w:val="nil"/>
            </w:tcBorders>
            <w:noWrap w:val="0"/>
            <w:vAlign w:val="center"/>
          </w:tcPr>
          <w:p w14:paraId="065927E1">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p>
        </w:tc>
        <w:tc>
          <w:tcPr>
            <w:tcW w:w="1250" w:type="dxa"/>
            <w:gridSpan w:val="2"/>
            <w:tcBorders>
              <w:tl2br w:val="nil"/>
              <w:tr2bl w:val="nil"/>
            </w:tcBorders>
            <w:noWrap w:val="0"/>
            <w:vAlign w:val="center"/>
          </w:tcPr>
          <w:p w14:paraId="25949A23">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垃圾箱收集，定期拉运至阜康市垃圾填埋场处置</w:t>
            </w:r>
          </w:p>
        </w:tc>
      </w:tr>
      <w:tr w14:paraId="5E47E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283" w:hRule="atLeast"/>
        </w:trPr>
        <w:tc>
          <w:tcPr>
            <w:tcW w:w="787" w:type="dxa"/>
            <w:gridSpan w:val="2"/>
            <w:vMerge w:val="continue"/>
            <w:tcBorders>
              <w:tl2br w:val="nil"/>
              <w:tr2bl w:val="nil"/>
            </w:tcBorders>
            <w:noWrap w:val="0"/>
            <w:vAlign w:val="center"/>
          </w:tcPr>
          <w:p w14:paraId="07A9E202">
            <w:pPr>
              <w:pStyle w:val="48"/>
              <w:spacing w:beforeLines="0" w:afterLines="0"/>
              <w:rPr>
                <w:rFonts w:hint="default" w:ascii="Times New Roman" w:hAnsi="Times New Roman" w:cs="Times New Roman"/>
                <w:color w:val="auto"/>
                <w:sz w:val="24"/>
                <w:szCs w:val="24"/>
                <w:highlight w:val="none"/>
              </w:rPr>
            </w:pPr>
          </w:p>
        </w:tc>
        <w:tc>
          <w:tcPr>
            <w:tcW w:w="1172" w:type="dxa"/>
            <w:gridSpan w:val="2"/>
            <w:tcBorders>
              <w:tl2br w:val="nil"/>
              <w:tr2bl w:val="nil"/>
            </w:tcBorders>
            <w:noWrap w:val="0"/>
            <w:vAlign w:val="center"/>
          </w:tcPr>
          <w:p w14:paraId="08F829DD">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设备</w:t>
            </w:r>
          </w:p>
          <w:p w14:paraId="698B399D">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机修</w:t>
            </w:r>
          </w:p>
        </w:tc>
        <w:tc>
          <w:tcPr>
            <w:tcW w:w="876" w:type="dxa"/>
            <w:gridSpan w:val="2"/>
            <w:tcBorders>
              <w:tl2br w:val="nil"/>
              <w:tr2bl w:val="nil"/>
            </w:tcBorders>
            <w:noWrap w:val="0"/>
            <w:vAlign w:val="center"/>
          </w:tcPr>
          <w:p w14:paraId="4A40FF29">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废矿物油及包装桶</w:t>
            </w:r>
          </w:p>
        </w:tc>
        <w:tc>
          <w:tcPr>
            <w:tcW w:w="996" w:type="dxa"/>
            <w:gridSpan w:val="2"/>
            <w:tcBorders>
              <w:tl2br w:val="nil"/>
              <w:tr2bl w:val="nil"/>
            </w:tcBorders>
            <w:noWrap w:val="0"/>
            <w:vAlign w:val="center"/>
          </w:tcPr>
          <w:p w14:paraId="0D44DFE7">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0.5</w:t>
            </w:r>
            <w:r>
              <w:rPr>
                <w:rFonts w:hint="eastAsia" w:ascii="Times New Roman" w:hAnsi="Times New Roman" w:cs="Times New Roman"/>
                <w:color w:val="auto"/>
                <w:sz w:val="24"/>
                <w:szCs w:val="24"/>
                <w:highlight w:val="none"/>
                <w:lang w:val="en-US" w:eastAsia="zh-CN"/>
              </w:rPr>
              <w:t>t/a</w:t>
            </w:r>
          </w:p>
        </w:tc>
        <w:tc>
          <w:tcPr>
            <w:tcW w:w="2004" w:type="dxa"/>
            <w:gridSpan w:val="2"/>
            <w:tcBorders>
              <w:tl2br w:val="nil"/>
              <w:tr2bl w:val="nil"/>
            </w:tcBorders>
            <w:noWrap w:val="0"/>
            <w:vAlign w:val="center"/>
          </w:tcPr>
          <w:p w14:paraId="5473FD04">
            <w:pPr>
              <w:pStyle w:val="48"/>
              <w:spacing w:beforeLines="0" w:afterLines="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危废贮存点暂存</w:t>
            </w:r>
          </w:p>
        </w:tc>
        <w:tc>
          <w:tcPr>
            <w:tcW w:w="1200" w:type="dxa"/>
            <w:gridSpan w:val="2"/>
            <w:tcBorders>
              <w:tl2br w:val="nil"/>
              <w:tr2bl w:val="nil"/>
            </w:tcBorders>
            <w:noWrap w:val="0"/>
            <w:vAlign w:val="center"/>
          </w:tcPr>
          <w:p w14:paraId="52B85E91">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0.5</w:t>
            </w:r>
            <w:r>
              <w:rPr>
                <w:rFonts w:hint="eastAsia" w:ascii="Times New Roman" w:hAnsi="Times New Roman" w:cs="Times New Roman"/>
                <w:color w:val="auto"/>
                <w:sz w:val="24"/>
                <w:szCs w:val="24"/>
                <w:highlight w:val="none"/>
                <w:lang w:val="en-US" w:eastAsia="zh-CN"/>
              </w:rPr>
              <w:t>t/a</w:t>
            </w:r>
          </w:p>
        </w:tc>
        <w:tc>
          <w:tcPr>
            <w:tcW w:w="882" w:type="dxa"/>
            <w:gridSpan w:val="2"/>
            <w:tcBorders>
              <w:tl2br w:val="nil"/>
              <w:tr2bl w:val="nil"/>
            </w:tcBorders>
            <w:noWrap w:val="0"/>
            <w:vAlign w:val="center"/>
          </w:tcPr>
          <w:p w14:paraId="3E6E7936">
            <w:pPr>
              <w:pStyle w:val="48"/>
              <w:spacing w:beforeLines="0" w:afterLines="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w:t>
            </w:r>
          </w:p>
        </w:tc>
        <w:tc>
          <w:tcPr>
            <w:tcW w:w="1250" w:type="dxa"/>
            <w:gridSpan w:val="2"/>
            <w:tcBorders>
              <w:tl2br w:val="nil"/>
              <w:tr2bl w:val="nil"/>
            </w:tcBorders>
            <w:noWrap w:val="0"/>
            <w:vAlign w:val="center"/>
          </w:tcPr>
          <w:p w14:paraId="26882C7A">
            <w:pPr>
              <w:pStyle w:val="48"/>
              <w:spacing w:beforeLines="0" w:afterLines="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委托危废处置单位代为处置</w:t>
            </w:r>
          </w:p>
        </w:tc>
      </w:tr>
    </w:tbl>
    <w:p w14:paraId="71D41272">
      <w:pPr>
        <w:pStyle w:val="14"/>
        <w:kinsoku w:val="0"/>
        <w:overflowPunct w:val="0"/>
        <w:spacing w:before="4" w:beforeLines="0" w:afterLines="0"/>
        <w:ind w:left="0"/>
        <w:rPr>
          <w:rFonts w:hint="default" w:ascii="Times New Roman" w:hAnsi="Times New Roman" w:cs="Times New Roman"/>
          <w:color w:val="auto"/>
          <w:sz w:val="10"/>
          <w:szCs w:val="24"/>
          <w:highlight w:val="none"/>
        </w:rPr>
      </w:pPr>
    </w:p>
    <w:p w14:paraId="6DD72901">
      <w:pPr>
        <w:pStyle w:val="3"/>
        <w:bidi w:val="0"/>
        <w:rPr>
          <w:rFonts w:hint="default"/>
        </w:rPr>
      </w:pPr>
      <w:bookmarkStart w:id="166" w:name="3.8清洁生产"/>
      <w:bookmarkEnd w:id="166"/>
      <w:bookmarkStart w:id="167" w:name="_Toc13018"/>
      <w:bookmarkStart w:id="168" w:name="_Toc20273"/>
      <w:r>
        <w:rPr>
          <w:rFonts w:hint="default"/>
        </w:rPr>
        <w:t>清洁生产</w:t>
      </w:r>
      <w:bookmarkEnd w:id="167"/>
      <w:bookmarkEnd w:id="168"/>
    </w:p>
    <w:p w14:paraId="0A1979F7">
      <w:pPr>
        <w:pStyle w:val="4"/>
        <w:bidi w:val="0"/>
        <w:rPr>
          <w:rFonts w:hint="default"/>
        </w:rPr>
      </w:pPr>
      <w:bookmarkStart w:id="169" w:name="3.8.1清洁生产分析与评述"/>
      <w:bookmarkEnd w:id="169"/>
      <w:r>
        <w:rPr>
          <w:rFonts w:hint="default"/>
        </w:rPr>
        <w:t>清洁生产分析与评述</w:t>
      </w:r>
    </w:p>
    <w:p w14:paraId="7C231D04">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清洁生产是指不断采取改进设计、使用清洁的能源和原料、采用先进的工艺技术与合理的综合利用等措施，从源头削减污染，提高资源利用率，减少或者避免生产、服务和产品使用过程中污染物的产生和排放，以减轻或者消除对人类健康和环境的危害。《中华人民共和国清洁生产促进法》第十八条要求“新建、改建和扩建项目应当进行环境影响评价，对原料使用、资源消耗、资源综合利用以及处置等进行分析论证。优先采用资源利用率高，污染物产生量少的清洁生产技术、工艺和设备”。</w:t>
      </w:r>
    </w:p>
    <w:p w14:paraId="29314734">
      <w:pPr>
        <w:pStyle w:val="4"/>
        <w:bidi w:val="0"/>
        <w:rPr>
          <w:rFonts w:hint="default"/>
        </w:rPr>
      </w:pPr>
      <w:bookmarkStart w:id="170" w:name="3.8.2清洁生产评价方法的选择"/>
      <w:bookmarkEnd w:id="170"/>
      <w:r>
        <w:rPr>
          <w:rFonts w:hint="default"/>
        </w:rPr>
        <w:t>清洁生产评价方法的选择</w:t>
      </w:r>
    </w:p>
    <w:p w14:paraId="7511DFA9">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清洁生产评价分指标分析评价方法及定性分析评价方法两种分析评价方法。指标评价方法是由国家相关部委发布指标体系，采取对标法分析清洁生产水平。定性分析是从资源能源利用、生产工艺水平、生产过程、污染物产生、废物处理与综合利用、环境管理要求等方面进行分析评价。</w:t>
      </w:r>
    </w:p>
    <w:p w14:paraId="272B8C13">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本项目属天然石英砂矿开采工程，国家未发布天然石英砂矿山开采的专项清洁生产指标体系，因此本项目采取定性分析方法。</w:t>
      </w:r>
    </w:p>
    <w:p w14:paraId="1EBB384A">
      <w:pPr>
        <w:pStyle w:val="4"/>
        <w:bidi w:val="0"/>
        <w:rPr>
          <w:rFonts w:hint="default"/>
        </w:rPr>
      </w:pPr>
      <w:bookmarkStart w:id="171" w:name="3.8.3清洁生产水平分析"/>
      <w:bookmarkEnd w:id="171"/>
      <w:r>
        <w:rPr>
          <w:rFonts w:hint="default"/>
        </w:rPr>
        <w:t>清洁生产水平分析</w:t>
      </w:r>
    </w:p>
    <w:p w14:paraId="25AF4791">
      <w:pPr>
        <w:numPr>
          <w:ilvl w:val="0"/>
          <w:numId w:val="30"/>
        </w:numPr>
        <w:spacing w:beforeLines="0" w:afterLines="0"/>
        <w:ind w:firstLine="5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生产工艺与装备要求</w:t>
      </w:r>
    </w:p>
    <w:p w14:paraId="2C005631">
      <w:pPr>
        <w:numPr>
          <w:ilvl w:val="0"/>
          <w:numId w:val="0"/>
        </w:numPr>
        <w:spacing w:beforeLines="0" w:afterLines="0"/>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根据自然资源部《非金属矿行业绿色矿山建设规范》（DZ/T 0312-2018），绿色矿山建设的主要要求如下：</w:t>
      </w:r>
    </w:p>
    <w:p w14:paraId="2D23B5FB">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①矿区环境：矿区功能分区布局合理</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生产、运输、贮存管理规范有序</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矿区按生产区、管理区、生活区和生态区等功能分区,各功能区应符合GB50187的规定,应运行有序、管理规范</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矿区地面道路、供水、供电、卫生、环保等配套设施应齐全</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在生产区应设置操作提示牌、说明牌、线路示意图牌等标牌</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矿山应采用喷雾</w:t>
      </w:r>
      <w:r>
        <w:rPr>
          <w:rFonts w:hint="default" w:ascii="Times New Roman" w:hAnsi="Times New Roman" w:cs="Times New Roman"/>
          <w:color w:val="auto"/>
          <w:sz w:val="24"/>
          <w:szCs w:val="24"/>
          <w:highlight w:val="none"/>
          <w:lang w:val="en-US" w:eastAsia="zh-CN"/>
        </w:rPr>
        <w:t>洒水，</w:t>
      </w:r>
      <w:r>
        <w:rPr>
          <w:rFonts w:hint="default" w:ascii="Times New Roman" w:hAnsi="Times New Roman" w:cs="Times New Roman"/>
          <w:color w:val="auto"/>
          <w:sz w:val="24"/>
          <w:szCs w:val="24"/>
          <w:highlight w:val="none"/>
        </w:rPr>
        <w:t>加设除尘装置等措施</w:t>
      </w:r>
      <w:r>
        <w:rPr>
          <w:rFonts w:hint="default" w:ascii="Times New Roman" w:hAnsi="Times New Roman" w:cs="Times New Roman"/>
          <w:color w:val="auto"/>
          <w:sz w:val="24"/>
          <w:szCs w:val="24"/>
          <w:highlight w:val="none"/>
          <w:lang w:val="en-US" w:eastAsia="zh-CN"/>
        </w:rPr>
        <w:t>处置采选，运输等过程</w:t>
      </w:r>
      <w:r>
        <w:rPr>
          <w:rFonts w:hint="default" w:ascii="Times New Roman" w:hAnsi="Times New Roman" w:cs="Times New Roman"/>
          <w:color w:val="auto"/>
          <w:sz w:val="24"/>
          <w:szCs w:val="24"/>
          <w:highlight w:val="none"/>
        </w:rPr>
        <w:t>中产生的粉尘。</w:t>
      </w:r>
    </w:p>
    <w:p w14:paraId="62472181">
      <w:pPr>
        <w:spacing w:beforeLines="0" w:afterLines="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rPr>
        <w:t>②资源开发</w:t>
      </w:r>
      <w:r>
        <w:rPr>
          <w:rFonts w:hint="default" w:ascii="Times New Roman" w:hAnsi="Times New Roman" w:cs="Times New Roman"/>
          <w:color w:val="auto"/>
          <w:sz w:val="24"/>
          <w:szCs w:val="24"/>
          <w:highlight w:val="none"/>
          <w:lang w:val="en-US" w:eastAsia="zh-CN"/>
        </w:rPr>
        <w:t>方式</w:t>
      </w:r>
      <w:r>
        <w:rPr>
          <w:rFonts w:hint="default" w:ascii="Times New Roman" w:hAnsi="Times New Roman" w:cs="Times New Roman"/>
          <w:color w:val="auto"/>
          <w:sz w:val="24"/>
          <w:szCs w:val="24"/>
          <w:highlight w:val="none"/>
        </w:rPr>
        <w:t>：少对自然环境的扰动和破坏，保护、城乡建设相协调</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最大限度</w:t>
      </w:r>
      <w:r>
        <w:rPr>
          <w:rFonts w:hint="default" w:ascii="Times New Roman" w:hAnsi="Times New Roman" w:cs="Times New Roman"/>
          <w:color w:val="auto"/>
          <w:sz w:val="24"/>
          <w:szCs w:val="24"/>
          <w:highlight w:val="none"/>
          <w:lang w:val="en-US" w:eastAsia="zh-CN"/>
        </w:rPr>
        <w:t>的减少对自然环境的扰动和破坏，</w:t>
      </w:r>
      <w:r>
        <w:rPr>
          <w:rFonts w:hint="default" w:ascii="Times New Roman" w:hAnsi="Times New Roman" w:cs="Times New Roman"/>
          <w:color w:val="auto"/>
          <w:sz w:val="24"/>
          <w:szCs w:val="24"/>
          <w:highlight w:val="none"/>
        </w:rPr>
        <w:t>选择资源节约型、环境友好型开发方式</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应贯彻“边开采、边沿理,边复"的原则,及时治理恢复矿山地质环境,复垦矿山压占和损毁土地</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露天开采宜采用剥离一排土一开采一造地一复垦技术。矿产资源开发利用指标应符合当地产业政策及行业准入条件等规定,部分矿种开采回采率、选矿回收率和综合利用率指标应达到相关“三率"最低指标要求</w:t>
      </w:r>
      <w:r>
        <w:rPr>
          <w:rFonts w:hint="default" w:ascii="Times New Roman" w:hAnsi="Times New Roman" w:cs="Times New Roman"/>
          <w:color w:val="auto"/>
          <w:sz w:val="24"/>
          <w:szCs w:val="24"/>
          <w:highlight w:val="none"/>
          <w:lang w:eastAsia="zh-CN"/>
        </w:rPr>
        <w:t>。</w:t>
      </w:r>
    </w:p>
    <w:p w14:paraId="20FBA1F5">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③资源综合利用方面：宜对废石等固体废弃物开展回填,筑路、制作建筑材料等资源综合利用</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矿井水、选矿废水应采用洁净化,资源化技术和工艺合理处置</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矿山选矿废水重复利用率不低于</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85%。</w:t>
      </w:r>
    </w:p>
    <w:p w14:paraId="08DEDF9D">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采用的是露天开采工艺，露采开拓方案为公路开拓-汽车运输，开采方法为自上而下水平分层、台阶式采矿方法，这些都是我国矿山开采的成熟工艺，能够确保矿山回采率不低于95%。项目运营期不排放废水，</w:t>
      </w:r>
      <w:r>
        <w:rPr>
          <w:rFonts w:hint="default" w:ascii="Times New Roman" w:hAnsi="Times New Roman" w:cs="Times New Roman"/>
          <w:color w:val="auto"/>
          <w:sz w:val="24"/>
          <w:szCs w:val="24"/>
          <w:highlight w:val="none"/>
          <w:lang w:val="en-US" w:eastAsia="zh-CN"/>
        </w:rPr>
        <w:t>废水重复利用率达85%。</w:t>
      </w:r>
      <w:r>
        <w:rPr>
          <w:rFonts w:hint="default" w:ascii="Times New Roman" w:hAnsi="Times New Roman" w:cs="Times New Roman"/>
          <w:color w:val="auto"/>
          <w:sz w:val="24"/>
          <w:szCs w:val="24"/>
          <w:highlight w:val="none"/>
        </w:rPr>
        <w:t>针对采场粉尘采取了洒水降尘等措施，从源头上减少了粉尘的产生，能有效控制粉尘的产生；项目废料于废料堆场堆放，闭矿后用于采坑回填，符合清洁生产的要求。</w:t>
      </w:r>
    </w:p>
    <w:p w14:paraId="4481D0DE">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（2）资源能源利用指标</w:t>
      </w:r>
    </w:p>
    <w:p w14:paraId="3AA3CA53">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①回</w:t>
      </w:r>
      <w:r>
        <w:rPr>
          <w:rFonts w:hint="default" w:ascii="Times New Roman" w:hAnsi="Times New Roman" w:cs="Times New Roman"/>
          <w:color w:val="auto"/>
          <w:sz w:val="24"/>
          <w:szCs w:val="24"/>
          <w:highlight w:val="none"/>
          <w:lang w:val="en-US" w:eastAsia="zh-CN"/>
        </w:rPr>
        <w:t>采</w:t>
      </w:r>
      <w:r>
        <w:rPr>
          <w:rFonts w:hint="default" w:ascii="Times New Roman" w:hAnsi="Times New Roman" w:cs="Times New Roman"/>
          <w:color w:val="auto"/>
          <w:sz w:val="24"/>
          <w:szCs w:val="24"/>
          <w:highlight w:val="none"/>
        </w:rPr>
        <w:t>率</w:t>
      </w:r>
    </w:p>
    <w:p w14:paraId="154B98EE">
      <w:pPr>
        <w:snapToGrid w:val="0"/>
        <w:spacing w:beforeLines="0" w:afterLines="0"/>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依据《镁、铌、钽、硅质原料、膨润土和芒硝等矿产资源合理开发利用“三率”最低指标要求（试行）》（自然资源部2017年第43号文），天然石英砂露天开采回采率应不小于95％。根据矿山地质地形条件、矿体赋存特征，设计采用自上而下水平台阶式采矿法，采矿回采率97％，符合指标要求。</w:t>
      </w:r>
    </w:p>
    <w:p w14:paraId="1275EE63">
      <w:pPr>
        <w:spacing w:beforeLines="0" w:afterLines="0"/>
        <w:ind w:firstLine="480"/>
        <w:textAlignment w:val="baseline"/>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②选矿回收率</w:t>
      </w:r>
    </w:p>
    <w:p w14:paraId="1016B5E5">
      <w:pPr>
        <w:spacing w:beforeLines="0" w:afterLines="0"/>
        <w:ind w:firstLine="480"/>
        <w:textAlignment w:val="baseline"/>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该矿产品主要作为</w:t>
      </w:r>
      <w:r>
        <w:rPr>
          <w:rFonts w:hint="default" w:ascii="Times New Roman" w:hAnsi="Times New Roman" w:cs="Times New Roman"/>
          <w:color w:val="auto"/>
          <w:sz w:val="24"/>
          <w:szCs w:val="24"/>
          <w:highlight w:val="none"/>
          <w:lang w:eastAsia="zh-CN"/>
        </w:rPr>
        <w:t>压裂用石英砂</w:t>
      </w:r>
      <w:r>
        <w:rPr>
          <w:rFonts w:hint="default" w:ascii="Times New Roman" w:hAnsi="Times New Roman" w:cs="Times New Roman"/>
          <w:color w:val="auto"/>
          <w:sz w:val="24"/>
          <w:szCs w:val="24"/>
          <w:highlight w:val="none"/>
        </w:rPr>
        <w:t>，不涉及选矿作业。</w:t>
      </w:r>
    </w:p>
    <w:p w14:paraId="07F2F8C3">
      <w:pPr>
        <w:spacing w:beforeLines="0" w:afterLines="0"/>
        <w:ind w:firstLine="480"/>
        <w:textAlignment w:val="baseline"/>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③尾矿综合利用率</w:t>
      </w:r>
    </w:p>
    <w:p w14:paraId="730D363A">
      <w:pPr>
        <w:spacing w:beforeLines="0" w:afterLines="0"/>
        <w:ind w:firstLine="480"/>
        <w:textAlignment w:val="baseline"/>
        <w:rPr>
          <w:rFonts w:hint="default" w:ascii="Times New Roman" w:hAnsi="Times New Roman" w:cs="Times New Roman"/>
          <w:color w:val="auto"/>
          <w:sz w:val="24"/>
          <w:szCs w:val="24"/>
          <w:highlight w:val="none"/>
          <w:lang w:val="en-US"/>
        </w:rPr>
      </w:pPr>
      <w:r>
        <w:rPr>
          <w:rFonts w:hint="default" w:ascii="Times New Roman" w:hAnsi="Times New Roman" w:cs="Times New Roman"/>
          <w:color w:val="auto"/>
          <w:sz w:val="24"/>
          <w:szCs w:val="24"/>
          <w:highlight w:val="none"/>
          <w:lang w:val="en-US" w:eastAsia="zh-CN"/>
        </w:rPr>
        <w:t>本项目大于70目，小于20目石英砂作为废料在排土场堆放，复垦时全部用作采坑回填，复垦利用，不外排，综合利用率100%。</w:t>
      </w:r>
    </w:p>
    <w:p w14:paraId="25E2A05B">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 4 \* GB3 \* MERGEFORMAT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④</w:t>
      </w:r>
      <w:r>
        <w:rPr>
          <w:rFonts w:hint="default" w:ascii="Times New Roman" w:hAnsi="Times New Roman" w:cs="Times New Roman"/>
          <w:color w:val="auto"/>
          <w:sz w:val="24"/>
          <w:szCs w:val="24"/>
          <w:highlight w:val="none"/>
        </w:rPr>
        <w:fldChar w:fldCharType="end"/>
      </w:r>
      <w:r>
        <w:rPr>
          <w:rFonts w:hint="default" w:ascii="Times New Roman" w:hAnsi="Times New Roman" w:cs="Times New Roman"/>
          <w:color w:val="auto"/>
          <w:sz w:val="24"/>
          <w:szCs w:val="24"/>
          <w:highlight w:val="none"/>
        </w:rPr>
        <w:t>用水量</w:t>
      </w:r>
    </w:p>
    <w:p w14:paraId="08DDFBF3">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本项目生产用水量</w:t>
      </w:r>
      <w:r>
        <w:rPr>
          <w:rFonts w:hint="default" w:ascii="Times New Roman" w:hAnsi="Times New Roman" w:cs="Times New Roman"/>
          <w:color w:val="auto"/>
          <w:sz w:val="24"/>
          <w:szCs w:val="24"/>
          <w:highlight w:val="none"/>
          <w:lang w:val="en-US" w:eastAsia="zh-CN"/>
        </w:rPr>
        <w:t>年补充新水量为</w:t>
      </w:r>
      <w:r>
        <w:rPr>
          <w:rFonts w:hint="eastAsia" w:cs="Times New Roman"/>
          <w:color w:val="auto"/>
          <w:sz w:val="24"/>
          <w:szCs w:val="24"/>
          <w:highlight w:val="none"/>
          <w:lang w:val="en-US" w:eastAsia="zh-CN"/>
        </w:rPr>
        <w:t>4</w:t>
      </w:r>
      <w:r>
        <w:rPr>
          <w:rFonts w:hint="default" w:ascii="Times New Roman" w:hAnsi="Times New Roman" w:cs="Times New Roman"/>
          <w:color w:val="auto"/>
          <w:sz w:val="24"/>
          <w:szCs w:val="24"/>
          <w:highlight w:val="none"/>
          <w:lang w:val="en-US" w:eastAsia="zh-CN"/>
        </w:rPr>
        <w:t>0000m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/a（</w:t>
      </w:r>
      <w:r>
        <w:rPr>
          <w:rFonts w:hint="eastAsia" w:cs="Times New Roman"/>
          <w:color w:val="auto"/>
          <w:sz w:val="24"/>
          <w:szCs w:val="24"/>
          <w:highlight w:val="none"/>
          <w:lang w:val="en-US" w:eastAsia="zh-CN"/>
        </w:rPr>
        <w:t>133</w:t>
      </w:r>
      <w:r>
        <w:rPr>
          <w:rFonts w:hint="default" w:ascii="Times New Roman" w:hAnsi="Times New Roman" w:cs="Times New Roman"/>
          <w:color w:val="auto"/>
          <w:sz w:val="24"/>
          <w:szCs w:val="24"/>
          <w:highlight w:val="none"/>
          <w:lang w:val="en-US" w:eastAsia="zh-CN"/>
        </w:rPr>
        <w:t>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/d），</w:t>
      </w:r>
      <w:r>
        <w:rPr>
          <w:rFonts w:hint="eastAsia" w:cs="Times New Roman"/>
          <w:color w:val="auto"/>
          <w:sz w:val="24"/>
          <w:szCs w:val="24"/>
          <w:highlight w:val="none"/>
          <w:lang w:val="en-US" w:eastAsia="zh-CN"/>
        </w:rPr>
        <w:t>800</w:t>
      </w:r>
      <w:r>
        <w:rPr>
          <w:rFonts w:hint="default" w:ascii="Times New Roman" w:hAnsi="Times New Roman" w:cs="Times New Roman"/>
          <w:color w:val="auto"/>
          <w:sz w:val="24"/>
          <w:szCs w:val="24"/>
          <w:highlight w:val="none"/>
          <w:lang w:val="en-US" w:eastAsia="zh-CN"/>
        </w:rPr>
        <w:t>000m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a</w:t>
      </w:r>
      <w:r>
        <w:rPr>
          <w:rFonts w:hint="default" w:ascii="Times New Roman" w:hAnsi="Times New Roman" w:cs="Times New Roman"/>
          <w:color w:val="auto"/>
          <w:sz w:val="24"/>
          <w:szCs w:val="24"/>
          <w:highlight w:val="none"/>
          <w:lang w:val="en-US" w:eastAsia="zh-CN"/>
        </w:rPr>
        <w:t>为循环用水。</w:t>
      </w:r>
      <w:r>
        <w:rPr>
          <w:rFonts w:hint="default" w:ascii="Times New Roman" w:hAnsi="Times New Roman" w:cs="Times New Roman"/>
          <w:color w:val="auto"/>
          <w:sz w:val="24"/>
          <w:szCs w:val="24"/>
          <w:highlight w:val="none"/>
        </w:rPr>
        <w:t>则单位产品耗水量为：0.0</w:t>
      </w:r>
      <w:r>
        <w:rPr>
          <w:rFonts w:hint="eastAsia"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/t。</w:t>
      </w:r>
    </w:p>
    <w:p w14:paraId="63177BD7">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本项目开采回收率较高，单位产品用水量低，资源利用指标属国内先进水平。</w:t>
      </w:r>
    </w:p>
    <w:p w14:paraId="25B02DE1">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（3）污染物产生指标（处理前）</w:t>
      </w:r>
    </w:p>
    <w:p w14:paraId="29956B3B">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①废气</w:t>
      </w:r>
    </w:p>
    <w:p w14:paraId="5A99AE16">
      <w:pPr>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rPr>
        <w:t>项目运营期产生的废气主要是露天开采过程中开采粉尘，矿石装卸、运输</w:t>
      </w:r>
      <w:r>
        <w:rPr>
          <w:rFonts w:hint="default" w:ascii="Times New Roman" w:hAnsi="Times New Roman" w:cs="Times New Roman"/>
          <w:color w:val="auto"/>
          <w:sz w:val="24"/>
          <w:szCs w:val="24"/>
          <w:highlight w:val="none"/>
          <w:lang w:val="en-US" w:eastAsia="zh-CN"/>
        </w:rPr>
        <w:t>等无组织扬尘，以及筛分和烘干废气等有组织废气排放。无组织扬尘主要采用分区分片开采，</w:t>
      </w:r>
      <w:r>
        <w:rPr>
          <w:rFonts w:hint="default" w:ascii="Times New Roman" w:hAnsi="Times New Roman" w:cs="Times New Roman"/>
          <w:color w:val="auto"/>
          <w:sz w:val="24"/>
          <w:szCs w:val="24"/>
          <w:highlight w:val="none"/>
        </w:rPr>
        <w:t>粉尘产生量较小</w:t>
      </w:r>
      <w:r>
        <w:rPr>
          <w:rFonts w:hint="default" w:ascii="Times New Roman" w:hAnsi="Times New Roman" w:cs="Times New Roman"/>
          <w:color w:val="auto"/>
          <w:sz w:val="24"/>
          <w:szCs w:val="24"/>
          <w:highlight w:val="none"/>
          <w:lang w:val="en-US" w:eastAsia="zh-CN"/>
        </w:rPr>
        <w:t>。</w:t>
      </w:r>
    </w:p>
    <w:p w14:paraId="65736106">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②废水</w:t>
      </w:r>
    </w:p>
    <w:p w14:paraId="4268A962">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项目废水主要为职工日常生活污水及生产废水，生产废水循环利用，不外排；生活污水中COD的产生量为</w:t>
      </w:r>
      <w:r>
        <w:rPr>
          <w:rFonts w:hint="default" w:ascii="Times New Roman" w:hAnsi="Times New Roman" w:cs="Times New Roman"/>
          <w:color w:val="auto"/>
          <w:sz w:val="24"/>
          <w:szCs w:val="24"/>
          <w:highlight w:val="none"/>
          <w:lang w:val="en-US" w:eastAsia="zh-CN"/>
        </w:rPr>
        <w:t>0.246</w:t>
      </w:r>
      <w:r>
        <w:rPr>
          <w:rFonts w:hint="default" w:ascii="Times New Roman" w:hAnsi="Times New Roman" w:cs="Times New Roman"/>
          <w:color w:val="auto"/>
          <w:sz w:val="24"/>
          <w:szCs w:val="24"/>
          <w:highlight w:val="none"/>
        </w:rPr>
        <w:t>t/a、氨氮产生量为</w:t>
      </w:r>
      <w:r>
        <w:rPr>
          <w:rFonts w:hint="default" w:ascii="Times New Roman" w:hAnsi="Times New Roman" w:cs="Times New Roman"/>
          <w:color w:val="auto"/>
          <w:sz w:val="24"/>
          <w:szCs w:val="24"/>
          <w:highlight w:val="none"/>
          <w:lang w:val="en-US" w:eastAsia="zh-CN"/>
        </w:rPr>
        <w:t>0.023</w:t>
      </w:r>
      <w:r>
        <w:rPr>
          <w:rFonts w:hint="default" w:ascii="Times New Roman" w:hAnsi="Times New Roman" w:cs="Times New Roman"/>
          <w:color w:val="auto"/>
          <w:sz w:val="24"/>
          <w:szCs w:val="24"/>
          <w:highlight w:val="none"/>
        </w:rPr>
        <w:t>t/a，生活污水经设置</w:t>
      </w:r>
      <w:r>
        <w:rPr>
          <w:rFonts w:hint="default" w:ascii="Times New Roman" w:hAnsi="Times New Roman" w:cs="Times New Roman"/>
          <w:color w:val="auto"/>
          <w:sz w:val="24"/>
          <w:szCs w:val="24"/>
          <w:highlight w:val="none"/>
          <w:lang w:val="en-US" w:eastAsia="zh-CN"/>
        </w:rPr>
        <w:t>地埋式</w:t>
      </w:r>
      <w:r>
        <w:rPr>
          <w:rFonts w:hint="default" w:ascii="Times New Roman" w:hAnsi="Times New Roman" w:cs="Times New Roman"/>
          <w:color w:val="auto"/>
          <w:sz w:val="24"/>
          <w:szCs w:val="24"/>
          <w:highlight w:val="none"/>
        </w:rPr>
        <w:t>一体化污水处理设施处理后回用于厂区洒水降尘</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不外排</w:t>
      </w:r>
      <w:r>
        <w:rPr>
          <w:rFonts w:hint="default" w:ascii="Times New Roman" w:hAnsi="Times New Roman" w:cs="Times New Roman"/>
          <w:color w:val="auto"/>
          <w:sz w:val="24"/>
          <w:szCs w:val="24"/>
          <w:highlight w:val="none"/>
        </w:rPr>
        <w:t>。</w:t>
      </w:r>
    </w:p>
    <w:p w14:paraId="5D188968">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③固废</w:t>
      </w:r>
    </w:p>
    <w:p w14:paraId="58A4DAE4">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w:t>
      </w:r>
      <w:r>
        <w:rPr>
          <w:rFonts w:hint="default" w:ascii="Times New Roman" w:hAnsi="Times New Roman" w:cs="Times New Roman"/>
          <w:color w:val="auto"/>
          <w:sz w:val="24"/>
          <w:szCs w:val="24"/>
          <w:highlight w:val="none"/>
          <w:lang w:val="en-US" w:eastAsia="zh-CN"/>
        </w:rPr>
        <w:t>剥离的表土量为15.52万</w:t>
      </w:r>
      <w:r>
        <w:rPr>
          <w:rFonts w:hint="default" w:ascii="Times New Roman" w:hAnsi="Times New Roman" w:cs="Times New Roman"/>
          <w:color w:val="auto"/>
          <w:sz w:val="24"/>
          <w:szCs w:val="24"/>
          <w:highlight w:val="none"/>
        </w:rPr>
        <w:t>t，</w:t>
      </w:r>
      <w:r>
        <w:rPr>
          <w:rFonts w:hint="default" w:ascii="Times New Roman" w:hAnsi="Times New Roman" w:cs="Times New Roman"/>
          <w:color w:val="auto"/>
          <w:sz w:val="24"/>
          <w:szCs w:val="24"/>
          <w:highlight w:val="none"/>
          <w:lang w:val="en-US" w:eastAsia="zh-CN"/>
        </w:rPr>
        <w:t>采取篷布遮盖措施，单独保存。废料及废土量为46万t/a，在排土场篷布覆盖保存。</w:t>
      </w:r>
      <w:r>
        <w:rPr>
          <w:rFonts w:hint="default" w:ascii="Times New Roman" w:hAnsi="Times New Roman" w:cs="Times New Roman"/>
          <w:color w:val="auto"/>
          <w:sz w:val="24"/>
          <w:szCs w:val="24"/>
          <w:highlight w:val="none"/>
        </w:rPr>
        <w:t>沉淀</w:t>
      </w:r>
      <w:r>
        <w:rPr>
          <w:rFonts w:hint="default" w:ascii="Times New Roman" w:hAnsi="Times New Roman" w:cs="Times New Roman"/>
          <w:color w:val="auto"/>
          <w:sz w:val="24"/>
          <w:szCs w:val="24"/>
          <w:highlight w:val="none"/>
          <w:lang w:val="en-US" w:eastAsia="zh-CN"/>
        </w:rPr>
        <w:t>池</w:t>
      </w:r>
      <w:r>
        <w:rPr>
          <w:rFonts w:hint="default" w:ascii="Times New Roman" w:hAnsi="Times New Roman" w:cs="Times New Roman"/>
          <w:color w:val="auto"/>
          <w:sz w:val="24"/>
          <w:szCs w:val="24"/>
          <w:highlight w:val="none"/>
        </w:rPr>
        <w:t>产生的沉渣</w:t>
      </w:r>
      <w:r>
        <w:rPr>
          <w:rFonts w:hint="default" w:ascii="Times New Roman" w:hAnsi="Times New Roman" w:cs="Times New Roman"/>
          <w:color w:val="auto"/>
          <w:sz w:val="24"/>
          <w:szCs w:val="24"/>
          <w:highlight w:val="none"/>
          <w:lang w:val="en-US" w:eastAsia="zh-CN"/>
        </w:rPr>
        <w:t>4t/a</w:t>
      </w:r>
      <w:r>
        <w:rPr>
          <w:rFonts w:hint="default" w:ascii="Times New Roman" w:hAnsi="Times New Roman" w:cs="Times New Roman"/>
          <w:color w:val="auto"/>
          <w:sz w:val="24"/>
          <w:szCs w:val="24"/>
          <w:highlight w:val="none"/>
        </w:rPr>
        <w:t>，定期清运至废料堆场。后期</w:t>
      </w:r>
      <w:r>
        <w:rPr>
          <w:rFonts w:hint="default" w:ascii="Times New Roman" w:hAnsi="Times New Roman" w:cs="Times New Roman"/>
          <w:color w:val="auto"/>
          <w:sz w:val="24"/>
          <w:szCs w:val="24"/>
          <w:highlight w:val="none"/>
          <w:lang w:val="en-US" w:eastAsia="zh-CN"/>
        </w:rPr>
        <w:t>均可用作回填采</w:t>
      </w:r>
      <w:r>
        <w:rPr>
          <w:rFonts w:hint="default" w:ascii="Times New Roman" w:hAnsi="Times New Roman" w:cs="Times New Roman"/>
          <w:color w:val="auto"/>
          <w:sz w:val="24"/>
          <w:szCs w:val="24"/>
          <w:highlight w:val="none"/>
        </w:rPr>
        <w:t>。</w:t>
      </w:r>
    </w:p>
    <w:p w14:paraId="27AD72D0">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（4）废物处理与回收利用指标</w:t>
      </w:r>
    </w:p>
    <w:p w14:paraId="67F090A4">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①废气控制指标</w:t>
      </w:r>
    </w:p>
    <w:p w14:paraId="18C398F2">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本项目废气排放主要包括采场开采粉尘，表土堆场及排土场扬尘，运输扬尘，筛分粉尘，热风炉烘干废气</w:t>
      </w:r>
      <w:r>
        <w:rPr>
          <w:rFonts w:hint="default" w:ascii="Times New Roman" w:hAnsi="Times New Roman" w:cs="Times New Roman"/>
          <w:color w:val="auto"/>
          <w:sz w:val="24"/>
          <w:szCs w:val="24"/>
          <w:highlight w:val="none"/>
        </w:rPr>
        <w:t>。</w:t>
      </w:r>
    </w:p>
    <w:p w14:paraId="14A02103">
      <w:pPr>
        <w:spacing w:beforeLines="0" w:afterLines="0"/>
        <w:rPr>
          <w:rFonts w:hint="default" w:ascii="Times New Roman" w:hAnsi="Times New Roman" w:cs="Times New Roman"/>
          <w:color w:val="00B050"/>
          <w:sz w:val="24"/>
          <w:szCs w:val="24"/>
          <w:highlight w:val="none"/>
        </w:rPr>
      </w:pPr>
      <w:r>
        <w:rPr>
          <w:rFonts w:hint="default" w:ascii="Times New Roman" w:hAnsi="Times New Roman" w:cs="Times New Roman"/>
          <w:color w:val="auto"/>
          <w:sz w:val="24"/>
          <w:szCs w:val="24"/>
          <w:highlight w:val="none"/>
        </w:rPr>
        <w:t>本项目矿石开采采用露天开采，露天开采扬尘配套采用移动式雾炮机降尘、分区分片开采等措施处理；运输扬尘通过采取苫布遮盖密闭运输</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控制运输车辆行驶速度及装载量，减少物料转运环节</w:t>
      </w:r>
      <w:r>
        <w:rPr>
          <w:rFonts w:hint="default" w:ascii="Times New Roman" w:hAnsi="Times New Roman" w:cs="Times New Roman"/>
          <w:color w:val="auto"/>
          <w:sz w:val="24"/>
          <w:szCs w:val="24"/>
          <w:highlight w:val="none"/>
          <w:lang w:val="en-US" w:eastAsia="zh-CN"/>
        </w:rPr>
        <w:t>扬尘污染</w:t>
      </w:r>
      <w:r>
        <w:rPr>
          <w:rFonts w:hint="default" w:ascii="Times New Roman" w:hAnsi="Times New Roman" w:cs="Times New Roman"/>
          <w:color w:val="auto"/>
          <w:sz w:val="24"/>
          <w:szCs w:val="24"/>
          <w:highlight w:val="none"/>
        </w:rPr>
        <w:t>；筛分粉尘采用“集气罩+布袋除尘器”除尘，处理后经15m排气筒排放；堆场扬尘采取定期洒水，采用</w:t>
      </w:r>
      <w:r>
        <w:rPr>
          <w:rFonts w:hint="default" w:ascii="Times New Roman" w:hAnsi="Times New Roman" w:cs="Times New Roman"/>
          <w:color w:val="auto"/>
          <w:sz w:val="24"/>
          <w:szCs w:val="24"/>
          <w:highlight w:val="none"/>
          <w:lang w:val="en-US" w:eastAsia="zh-CN"/>
        </w:rPr>
        <w:t>篷布</w:t>
      </w:r>
      <w:r>
        <w:rPr>
          <w:rFonts w:hint="default" w:ascii="Times New Roman" w:hAnsi="Times New Roman" w:cs="Times New Roman"/>
          <w:color w:val="auto"/>
          <w:sz w:val="24"/>
          <w:szCs w:val="24"/>
          <w:highlight w:val="none"/>
        </w:rPr>
        <w:t>遮盖，废气影响可控</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00B050"/>
          <w:sz w:val="24"/>
          <w:szCs w:val="24"/>
          <w:highlight w:val="none"/>
          <w:lang w:val="en-US" w:eastAsia="zh-CN"/>
        </w:rPr>
        <w:t>烘干废气采用布袋除尘器除尘后排放，废气排放可满足排放标准</w:t>
      </w:r>
      <w:r>
        <w:rPr>
          <w:rFonts w:hint="default" w:ascii="Times New Roman" w:hAnsi="Times New Roman" w:cs="Times New Roman"/>
          <w:color w:val="00B050"/>
          <w:sz w:val="24"/>
          <w:szCs w:val="24"/>
          <w:highlight w:val="none"/>
        </w:rPr>
        <w:t>。满足清洁生产要求。</w:t>
      </w:r>
    </w:p>
    <w:p w14:paraId="64420AF9">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②废水控制指标</w:t>
      </w:r>
    </w:p>
    <w:p w14:paraId="4639AF8D">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项目运营过程中废水包括生活污水及生产废水。生产废水循环利用；生活污水经污水处理设施处理后全部用于矿区洒水降尘，不外排。项目运营期废水综合利用率为100%，满足清洁生产要求。</w:t>
      </w:r>
    </w:p>
    <w:p w14:paraId="68E3B347">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③噪声控制指标</w:t>
      </w:r>
    </w:p>
    <w:p w14:paraId="371FD303">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本工程对各类高噪声设备根据不同的噪声特性，分别采取消声、设置减震基础等降噪措施，可有效降低噪声源强，满足清洁生产要求。</w:t>
      </w:r>
    </w:p>
    <w:p w14:paraId="5EB4DB8D">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④固体废物控制指标分析</w:t>
      </w:r>
    </w:p>
    <w:p w14:paraId="09F987B4">
      <w:pPr>
        <w:pStyle w:val="14"/>
        <w:kinsoku w:val="0"/>
        <w:overflowPunct w:val="0"/>
        <w:spacing w:before="10" w:beforeLines="0" w:afterLines="0"/>
        <w:ind w:left="0"/>
        <w:rPr>
          <w:rFonts w:hint="default" w:ascii="Times New Roman" w:hAnsi="Times New Roman" w:cs="Times New Roman"/>
          <w:b/>
          <w:color w:val="auto"/>
          <w:sz w:val="14"/>
          <w:szCs w:val="24"/>
          <w:highlight w:val="none"/>
          <w:lang w:val="en-US"/>
        </w:rPr>
      </w:pPr>
      <w:r>
        <w:rPr>
          <w:rFonts w:hint="default" w:ascii="Times New Roman" w:hAnsi="Times New Roman" w:cs="Times New Roman"/>
          <w:color w:val="auto"/>
          <w:sz w:val="24"/>
          <w:szCs w:val="24"/>
          <w:highlight w:val="none"/>
        </w:rPr>
        <w:t>本项目固废</w:t>
      </w:r>
      <w:r>
        <w:rPr>
          <w:rFonts w:hint="default" w:ascii="Times New Roman" w:hAnsi="Times New Roman" w:cs="Times New Roman"/>
          <w:color w:val="auto"/>
          <w:sz w:val="24"/>
          <w:szCs w:val="24"/>
          <w:highlight w:val="none"/>
          <w:lang w:val="en-US" w:eastAsia="zh-CN"/>
        </w:rPr>
        <w:t>主要来自于施工期以及采矿初期对剥离的表土以及矿石加工过程产生的废料及废土，车辆机修过程产生的废矿物油。</w:t>
      </w:r>
    </w:p>
    <w:p w14:paraId="74CB5B51">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w:t>
      </w:r>
      <w:r>
        <w:rPr>
          <w:rFonts w:hint="default" w:ascii="Times New Roman" w:hAnsi="Times New Roman" w:cs="Times New Roman"/>
          <w:color w:val="auto"/>
          <w:sz w:val="24"/>
          <w:szCs w:val="24"/>
          <w:highlight w:val="none"/>
          <w:lang w:val="en-US" w:eastAsia="zh-CN"/>
        </w:rPr>
        <w:t>剥离的表土量为15.52万</w:t>
      </w:r>
      <w:r>
        <w:rPr>
          <w:rFonts w:hint="default" w:ascii="Times New Roman" w:hAnsi="Times New Roman" w:cs="Times New Roman"/>
          <w:color w:val="auto"/>
          <w:sz w:val="24"/>
          <w:szCs w:val="24"/>
          <w:highlight w:val="none"/>
        </w:rPr>
        <w:t>t，</w:t>
      </w:r>
      <w:r>
        <w:rPr>
          <w:rFonts w:hint="default" w:ascii="Times New Roman" w:hAnsi="Times New Roman" w:cs="Times New Roman"/>
          <w:color w:val="auto"/>
          <w:sz w:val="24"/>
          <w:szCs w:val="24"/>
          <w:highlight w:val="none"/>
          <w:lang w:val="en-US" w:eastAsia="zh-CN"/>
        </w:rPr>
        <w:t>采取篷布遮盖措施，单独保存。废料及废土量为46万t/a，在排土场篷布覆盖保存。表土用作复垦耕作层土壤，排土场废土废料全部回填采矿，</w:t>
      </w:r>
      <w:r>
        <w:rPr>
          <w:rFonts w:hint="default" w:ascii="Times New Roman" w:hAnsi="Times New Roman" w:cs="Times New Roman"/>
          <w:color w:val="auto"/>
          <w:sz w:val="24"/>
          <w:szCs w:val="24"/>
          <w:highlight w:val="none"/>
        </w:rPr>
        <w:t>项目固废处置效率为</w:t>
      </w:r>
      <w:r>
        <w:rPr>
          <w:rFonts w:hint="default" w:ascii="Times New Roman" w:hAnsi="Times New Roman" w:cs="Times New Roman"/>
          <w:color w:val="auto"/>
          <w:sz w:val="24"/>
          <w:szCs w:val="24"/>
          <w:highlight w:val="none"/>
          <w:lang w:val="en-US" w:eastAsia="zh-CN"/>
        </w:rPr>
        <w:t>100</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废矿物油在危废贮存点暂存，委托有资质的单位进行处置。</w:t>
      </w:r>
      <w:r>
        <w:rPr>
          <w:rFonts w:hint="default" w:ascii="Times New Roman" w:hAnsi="Times New Roman" w:cs="Times New Roman"/>
          <w:color w:val="auto"/>
          <w:sz w:val="24"/>
          <w:szCs w:val="24"/>
          <w:highlight w:val="none"/>
        </w:rPr>
        <w:t>满足清洁生产要求。</w:t>
      </w:r>
    </w:p>
    <w:p w14:paraId="58EAD39D">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（5）环境管理要求</w:t>
      </w:r>
    </w:p>
    <w:p w14:paraId="2459983C">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环评建议企业建立以矿长为负责人的整套环境管理体系，设置1名兼职环境管理人员，随时监督矿区环境保护措施落实情况，随时向矿长汇报环保工作，保证矿区环保工作的顺利开展和持续。</w:t>
      </w:r>
    </w:p>
    <w:p w14:paraId="78D1E145">
      <w:pPr>
        <w:numPr>
          <w:ilvl w:val="0"/>
          <w:numId w:val="17"/>
        </w:numPr>
        <w:spacing w:beforeLines="0" w:afterLines="0"/>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清洁生产分析结论</w:t>
      </w:r>
    </w:p>
    <w:p w14:paraId="3088AE6D">
      <w:pPr>
        <w:numPr>
          <w:ilvl w:val="0"/>
          <w:numId w:val="0"/>
        </w:numPr>
        <w:spacing w:beforeLines="0" w:afterLines="0"/>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工程从生产过程等环节采用切实可行的清洁生产技术，从源头削减污染，生产过程控制和污染控制及生态保护恢复措施完备；工艺技术及装备符合目前国家产业政策和环保政策要求；采用先进的开采工艺。只要加强营运后日常生产管理与维护，保证各项环保设施正常运行及生态保护恢复措施的实施，工程清洁生产水平处于国内同类企业</w:t>
      </w:r>
      <w:r>
        <w:rPr>
          <w:rFonts w:hint="default" w:ascii="Times New Roman" w:hAnsi="Times New Roman" w:cs="Times New Roman"/>
          <w:color w:val="auto"/>
          <w:sz w:val="24"/>
          <w:szCs w:val="24"/>
          <w:highlight w:val="none"/>
          <w:lang w:val="en-US" w:eastAsia="zh-CN"/>
        </w:rPr>
        <w:t>一般</w:t>
      </w:r>
      <w:r>
        <w:rPr>
          <w:rFonts w:hint="default" w:ascii="Times New Roman" w:hAnsi="Times New Roman" w:cs="Times New Roman"/>
          <w:color w:val="auto"/>
          <w:sz w:val="24"/>
          <w:szCs w:val="24"/>
          <w:highlight w:val="none"/>
        </w:rPr>
        <w:t>水平。</w:t>
      </w:r>
    </w:p>
    <w:p w14:paraId="733B5E34">
      <w:pPr>
        <w:pStyle w:val="3"/>
        <w:bidi w:val="0"/>
        <w:rPr>
          <w:rFonts w:hint="default"/>
        </w:rPr>
      </w:pPr>
      <w:bookmarkStart w:id="172" w:name="3.8.4持续清洁生产管理要求"/>
      <w:bookmarkEnd w:id="172"/>
      <w:bookmarkStart w:id="173" w:name="bookmark23"/>
      <w:bookmarkEnd w:id="173"/>
      <w:bookmarkStart w:id="174" w:name="3.9总量控制"/>
      <w:bookmarkEnd w:id="174"/>
      <w:bookmarkStart w:id="175" w:name="_Toc22757"/>
      <w:bookmarkStart w:id="176" w:name="_Toc3826"/>
      <w:r>
        <w:rPr>
          <w:rFonts w:hint="default"/>
        </w:rPr>
        <w:t>总量控制</w:t>
      </w:r>
      <w:bookmarkEnd w:id="175"/>
      <w:bookmarkEnd w:id="176"/>
    </w:p>
    <w:p w14:paraId="6AC7FE0E">
      <w:pPr>
        <w:pStyle w:val="4"/>
        <w:bidi w:val="0"/>
        <w:rPr>
          <w:rFonts w:hint="default"/>
        </w:rPr>
      </w:pPr>
      <w:bookmarkStart w:id="177" w:name="3.9.2.1总量控制因子"/>
      <w:bookmarkEnd w:id="177"/>
      <w:bookmarkStart w:id="178" w:name="3.9.1总量控制的目的"/>
      <w:bookmarkEnd w:id="178"/>
      <w:r>
        <w:rPr>
          <w:rFonts w:hint="default"/>
        </w:rPr>
        <w:t>总量控制因子</w:t>
      </w:r>
    </w:p>
    <w:p w14:paraId="27665BC9">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生态环境部印发《关于做好“十四五”主要污染物总量减排工作的通知》（环办综合函〔2021〕323号）、《昌吉回族自治州“三线一单”生态环境分区管控方案》，结合本项目总量因子排放特点，总量控制因子确定为：颗粒物。</w:t>
      </w:r>
    </w:p>
    <w:p w14:paraId="2F97DD16">
      <w:pPr>
        <w:pStyle w:val="4"/>
        <w:bidi w:val="0"/>
        <w:rPr>
          <w:rFonts w:hint="default"/>
        </w:rPr>
      </w:pPr>
      <w:bookmarkStart w:id="179" w:name="3.9.2.2污染物排放总量控制建议指标"/>
      <w:bookmarkEnd w:id="179"/>
      <w:r>
        <w:rPr>
          <w:rFonts w:hint="default"/>
        </w:rPr>
        <w:t>污染物排放总量控制建议指标</w:t>
      </w:r>
    </w:p>
    <w:p w14:paraId="4E8AA31D">
      <w:pPr>
        <w:spacing w:beforeLines="0" w:afterLines="0"/>
        <w:rPr>
          <w:rFonts w:hint="default" w:ascii="Times New Roman" w:hAnsi="Times New Roman" w:cs="Times New Roman"/>
          <w:color w:val="FF0000"/>
          <w:sz w:val="24"/>
          <w:szCs w:val="24"/>
          <w:highlight w:val="none"/>
        </w:rPr>
      </w:pPr>
      <w:r>
        <w:rPr>
          <w:rFonts w:hint="default" w:ascii="Times New Roman" w:hAnsi="Times New Roman" w:cs="Times New Roman"/>
          <w:color w:val="FF0000"/>
          <w:sz w:val="24"/>
          <w:szCs w:val="24"/>
          <w:highlight w:val="none"/>
        </w:rPr>
        <w:t>本项目废气控制指标因子</w:t>
      </w:r>
      <w:r>
        <w:rPr>
          <w:rFonts w:hint="eastAsia" w:cs="Times New Roman"/>
          <w:color w:val="FF0000"/>
          <w:sz w:val="24"/>
          <w:szCs w:val="24"/>
          <w:highlight w:val="none"/>
          <w:lang w:val="en-US" w:eastAsia="zh-CN"/>
        </w:rPr>
        <w:t>建议总量指标</w:t>
      </w:r>
      <w:r>
        <w:rPr>
          <w:rFonts w:hint="default" w:ascii="Times New Roman" w:hAnsi="Times New Roman" w:cs="Times New Roman"/>
          <w:color w:val="FF0000"/>
          <w:sz w:val="24"/>
          <w:szCs w:val="24"/>
          <w:highlight w:val="none"/>
        </w:rPr>
        <w:t>表3.</w:t>
      </w:r>
      <w:r>
        <w:rPr>
          <w:rFonts w:hint="eastAsia" w:cs="Times New Roman"/>
          <w:color w:val="FF0000"/>
          <w:sz w:val="24"/>
          <w:szCs w:val="24"/>
          <w:highlight w:val="none"/>
          <w:lang w:val="en-US" w:eastAsia="zh-CN"/>
        </w:rPr>
        <w:t>11</w:t>
      </w:r>
      <w:r>
        <w:rPr>
          <w:rFonts w:hint="default" w:ascii="Times New Roman" w:hAnsi="Times New Roman" w:cs="Times New Roman"/>
          <w:color w:val="FF0000"/>
          <w:sz w:val="24"/>
          <w:szCs w:val="24"/>
          <w:highlight w:val="none"/>
        </w:rPr>
        <w:t>-1。</w:t>
      </w:r>
    </w:p>
    <w:p w14:paraId="5B66529F">
      <w:pPr>
        <w:pStyle w:val="45"/>
        <w:spacing w:beforeLines="0" w:afterLines="0"/>
        <w:rPr>
          <w:rFonts w:hint="default" w:ascii="Times New Roman" w:hAnsi="Times New Roman" w:cs="Times New Roman"/>
          <w:color w:val="FF0000"/>
          <w:sz w:val="24"/>
          <w:szCs w:val="24"/>
          <w:highlight w:val="none"/>
        </w:rPr>
      </w:pPr>
      <w:r>
        <w:rPr>
          <w:rFonts w:hint="default" w:ascii="Times New Roman" w:hAnsi="Times New Roman" w:cs="Times New Roman"/>
          <w:color w:val="FF0000"/>
          <w:sz w:val="24"/>
          <w:szCs w:val="24"/>
          <w:highlight w:val="none"/>
        </w:rPr>
        <w:t>表 3.</w:t>
      </w:r>
      <w:r>
        <w:rPr>
          <w:rFonts w:hint="eastAsia" w:ascii="Times New Roman" w:hAnsi="Times New Roman" w:cs="Times New Roman"/>
          <w:color w:val="FF0000"/>
          <w:sz w:val="24"/>
          <w:szCs w:val="24"/>
          <w:highlight w:val="none"/>
          <w:lang w:val="en-US" w:eastAsia="zh-CN"/>
        </w:rPr>
        <w:t>11</w:t>
      </w:r>
      <w:r>
        <w:rPr>
          <w:rFonts w:hint="default" w:ascii="Times New Roman" w:hAnsi="Times New Roman" w:cs="Times New Roman"/>
          <w:color w:val="FF0000"/>
          <w:sz w:val="24"/>
          <w:szCs w:val="24"/>
          <w:highlight w:val="none"/>
        </w:rPr>
        <w:t>-1</w:t>
      </w:r>
      <w:r>
        <w:rPr>
          <w:rFonts w:hint="default" w:ascii="Times New Roman" w:hAnsi="Times New Roman" w:cs="Times New Roman"/>
          <w:color w:val="FF0000"/>
          <w:sz w:val="24"/>
          <w:szCs w:val="24"/>
          <w:highlight w:val="none"/>
        </w:rPr>
        <w:tab/>
      </w:r>
      <w:r>
        <w:rPr>
          <w:rFonts w:hint="default" w:ascii="Times New Roman" w:hAnsi="Times New Roman" w:cs="Times New Roman"/>
          <w:color w:val="FF0000"/>
          <w:sz w:val="24"/>
          <w:szCs w:val="24"/>
          <w:highlight w:val="none"/>
        </w:rPr>
        <w:t>本项目废气总量控制指标因子</w:t>
      </w:r>
      <w:r>
        <w:rPr>
          <w:rFonts w:hint="eastAsia" w:ascii="Times New Roman" w:hAnsi="Times New Roman" w:cs="Times New Roman"/>
          <w:color w:val="FF0000"/>
          <w:sz w:val="24"/>
          <w:szCs w:val="24"/>
          <w:highlight w:val="none"/>
          <w:lang w:val="en-US" w:eastAsia="zh-CN"/>
        </w:rPr>
        <w:t xml:space="preserve">   </w:t>
      </w:r>
      <w:r>
        <w:rPr>
          <w:rFonts w:hint="default" w:ascii="Times New Roman" w:hAnsi="Times New Roman" w:cs="Times New Roman"/>
          <w:color w:val="FF0000"/>
          <w:sz w:val="24"/>
          <w:szCs w:val="24"/>
          <w:highlight w:val="none"/>
        </w:rPr>
        <w:t>单位：t/a</w:t>
      </w:r>
    </w:p>
    <w:tbl>
      <w:tblPr>
        <w:tblStyle w:val="31"/>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845"/>
        <w:gridCol w:w="5437"/>
      </w:tblGrid>
      <w:tr w14:paraId="2DE22D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80" w:hRule="exact"/>
        </w:trPr>
        <w:tc>
          <w:tcPr>
            <w:tcW w:w="2071" w:type="pct"/>
            <w:tcBorders>
              <w:tl2br w:val="nil"/>
              <w:tr2bl w:val="nil"/>
            </w:tcBorders>
            <w:noWrap w:val="0"/>
            <w:vAlign w:val="top"/>
          </w:tcPr>
          <w:p w14:paraId="224AF531">
            <w:pPr>
              <w:pStyle w:val="48"/>
              <w:spacing w:beforeLines="0" w:afterLines="0"/>
              <w:rPr>
                <w:rFonts w:hint="default" w:ascii="Times New Roman" w:hAnsi="Times New Roman" w:cs="Times New Roman"/>
                <w:color w:val="FF0000"/>
                <w:sz w:val="24"/>
                <w:szCs w:val="24"/>
                <w:highlight w:val="none"/>
              </w:rPr>
            </w:pPr>
            <w:r>
              <w:rPr>
                <w:rFonts w:hint="default" w:ascii="Times New Roman" w:hAnsi="Times New Roman" w:cs="Times New Roman"/>
                <w:color w:val="FF0000"/>
                <w:sz w:val="24"/>
                <w:szCs w:val="24"/>
                <w:highlight w:val="none"/>
              </w:rPr>
              <w:t>污染因子</w:t>
            </w:r>
          </w:p>
        </w:tc>
        <w:tc>
          <w:tcPr>
            <w:tcW w:w="2928" w:type="pct"/>
            <w:tcBorders>
              <w:tl2br w:val="nil"/>
              <w:tr2bl w:val="nil"/>
            </w:tcBorders>
            <w:noWrap w:val="0"/>
            <w:vAlign w:val="top"/>
          </w:tcPr>
          <w:p w14:paraId="0CE1A4DF">
            <w:pPr>
              <w:pStyle w:val="48"/>
              <w:spacing w:beforeLines="0" w:afterLines="0"/>
              <w:rPr>
                <w:rFonts w:hint="default" w:ascii="Times New Roman" w:hAnsi="Times New Roman" w:cs="Times New Roman"/>
                <w:color w:val="FF0000"/>
                <w:sz w:val="24"/>
                <w:szCs w:val="24"/>
                <w:highlight w:val="none"/>
              </w:rPr>
            </w:pPr>
            <w:r>
              <w:rPr>
                <w:rFonts w:hint="default" w:ascii="Times New Roman" w:hAnsi="Times New Roman" w:cs="Times New Roman"/>
                <w:color w:val="FF0000"/>
                <w:sz w:val="24"/>
                <w:szCs w:val="24"/>
                <w:highlight w:val="none"/>
              </w:rPr>
              <w:t>总量控制指标</w:t>
            </w:r>
          </w:p>
        </w:tc>
      </w:tr>
      <w:tr w14:paraId="06BA8D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0" w:hRule="exact"/>
        </w:trPr>
        <w:tc>
          <w:tcPr>
            <w:tcW w:w="2071" w:type="pct"/>
            <w:tcBorders>
              <w:tl2br w:val="nil"/>
              <w:tr2bl w:val="nil"/>
            </w:tcBorders>
            <w:noWrap w:val="0"/>
            <w:vAlign w:val="top"/>
          </w:tcPr>
          <w:p w14:paraId="64044465">
            <w:pPr>
              <w:pStyle w:val="48"/>
              <w:keepNext w:val="0"/>
              <w:keepLines w:val="0"/>
              <w:pageBreakBefore w:val="0"/>
              <w:widowControl w:val="0"/>
              <w:kinsoku w:val="0"/>
              <w:wordWrap/>
              <w:overflowPunct w:val="0"/>
              <w:topLinePunct w:val="0"/>
              <w:autoSpaceDE w:val="0"/>
              <w:autoSpaceDN w:val="0"/>
              <w:bidi w:val="0"/>
              <w:adjustRightInd w:val="0"/>
              <w:snapToGrid/>
              <w:spacing w:beforeLines="0" w:afterLines="0"/>
              <w:textAlignment w:val="auto"/>
              <w:rPr>
                <w:rFonts w:hint="default" w:ascii="Times New Roman" w:hAnsi="Times New Roman" w:cs="Times New Roman"/>
                <w:color w:val="FF0000"/>
                <w:sz w:val="24"/>
                <w:szCs w:val="24"/>
                <w:highlight w:val="none"/>
              </w:rPr>
            </w:pPr>
            <w:r>
              <w:rPr>
                <w:rFonts w:hint="default" w:ascii="Times New Roman" w:hAnsi="Times New Roman" w:cs="Times New Roman"/>
                <w:color w:val="FF0000"/>
                <w:sz w:val="24"/>
                <w:szCs w:val="24"/>
                <w:highlight w:val="none"/>
              </w:rPr>
              <w:t>颗粒物</w:t>
            </w:r>
          </w:p>
        </w:tc>
        <w:tc>
          <w:tcPr>
            <w:tcW w:w="2928" w:type="pct"/>
            <w:tcBorders>
              <w:tl2br w:val="nil"/>
              <w:tr2bl w:val="nil"/>
            </w:tcBorders>
            <w:noWrap w:val="0"/>
            <w:vAlign w:val="top"/>
          </w:tcPr>
          <w:p w14:paraId="7AE93CEB">
            <w:pPr>
              <w:pStyle w:val="48"/>
              <w:keepNext w:val="0"/>
              <w:keepLines w:val="0"/>
              <w:pageBreakBefore w:val="0"/>
              <w:widowControl w:val="0"/>
              <w:kinsoku w:val="0"/>
              <w:wordWrap/>
              <w:overflowPunct w:val="0"/>
              <w:topLinePunct w:val="0"/>
              <w:autoSpaceDE w:val="0"/>
              <w:autoSpaceDN w:val="0"/>
              <w:bidi w:val="0"/>
              <w:adjustRightInd w:val="0"/>
              <w:snapToGrid/>
              <w:spacing w:beforeLines="0" w:afterLines="0"/>
              <w:textAlignment w:val="auto"/>
              <w:rPr>
                <w:rFonts w:hint="default" w:ascii="Times New Roman" w:hAnsi="Times New Roman" w:eastAsia="宋体" w:cs="Times New Roman"/>
                <w:color w:val="FF0000"/>
                <w:sz w:val="24"/>
                <w:szCs w:val="24"/>
                <w:highlight w:val="none"/>
                <w:lang w:val="en-US" w:eastAsia="zh-CN"/>
              </w:rPr>
            </w:pPr>
            <w:r>
              <w:rPr>
                <w:rFonts w:hint="default" w:ascii="Times New Roman" w:hAnsi="Times New Roman" w:cs="Times New Roman"/>
                <w:color w:val="FF0000"/>
                <w:sz w:val="24"/>
                <w:szCs w:val="24"/>
                <w:highlight w:val="none"/>
                <w:lang w:val="en-US" w:eastAsia="zh-CN"/>
              </w:rPr>
              <w:t>0.8</w:t>
            </w:r>
            <w:r>
              <w:rPr>
                <w:rFonts w:hint="eastAsia" w:ascii="Times New Roman" w:hAnsi="Times New Roman" w:cs="Times New Roman"/>
                <w:color w:val="FF0000"/>
                <w:sz w:val="24"/>
                <w:szCs w:val="24"/>
                <w:highlight w:val="none"/>
                <w:lang w:val="en-US" w:eastAsia="zh-CN"/>
              </w:rPr>
              <w:t>3</w:t>
            </w:r>
          </w:p>
        </w:tc>
      </w:tr>
    </w:tbl>
    <w:p w14:paraId="0F038440">
      <w:pPr>
        <w:pStyle w:val="14"/>
        <w:kinsoku w:val="0"/>
        <w:overflowPunct w:val="0"/>
        <w:spacing w:before="8" w:beforeLines="0" w:afterLines="0"/>
        <w:ind w:left="0"/>
        <w:rPr>
          <w:rFonts w:hint="default" w:ascii="Times New Roman" w:hAnsi="Times New Roman" w:eastAsia="Times New Roman" w:cs="Times New Roman"/>
          <w:b/>
          <w:color w:val="auto"/>
          <w:sz w:val="9"/>
          <w:szCs w:val="24"/>
          <w:highlight w:val="none"/>
        </w:rPr>
      </w:pPr>
    </w:p>
    <w:p w14:paraId="058140AD">
      <w:pPr>
        <w:pStyle w:val="14"/>
        <w:kinsoku w:val="0"/>
        <w:overflowPunct w:val="0"/>
        <w:spacing w:beforeLines="0" w:afterLines="0"/>
        <w:ind w:left="0"/>
        <w:rPr>
          <w:rFonts w:hint="default" w:ascii="Times New Roman" w:hAnsi="Times New Roman" w:cs="Times New Roman"/>
          <w:color w:val="auto"/>
          <w:sz w:val="20"/>
          <w:szCs w:val="24"/>
          <w:highlight w:val="none"/>
        </w:rPr>
      </w:pPr>
    </w:p>
    <w:p w14:paraId="52B18C16">
      <w:pPr>
        <w:pStyle w:val="14"/>
        <w:kinsoku w:val="0"/>
        <w:overflowPunct w:val="0"/>
        <w:spacing w:beforeLines="0" w:afterLines="0"/>
        <w:ind w:left="0"/>
        <w:rPr>
          <w:rFonts w:hint="default" w:ascii="Times New Roman" w:hAnsi="Times New Roman" w:cs="Times New Roman"/>
          <w:color w:val="auto"/>
          <w:sz w:val="20"/>
          <w:szCs w:val="24"/>
          <w:highlight w:val="none"/>
        </w:rPr>
      </w:pPr>
    </w:p>
    <w:p w14:paraId="273503C3">
      <w:pPr>
        <w:pStyle w:val="14"/>
        <w:kinsoku w:val="0"/>
        <w:overflowPunct w:val="0"/>
        <w:spacing w:beforeLines="0" w:afterLines="0"/>
        <w:ind w:left="0"/>
        <w:rPr>
          <w:rFonts w:hint="default" w:ascii="Times New Roman" w:hAnsi="Times New Roman" w:cs="Times New Roman"/>
          <w:color w:val="auto"/>
          <w:sz w:val="20"/>
          <w:szCs w:val="24"/>
          <w:highlight w:val="none"/>
        </w:rPr>
      </w:pPr>
    </w:p>
    <w:p w14:paraId="2397D677">
      <w:pPr>
        <w:pStyle w:val="14"/>
        <w:kinsoku w:val="0"/>
        <w:overflowPunct w:val="0"/>
        <w:spacing w:beforeLines="0" w:afterLines="0"/>
        <w:ind w:left="0"/>
        <w:rPr>
          <w:rFonts w:hint="default" w:ascii="Times New Roman" w:hAnsi="Times New Roman" w:cs="Times New Roman"/>
          <w:color w:val="auto"/>
          <w:sz w:val="20"/>
          <w:szCs w:val="24"/>
          <w:highlight w:val="none"/>
        </w:rPr>
      </w:pPr>
    </w:p>
    <w:p w14:paraId="64246F8B">
      <w:pPr>
        <w:pStyle w:val="2"/>
        <w:bidi w:val="0"/>
        <w:rPr>
          <w:rFonts w:hint="default"/>
        </w:rPr>
      </w:pPr>
      <w:bookmarkStart w:id="180" w:name="4环境现状调查与评价"/>
      <w:bookmarkEnd w:id="180"/>
      <w:bookmarkStart w:id="181" w:name="bookmark24"/>
      <w:bookmarkEnd w:id="181"/>
      <w:r>
        <w:rPr>
          <w:rFonts w:hint="default"/>
        </w:rPr>
        <w:br w:type="page"/>
      </w:r>
      <w:bookmarkStart w:id="182" w:name="_Toc26211"/>
      <w:bookmarkStart w:id="183" w:name="_Toc31717"/>
      <w:r>
        <w:rPr>
          <w:rFonts w:hint="default"/>
        </w:rPr>
        <w:t>环境现状调查与评价</w:t>
      </w:r>
      <w:bookmarkEnd w:id="182"/>
      <w:bookmarkEnd w:id="183"/>
    </w:p>
    <w:p w14:paraId="3C88B304">
      <w:pPr>
        <w:pStyle w:val="3"/>
        <w:bidi w:val="0"/>
        <w:rPr>
          <w:rFonts w:hint="default"/>
        </w:rPr>
      </w:pPr>
      <w:bookmarkStart w:id="184" w:name="bookmark25"/>
      <w:bookmarkEnd w:id="184"/>
      <w:bookmarkStart w:id="185" w:name="4.1自然环境现状调查与评价"/>
      <w:bookmarkEnd w:id="185"/>
      <w:bookmarkStart w:id="186" w:name="_Toc4350"/>
      <w:bookmarkStart w:id="187" w:name="_Toc7252"/>
      <w:r>
        <w:rPr>
          <w:rFonts w:hint="default"/>
        </w:rPr>
        <w:t>自然环境现状调查与评价</w:t>
      </w:r>
      <w:bookmarkEnd w:id="186"/>
      <w:bookmarkEnd w:id="187"/>
    </w:p>
    <w:p w14:paraId="77628C24">
      <w:pPr>
        <w:pStyle w:val="4"/>
        <w:bidi w:val="0"/>
        <w:rPr>
          <w:rFonts w:hint="default"/>
        </w:rPr>
      </w:pPr>
      <w:bookmarkStart w:id="188" w:name="4.1.1地理位置"/>
      <w:bookmarkEnd w:id="188"/>
      <w:r>
        <w:rPr>
          <w:rFonts w:hint="default"/>
        </w:rPr>
        <w:t>地理位置</w:t>
      </w:r>
    </w:p>
    <w:p w14:paraId="11626433">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阜康市地处新疆维吾尔自治区中北部，昌吉回族自治州中部，位于天山山脉博格达峰北麓、准噶尔盆地南缘，境内有著名的国家5A级风景名胜区一天山天池。东临吉木萨尔县、西接米泉，南倚天山分水岭与乌鲁木齐县相邻，北入古尔班通古特沙漠与阿勒泰地区富蕴县接壤。全市南北长198km，东西宽74km，行政区总面积11726k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，地理坐标处于东经87°46′</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88°44′、北纬43°45′</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45°30'之间。</w:t>
      </w:r>
    </w:p>
    <w:p w14:paraId="7F1D13CD">
      <w:pPr>
        <w:spacing w:beforeLines="0" w:afterLines="0"/>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新疆阜康市北部沙漠天然石英砂矿（压裂用）项目</w:t>
      </w:r>
      <w:r>
        <w:rPr>
          <w:rFonts w:hint="default" w:ascii="Times New Roman" w:hAnsi="Times New Roman" w:cs="Times New Roman"/>
          <w:color w:val="auto"/>
          <w:sz w:val="24"/>
          <w:szCs w:val="24"/>
          <w:highlight w:val="none"/>
          <w:lang w:eastAsia="zh-CN"/>
        </w:rPr>
        <w:t>位于阜康市</w:t>
      </w:r>
      <w:r>
        <w:rPr>
          <w:rFonts w:hint="default" w:ascii="Times New Roman" w:hAnsi="Times New Roman" w:cs="Times New Roman"/>
          <w:color w:val="auto"/>
          <w:sz w:val="24"/>
          <w:szCs w:val="24"/>
          <w:highlight w:val="none"/>
          <w:lang w:val="en-US" w:eastAsia="zh-CN"/>
        </w:rPr>
        <w:t>20</w:t>
      </w:r>
      <w:r>
        <w:rPr>
          <w:rFonts w:hint="default" w:ascii="Times New Roman" w:hAnsi="Times New Roman" w:cs="Times New Roman"/>
          <w:color w:val="auto"/>
          <w:sz w:val="24"/>
          <w:szCs w:val="24"/>
          <w:highlight w:val="none"/>
          <w:lang w:eastAsia="zh-CN"/>
        </w:rPr>
        <w:t>°方位，直线距离</w:t>
      </w:r>
      <w:r>
        <w:rPr>
          <w:rFonts w:hint="default" w:ascii="Times New Roman" w:hAnsi="Times New Roman" w:cs="Times New Roman"/>
          <w:color w:val="auto"/>
          <w:sz w:val="24"/>
          <w:szCs w:val="24"/>
          <w:highlight w:val="none"/>
          <w:lang w:val="en-US" w:eastAsia="zh-CN"/>
        </w:rPr>
        <w:t>6</w:t>
      </w:r>
      <w:r>
        <w:rPr>
          <w:rFonts w:hint="default" w:ascii="Times New Roman" w:hAnsi="Times New Roman" w:cs="Times New Roman"/>
          <w:color w:val="auto"/>
          <w:sz w:val="24"/>
          <w:szCs w:val="24"/>
          <w:highlight w:val="none"/>
          <w:lang w:eastAsia="zh-CN"/>
        </w:rPr>
        <w:t>0km处</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项目区东南西北侧均为天然牧草地，矿区有自然形成的简易便道穿过</w:t>
      </w:r>
      <w:r>
        <w:rPr>
          <w:rFonts w:hint="default" w:ascii="Times New Roman" w:hAnsi="Times New Roman" w:cs="Times New Roman"/>
          <w:color w:val="auto"/>
          <w:sz w:val="24"/>
          <w:szCs w:val="24"/>
          <w:highlight w:val="none"/>
          <w:lang w:eastAsia="zh-CN"/>
        </w:rPr>
        <w:t>。矿区中心地理坐标：</w:t>
      </w:r>
      <w:r>
        <w:rPr>
          <w:rFonts w:hint="default" w:ascii="Times New Roman" w:hAnsi="Times New Roman" w:cs="Times New Roman"/>
          <w:color w:val="auto"/>
          <w:sz w:val="24"/>
          <w:szCs w:val="24"/>
          <w:highlight w:val="none"/>
          <w:lang w:val="en-US" w:eastAsia="zh-CN"/>
        </w:rPr>
        <w:t>东经88°17′45″；北纬44°42′00″</w:t>
      </w:r>
      <w:r>
        <w:rPr>
          <w:rFonts w:hint="default" w:ascii="Times New Roman" w:hAnsi="Times New Roman" w:cs="Times New Roman"/>
          <w:color w:val="auto"/>
          <w:sz w:val="24"/>
          <w:szCs w:val="24"/>
          <w:highlight w:val="none"/>
          <w:lang w:eastAsia="zh-CN"/>
        </w:rPr>
        <w:t>。行政区划隶属于昌吉州阜康市管辖。具体位置见项目地理位置</w:t>
      </w:r>
      <w:r>
        <w:rPr>
          <w:rFonts w:hint="eastAsia" w:cs="Times New Roman"/>
          <w:color w:val="auto"/>
          <w:sz w:val="24"/>
          <w:szCs w:val="24"/>
          <w:highlight w:val="none"/>
          <w:lang w:val="en-US" w:eastAsia="zh-CN"/>
        </w:rPr>
        <w:t>附</w:t>
      </w:r>
      <w:r>
        <w:rPr>
          <w:rFonts w:hint="default" w:ascii="Times New Roman" w:hAnsi="Times New Roman" w:cs="Times New Roman"/>
          <w:color w:val="auto"/>
          <w:sz w:val="24"/>
          <w:szCs w:val="24"/>
          <w:highlight w:val="none"/>
          <w:lang w:eastAsia="zh-CN"/>
        </w:rPr>
        <w:t>图4.1-1。</w:t>
      </w:r>
    </w:p>
    <w:p w14:paraId="405C5D30">
      <w:pPr>
        <w:pStyle w:val="4"/>
        <w:bidi w:val="0"/>
        <w:rPr>
          <w:rFonts w:hint="default"/>
        </w:rPr>
      </w:pPr>
      <w:bookmarkStart w:id="189" w:name="4.1.2地形、地貌"/>
      <w:bookmarkEnd w:id="189"/>
      <w:r>
        <w:rPr>
          <w:rFonts w:hint="default"/>
        </w:rPr>
        <w:t>地形、地貌</w:t>
      </w:r>
    </w:p>
    <w:p w14:paraId="532A1C7D">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阜康市域地势南高北低，由东南向西北方向倾斜，海拔高程为5445</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450m，从山区过渡为平原再至沙漠，构成典型的干旱半干旱的自然景观。区内地貌形态具有明显的分带性，其南部为东西向展布的博格达山，向北依次为山前倾斜平原、冲积平原及沙漠，形成南部山区、中部平原区和北部沙漠区三个地貌单元。在阜康市域11726km2总面积中，山地面积1811k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，平原面积2260km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，沙漠面积4555km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w:t>
      </w:r>
    </w:p>
    <w:p w14:paraId="2BEEA53F">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（1）南部山区</w:t>
      </w:r>
    </w:p>
    <w:p w14:paraId="2D4DA74A">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海拔5445</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800m，位于天山山脉东段北坡，山峰连绵，沟壑纵横。天山山脉呈东西走向。山地地貌在不同的海拔高度呈现不同的地貌景观并形成5个大的地貌带。地貌带南北向排列，东西向延展。海拔3500m以上的极高山区，终年冰雪，是现代冰川发育的地区，为极高山永久冰雪带；海拔3500</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2800m之间为高山苔原草被带；海拔2800</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1500m为中山峡谷森林带；海拔1500</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1200m 之间为低山苔草被带。海拔1200</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800m为丘陵荒漠带，山体低矮呈丘陵状，山顶浑圆平缓，山体基岩由侏罗纪含煤地层组成，上覆山地栗钙土，生长稀疏的荒漠植被。水土流失严重，呈现出石漠景观。</w:t>
      </w:r>
    </w:p>
    <w:p w14:paraId="5ADA9DEB">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（2）中部平原区</w:t>
      </w:r>
    </w:p>
    <w:p w14:paraId="65A03DFA">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海拔800</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450m的平原区，是北疆环绕沙漠盆地的平原绿洲的一部分，有河流冲积、洪积而成。地势由东南向西北倾斜，平均坡度2.5%,东西最长76km，南北最宽34km。分为：海拔800</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600m之间为山前戈壁砾石带，由各河流与冲、洪积扇相连而成。地形开阔平坦，土壤以灰漠土、荒漠土为主，土层较薄，植被稀疏。海拔600</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450m为细土平原带，地势平坦开阔，地表完整，没有大的河谷。该地带土层深厚，局部地区夹杂着盐碱地与沼泽。这里大部分地区为干旱草场和灌溉农田，地貌类型单一。阜康市域的农业人口基本集中于此。</w:t>
      </w:r>
    </w:p>
    <w:p w14:paraId="089F9F49">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（3）北部沙漠区</w:t>
      </w:r>
    </w:p>
    <w:p w14:paraId="7DD0A43B">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海拔高程450-800m，为古尔班通古特沙漠的一部分，约占阜康境内总面积的53%。区内沙丘在西泉农场以北为宽约1km，长4-8km的垄状复合，新月型沙丘链，沙丘高15-30m。此带以西沙丘以新月型沙丘为主，以东以蜂窝状沙丘和新月型沙丘为主，沙丘高5-15m，沙丘表面有沙波纹，沙粒粒径0.1-0.25m。</w:t>
      </w:r>
    </w:p>
    <w:p w14:paraId="5C77A6D5">
      <w:pPr>
        <w:spacing w:beforeLines="0" w:afterLines="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矿区地貌</w:t>
      </w:r>
    </w:p>
    <w:p w14:paraId="21F53A0D">
      <w:pPr>
        <w:spacing w:beforeLines="0" w:afterLines="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矿区</w:t>
      </w:r>
      <w:r>
        <w:rPr>
          <w:rFonts w:hint="default" w:ascii="Times New Roman" w:hAnsi="Times New Roman" w:eastAsia="宋体" w:cs="Times New Roman"/>
          <w:color w:val="auto"/>
          <w:sz w:val="24"/>
          <w:szCs w:val="24"/>
          <w:highlight w:val="none"/>
        </w:rPr>
        <w:t>位于</w:t>
      </w:r>
      <w:r>
        <w:rPr>
          <w:rFonts w:hint="default" w:ascii="Times New Roman" w:hAnsi="Times New Roman" w:eastAsia="宋体" w:cs="Times New Roman"/>
          <w:color w:val="auto"/>
          <w:sz w:val="24"/>
          <w:szCs w:val="24"/>
          <w:highlight w:val="none"/>
          <w:lang w:val="en-US" w:eastAsia="zh-CN"/>
        </w:rPr>
        <w:t>阜康市北部</w:t>
      </w:r>
      <w:r>
        <w:rPr>
          <w:rFonts w:hint="default" w:ascii="Times New Roman" w:hAnsi="Times New Roman" w:eastAsia="宋体" w:cs="Times New Roman"/>
          <w:color w:val="auto"/>
          <w:sz w:val="24"/>
          <w:szCs w:val="24"/>
          <w:highlight w:val="none"/>
        </w:rPr>
        <w:t>沙漠区，海拔</w:t>
      </w:r>
      <w:r>
        <w:rPr>
          <w:rFonts w:hint="default" w:ascii="Times New Roman" w:hAnsi="Times New Roman" w:eastAsia="宋体" w:cs="Times New Roman"/>
          <w:color w:val="auto"/>
          <w:sz w:val="24"/>
          <w:szCs w:val="24"/>
          <w:highlight w:val="none"/>
          <w:lang w:val="en-US" w:eastAsia="zh-CN"/>
        </w:rPr>
        <w:t>573-623m</w:t>
      </w:r>
      <w:r>
        <w:rPr>
          <w:rFonts w:hint="default" w:ascii="Times New Roman" w:hAnsi="Times New Roman" w:eastAsia="宋体" w:cs="Times New Roman"/>
          <w:color w:val="auto"/>
          <w:sz w:val="24"/>
          <w:szCs w:val="24"/>
          <w:highlight w:val="none"/>
        </w:rPr>
        <w:t>，属于古尔班通古特沙漠的一部分，地势稍有起伏，多为风积形成的固定、半固定链状沙丘，沙丘链总体走向</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rPr>
        <w:t>20°，其相对高度一般为5</w:t>
      </w:r>
      <w:r>
        <w:rPr>
          <w:rFonts w:hint="default" w:ascii="Times New Roman" w:hAnsi="Times New Roman" w:eastAsia="宋体" w:cs="Times New Roman"/>
          <w:color w:val="auto"/>
          <w:sz w:val="24"/>
          <w:szCs w:val="24"/>
          <w:highlight w:val="none"/>
          <w:lang w:val="en-US" w:eastAsia="zh-CN"/>
        </w:rPr>
        <w:t>-15</w:t>
      </w:r>
      <w:r>
        <w:rPr>
          <w:rFonts w:hint="default" w:ascii="Times New Roman" w:hAnsi="Times New Roman" w:eastAsia="宋体" w:cs="Times New Roman"/>
          <w:color w:val="auto"/>
          <w:sz w:val="24"/>
          <w:szCs w:val="24"/>
          <w:highlight w:val="none"/>
        </w:rPr>
        <w:t>米沙丘，</w:t>
      </w:r>
      <w:r>
        <w:rPr>
          <w:rFonts w:hint="default" w:ascii="Times New Roman" w:hAnsi="Times New Roman" w:eastAsia="宋体" w:cs="Times New Roman"/>
          <w:color w:val="auto"/>
          <w:sz w:val="24"/>
          <w:szCs w:val="24"/>
          <w:highlight w:val="none"/>
          <w:lang w:val="en-US" w:eastAsia="zh-CN"/>
        </w:rPr>
        <w:t>地形坡度在5-25°。</w:t>
      </w:r>
      <w:r>
        <w:rPr>
          <w:rFonts w:hint="default" w:ascii="Times New Roman" w:hAnsi="Times New Roman" w:eastAsia="宋体" w:cs="Times New Roman"/>
          <w:color w:val="auto"/>
          <w:sz w:val="24"/>
          <w:szCs w:val="24"/>
          <w:highlight w:val="none"/>
        </w:rPr>
        <w:t>评估区地貌单一，微地貌形态较简单，地形起伏变化小，自然排水条件较好。拟建布局均位于矿区平坦区域。</w:t>
      </w:r>
    </w:p>
    <w:p w14:paraId="3B054E4D">
      <w:pPr>
        <w:pStyle w:val="4"/>
        <w:bidi w:val="0"/>
        <w:rPr>
          <w:rFonts w:hint="default"/>
        </w:rPr>
      </w:pPr>
      <w:bookmarkStart w:id="190" w:name="4.1.3工程地质"/>
      <w:bookmarkEnd w:id="190"/>
      <w:r>
        <w:rPr>
          <w:rFonts w:hint="default"/>
        </w:rPr>
        <w:t>工程地质</w:t>
      </w:r>
    </w:p>
    <w:p w14:paraId="234919D3">
      <w:pPr>
        <w:numPr>
          <w:ilvl w:val="0"/>
          <w:numId w:val="31"/>
        </w:numPr>
        <w:spacing w:beforeLines="0" w:afterLines="0"/>
        <w:ind w:firstLine="5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地层岩性</w:t>
      </w:r>
    </w:p>
    <w:p w14:paraId="69D662EA">
      <w:pPr>
        <w:ind w:firstLine="480"/>
        <w:rPr>
          <w:rFonts w:hint="default" w:ascii="Times New Roman" w:hAnsi="Times New Roman" w:cs="Times New Roman"/>
          <w:color w:val="auto"/>
          <w:sz w:val="24"/>
          <w:szCs w:val="28"/>
          <w:highlight w:val="none"/>
        </w:rPr>
      </w:pPr>
      <w:r>
        <w:rPr>
          <w:rFonts w:hint="default" w:ascii="Times New Roman" w:hAnsi="Times New Roman" w:cs="Times New Roman"/>
          <w:color w:val="auto"/>
          <w:sz w:val="24"/>
          <w:szCs w:val="24"/>
          <w:highlight w:val="none"/>
        </w:rPr>
        <w:t>矿区位于古尔班通古特沙漠南部北沙窝一带。出露地层为第四系全新统风积物（Qheol），</w:t>
      </w:r>
      <w:r>
        <w:rPr>
          <w:rFonts w:hint="default" w:ascii="Times New Roman" w:hAnsi="Times New Roman" w:cs="Times New Roman"/>
          <w:color w:val="auto"/>
          <w:sz w:val="24"/>
          <w:szCs w:val="28"/>
          <w:highlight w:val="none"/>
        </w:rPr>
        <w:t>岩性为石英砂，地表总体呈灰黄～土黄色～灰褐色，往深部黄色逐渐变淡，由矿物颗粒松散堆积而成，未固结～微弱固结，砂粒矿物主要由石英（80～95%）、岩屑（0～5%）和少量长石（0～4%）组成。石英颗粒呈白色、无色透明状，近球状。石英砂粒的磨圆、分选性较好，主体粒径在0.1-1.0mm之间，以0.1-0.</w:t>
      </w:r>
      <w:r>
        <w:rPr>
          <w:rFonts w:hint="default" w:ascii="Times New Roman" w:hAnsi="Times New Roman" w:cs="Times New Roman"/>
          <w:color w:val="auto"/>
          <w:sz w:val="24"/>
          <w:szCs w:val="28"/>
          <w:highlight w:val="none"/>
          <w:lang w:val="en-US" w:eastAsia="zh-CN"/>
        </w:rPr>
        <w:t>4</w:t>
      </w:r>
      <w:r>
        <w:rPr>
          <w:rFonts w:hint="default" w:ascii="Times New Roman" w:hAnsi="Times New Roman" w:cs="Times New Roman"/>
          <w:color w:val="auto"/>
          <w:sz w:val="24"/>
          <w:szCs w:val="28"/>
          <w:highlight w:val="none"/>
        </w:rPr>
        <w:t>mm占比较大，少量粒径在0.1mm以下及1.0mm以上。岩屑多呈深灰色，椭球状，粒径大小在0.1-1.0mm之间。长石可见有白色斜长石和暗红色钾长石组成，多呈椭圆状。</w:t>
      </w:r>
    </w:p>
    <w:p w14:paraId="00AD3BDB">
      <w:pPr>
        <w:numPr>
          <w:ilvl w:val="0"/>
          <w:numId w:val="0"/>
        </w:numPr>
        <w:spacing w:beforeLines="0" w:afterLines="0"/>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结合钻孔资料对比分析，石英砂在横向上和垂向上变化均不明显或呈渐变关系，肉眼无法对石英砂进行分层。区内大面积被第四系风积层覆盖，未见岩浆岩出露。</w:t>
      </w:r>
    </w:p>
    <w:p w14:paraId="0D629B24">
      <w:pPr>
        <w:numPr>
          <w:ilvl w:val="0"/>
          <w:numId w:val="31"/>
        </w:numPr>
        <w:spacing w:beforeLines="0" w:afterLines="0"/>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地质构造</w:t>
      </w:r>
    </w:p>
    <w:p w14:paraId="54F757E8">
      <w:pPr>
        <w:numPr>
          <w:ilvl w:val="0"/>
          <w:numId w:val="0"/>
        </w:numPr>
        <w:spacing w:beforeLines="0" w:afterLines="0"/>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地表未见新构造运动形迹。</w:t>
      </w:r>
    </w:p>
    <w:p w14:paraId="369C21CB">
      <w:pPr>
        <w:bidi w:val="0"/>
        <w:rPr>
          <w:rFonts w:hint="default" w:ascii="Times New Roman" w:hAnsi="Times New Roman" w:cs="Times New Roman"/>
          <w:color w:val="auto"/>
          <w:highlight w:val="none"/>
        </w:rPr>
      </w:pPr>
      <w:bookmarkStart w:id="191" w:name="_Toc23574"/>
      <w:r>
        <w:rPr>
          <w:rFonts w:hint="default" w:ascii="Times New Roman" w:hAnsi="Times New Roman" w:cs="Times New Roman"/>
          <w:color w:val="auto"/>
          <w:highlight w:val="none"/>
        </w:rPr>
        <w:t>1、地震</w:t>
      </w:r>
      <w:bookmarkEnd w:id="191"/>
    </w:p>
    <w:p w14:paraId="4633CBF6">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根据新疆维吾尔自治区地震局资料，自1934年以来阜康市及周围地区已发生大于Ms4.7级地震6次，微小地震经常发生，地震动峰值加速度为0.05～0.20g，对应地震基本烈度为Ⅵ～Ⅷ度。</w:t>
      </w:r>
    </w:p>
    <w:p w14:paraId="48FACE2D">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中国地震动参数区划图》（GB18306-2015）中的《中国地震动峰值加速度区划图》和《中国地震动反映谱特征周期区划图》，矿区地震动峰值加速度为0.05g，地震动加速度反应谱特征周期值为0.40s，地震基本烈度Ⅵ度区。</w:t>
      </w:r>
    </w:p>
    <w:p w14:paraId="41C9D4A9">
      <w:pPr>
        <w:bidi w:val="0"/>
        <w:rPr>
          <w:rFonts w:hint="default" w:ascii="Times New Roman" w:hAnsi="Times New Roman" w:cs="Times New Roman"/>
          <w:color w:val="auto"/>
          <w:highlight w:val="none"/>
        </w:rPr>
      </w:pPr>
      <w:bookmarkStart w:id="192" w:name="_Toc3476"/>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地壳稳定性</w:t>
      </w:r>
      <w:bookmarkEnd w:id="192"/>
    </w:p>
    <w:p w14:paraId="69071B12">
      <w:pPr>
        <w:numPr>
          <w:ilvl w:val="0"/>
          <w:numId w:val="0"/>
        </w:numPr>
        <w:spacing w:beforeLines="0" w:afterLines="0"/>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矿区内褶皱、断裂构造不发育，附近无全新世活动断裂通过。评估区地壳稳定性划分为基本稳定区，工程建设条件适宜，但需设防。</w:t>
      </w:r>
    </w:p>
    <w:p w14:paraId="31279A63">
      <w:pPr>
        <w:pStyle w:val="4"/>
        <w:bidi w:val="0"/>
        <w:rPr>
          <w:rFonts w:hint="default"/>
        </w:rPr>
      </w:pPr>
      <w:bookmarkStart w:id="193" w:name="4.1.4水文及水文地质"/>
      <w:bookmarkEnd w:id="193"/>
      <w:bookmarkStart w:id="194" w:name="_Toc27386"/>
      <w:r>
        <w:rPr>
          <w:rFonts w:hint="default"/>
        </w:rPr>
        <w:t>水文及水文地质</w:t>
      </w:r>
      <w:bookmarkEnd w:id="194"/>
    </w:p>
    <w:p w14:paraId="0315A511">
      <w:pPr>
        <w:pStyle w:val="5"/>
        <w:bidi w:val="0"/>
        <w:rPr>
          <w:rFonts w:hint="default"/>
        </w:rPr>
      </w:pPr>
      <w:bookmarkStart w:id="195" w:name="4.1.4.1地表水"/>
      <w:bookmarkEnd w:id="195"/>
      <w:bookmarkStart w:id="196" w:name="_Toc16019"/>
      <w:r>
        <w:rPr>
          <w:rFonts w:hint="default"/>
        </w:rPr>
        <w:t>地表水</w:t>
      </w:r>
      <w:bookmarkEnd w:id="196"/>
    </w:p>
    <w:p w14:paraId="456C6ACC">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阜康市市域内地表水、泉水、地下水均发源于南部山区，向北流逝。在海拔3300m以上的高山区，是冰川、积雪终年存在的地区，其中雪线（海拔3580m）以上是终年冰雪积累区，在海拔3300</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3580m的地区，冰雪在夏季昼融夜冻。高山区冰川东西向排列有54条，面积50.05km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，冰储量18.4亿m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，折合水量16.4亿m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。阜康市水资源总量为3.173亿立方米（含引水总量为1.547×10</w:t>
      </w:r>
      <w:r>
        <w:rPr>
          <w:rFonts w:hint="default" w:ascii="Times New Roman" w:hAnsi="Times New Roman" w:cs="Times New Roman"/>
          <w:color w:val="auto"/>
          <w:sz w:val="24"/>
          <w:szCs w:val="24"/>
          <w:highlight w:val="none"/>
          <w:vertAlign w:val="superscript"/>
        </w:rPr>
        <w:t>8</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）。市域内计有河流7条，自西向东分别为水磨河、三工河、四工河、甘河子河、白杨河、西沟河和黄山河</w:t>
      </w:r>
      <w:r>
        <w:rPr>
          <w:rFonts w:hint="default" w:ascii="Times New Roman" w:hAnsi="Times New Roman" w:cs="Times New Roman"/>
          <w:b/>
          <w:color w:val="auto"/>
          <w:sz w:val="24"/>
          <w:szCs w:val="24"/>
          <w:highlight w:val="none"/>
        </w:rPr>
        <w:t>（见图4.1-1）</w:t>
      </w:r>
      <w:r>
        <w:rPr>
          <w:rFonts w:hint="default" w:ascii="Times New Roman" w:hAnsi="Times New Roman" w:cs="Times New Roman"/>
          <w:color w:val="auto"/>
          <w:sz w:val="24"/>
          <w:szCs w:val="24"/>
          <w:highlight w:val="none"/>
        </w:rPr>
        <w:t>，各河流均源自山区，流逝于平原。由于山高坡降大，山区面积小，又处于干旱地区，所以河流流程短，径流量小，年径流量在各季节内差异很大。7条河流总计年均径流量1.94亿m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，平均流量6.16m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/s。年径流量丰枯变幅1.84</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1.92倍。河系水文特征参数见表4.1-1。</w:t>
      </w:r>
    </w:p>
    <w:p w14:paraId="74421730">
      <w:pPr>
        <w:pStyle w:val="14"/>
        <w:tabs>
          <w:tab w:val="left" w:pos="4447"/>
        </w:tabs>
        <w:kinsoku w:val="0"/>
        <w:overflowPunct w:val="0"/>
        <w:spacing w:beforeLines="0" w:afterLines="0" w:line="240" w:lineRule="auto"/>
        <w:ind w:left="3048" w:right="251"/>
        <w:rPr>
          <w:rFonts w:hint="default" w:ascii="Times New Roman" w:hAnsi="Times New Roman" w:cs="Times New Roman"/>
          <w:b/>
          <w:color w:val="auto"/>
          <w:sz w:val="14"/>
          <w:szCs w:val="24"/>
          <w:highlight w:val="none"/>
        </w:rPr>
      </w:pPr>
      <w:r>
        <w:rPr>
          <w:rFonts w:hint="default" w:ascii="Times New Roman" w:hAnsi="Times New Roman" w:cs="Times New Roman"/>
          <w:b/>
          <w:color w:val="auto"/>
          <w:sz w:val="24"/>
          <w:szCs w:val="24"/>
          <w:highlight w:val="none"/>
        </w:rPr>
        <w:t>表</w:t>
      </w:r>
      <w:r>
        <w:rPr>
          <w:rFonts w:hint="default" w:ascii="Times New Roman" w:hAnsi="Times New Roman" w:cs="Times New Roman"/>
          <w:b/>
          <w:color w:val="auto"/>
          <w:spacing w:val="-63"/>
          <w:sz w:val="24"/>
          <w:szCs w:val="24"/>
          <w:highlight w:val="none"/>
        </w:rPr>
        <w:t xml:space="preserve"> </w:t>
      </w:r>
      <w:r>
        <w:rPr>
          <w:rFonts w:hint="default" w:ascii="Times New Roman" w:hAnsi="Times New Roman" w:eastAsia="Times New Roman" w:cs="Times New Roman"/>
          <w:b/>
          <w:color w:val="auto"/>
          <w:sz w:val="24"/>
          <w:szCs w:val="24"/>
          <w:highlight w:val="none"/>
        </w:rPr>
        <w:t>4.1-1</w:t>
      </w:r>
      <w:r>
        <w:rPr>
          <w:rFonts w:hint="default" w:ascii="Times New Roman" w:hAnsi="Times New Roman" w:eastAsia="Times New Roman" w:cs="Times New Roman"/>
          <w:b/>
          <w:color w:val="auto"/>
          <w:sz w:val="24"/>
          <w:szCs w:val="24"/>
          <w:highlight w:val="none"/>
        </w:rPr>
        <w:tab/>
      </w:r>
      <w:r>
        <w:rPr>
          <w:rFonts w:hint="default" w:ascii="Times New Roman" w:hAnsi="Times New Roman" w:cs="Times New Roman"/>
          <w:b/>
          <w:color w:val="auto"/>
          <w:sz w:val="24"/>
          <w:szCs w:val="24"/>
          <w:highlight w:val="none"/>
        </w:rPr>
        <w:t>阜康市各河流水文特征</w:t>
      </w:r>
    </w:p>
    <w:tbl>
      <w:tblPr>
        <w:tblStyle w:val="31"/>
        <w:tblW w:w="0" w:type="auto"/>
        <w:tblInd w:w="2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71"/>
        <w:gridCol w:w="1122"/>
        <w:gridCol w:w="1138"/>
        <w:gridCol w:w="1130"/>
        <w:gridCol w:w="1138"/>
        <w:gridCol w:w="1100"/>
        <w:gridCol w:w="1143"/>
        <w:gridCol w:w="1332"/>
      </w:tblGrid>
      <w:tr w14:paraId="477CD6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071"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top"/>
          </w:tcPr>
          <w:p w14:paraId="3F5A48D6">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河流</w:t>
            </w:r>
          </w:p>
        </w:tc>
        <w:tc>
          <w:tcPr>
            <w:tcW w:w="22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top"/>
          </w:tcPr>
          <w:p w14:paraId="6EB88DF7">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河源冰川</w:t>
            </w:r>
          </w:p>
        </w:tc>
        <w:tc>
          <w:tcPr>
            <w:tcW w:w="1130"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top"/>
          </w:tcPr>
          <w:p w14:paraId="1D7136FE">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河道长度（km）</w:t>
            </w:r>
          </w:p>
        </w:tc>
        <w:tc>
          <w:tcPr>
            <w:tcW w:w="1138"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top"/>
          </w:tcPr>
          <w:p w14:paraId="107D775A">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流域面积（km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w:t>
            </w:r>
          </w:p>
        </w:tc>
        <w:tc>
          <w:tcPr>
            <w:tcW w:w="1100"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top"/>
          </w:tcPr>
          <w:p w14:paraId="600A301A">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年径流量（万m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w:t>
            </w:r>
          </w:p>
        </w:tc>
        <w:tc>
          <w:tcPr>
            <w:tcW w:w="1143"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top"/>
          </w:tcPr>
          <w:p w14:paraId="14FBB2EC">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年平均流量</w:t>
            </w:r>
          </w:p>
          <w:p w14:paraId="5FCDA847">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/s）</w:t>
            </w:r>
          </w:p>
        </w:tc>
        <w:tc>
          <w:tcPr>
            <w:tcW w:w="1332"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top"/>
          </w:tcPr>
          <w:p w14:paraId="58FA59E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年径流模数（l/s/km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w:t>
            </w:r>
          </w:p>
        </w:tc>
      </w:tr>
      <w:tr w14:paraId="37C397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071"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top"/>
          </w:tcPr>
          <w:p w14:paraId="0A290925">
            <w:pPr>
              <w:pStyle w:val="48"/>
              <w:spacing w:beforeLines="0" w:afterLines="0"/>
              <w:rPr>
                <w:rFonts w:hint="default" w:ascii="Times New Roman" w:hAnsi="Times New Roman" w:cs="Times New Roman"/>
                <w:color w:val="auto"/>
                <w:sz w:val="24"/>
                <w:szCs w:val="24"/>
                <w:highlight w:val="none"/>
              </w:rPr>
            </w:pPr>
          </w:p>
        </w:tc>
        <w:tc>
          <w:tcPr>
            <w:tcW w:w="1122"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27C5296E">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条数</w:t>
            </w:r>
          </w:p>
          <w:p w14:paraId="03D2C6F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（条）</w:t>
            </w:r>
          </w:p>
        </w:tc>
        <w:tc>
          <w:tcPr>
            <w:tcW w:w="1138"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1AA9C82C">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面积</w:t>
            </w:r>
          </w:p>
          <w:p w14:paraId="04B88F3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（km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w:t>
            </w:r>
          </w:p>
        </w:tc>
        <w:tc>
          <w:tcPr>
            <w:tcW w:w="113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top"/>
          </w:tcPr>
          <w:p w14:paraId="22F93F1E">
            <w:pPr>
              <w:pStyle w:val="48"/>
              <w:spacing w:beforeLines="0" w:afterLines="0"/>
              <w:rPr>
                <w:rFonts w:hint="default" w:ascii="Times New Roman" w:hAnsi="Times New Roman" w:cs="Times New Roman"/>
                <w:color w:val="auto"/>
                <w:sz w:val="24"/>
                <w:szCs w:val="24"/>
                <w:highlight w:val="none"/>
              </w:rPr>
            </w:pPr>
          </w:p>
        </w:tc>
        <w:tc>
          <w:tcPr>
            <w:tcW w:w="1138"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top"/>
          </w:tcPr>
          <w:p w14:paraId="4A27791B">
            <w:pPr>
              <w:pStyle w:val="48"/>
              <w:spacing w:beforeLines="0" w:afterLines="0"/>
              <w:rPr>
                <w:rFonts w:hint="default" w:ascii="Times New Roman" w:hAnsi="Times New Roman" w:cs="Times New Roman"/>
                <w:color w:val="auto"/>
                <w:sz w:val="24"/>
                <w:szCs w:val="24"/>
                <w:highlight w:val="none"/>
              </w:rPr>
            </w:pPr>
          </w:p>
        </w:tc>
        <w:tc>
          <w:tcPr>
            <w:tcW w:w="110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top"/>
          </w:tcPr>
          <w:p w14:paraId="06FF2272">
            <w:pPr>
              <w:pStyle w:val="48"/>
              <w:spacing w:beforeLines="0" w:afterLines="0"/>
              <w:rPr>
                <w:rFonts w:hint="default" w:ascii="Times New Roman" w:hAnsi="Times New Roman" w:cs="Times New Roman"/>
                <w:color w:val="auto"/>
                <w:sz w:val="24"/>
                <w:szCs w:val="24"/>
                <w:highlight w:val="none"/>
              </w:rPr>
            </w:pPr>
          </w:p>
        </w:tc>
        <w:tc>
          <w:tcPr>
            <w:tcW w:w="1143"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top"/>
          </w:tcPr>
          <w:p w14:paraId="4CCB6A20">
            <w:pPr>
              <w:pStyle w:val="48"/>
              <w:spacing w:beforeLines="0" w:afterLines="0"/>
              <w:rPr>
                <w:rFonts w:hint="default" w:ascii="Times New Roman" w:hAnsi="Times New Roman" w:cs="Times New Roman"/>
                <w:color w:val="auto"/>
                <w:sz w:val="24"/>
                <w:szCs w:val="24"/>
                <w:highlight w:val="none"/>
              </w:rPr>
            </w:pPr>
          </w:p>
        </w:tc>
        <w:tc>
          <w:tcPr>
            <w:tcW w:w="133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top"/>
          </w:tcPr>
          <w:p w14:paraId="7D63DC30">
            <w:pPr>
              <w:pStyle w:val="48"/>
              <w:spacing w:beforeLines="0" w:afterLines="0"/>
              <w:rPr>
                <w:rFonts w:hint="default" w:ascii="Times New Roman" w:hAnsi="Times New Roman" w:cs="Times New Roman"/>
                <w:color w:val="auto"/>
                <w:sz w:val="24"/>
                <w:szCs w:val="24"/>
                <w:highlight w:val="none"/>
              </w:rPr>
            </w:pPr>
          </w:p>
        </w:tc>
      </w:tr>
      <w:tr w14:paraId="1F7880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071"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3AEC3D6B">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水磨河</w:t>
            </w:r>
          </w:p>
        </w:tc>
        <w:tc>
          <w:tcPr>
            <w:tcW w:w="1122"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677B7DDD">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w:t>
            </w:r>
          </w:p>
        </w:tc>
        <w:tc>
          <w:tcPr>
            <w:tcW w:w="1138"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30D30487">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0.73</w:t>
            </w:r>
          </w:p>
        </w:tc>
        <w:tc>
          <w:tcPr>
            <w:tcW w:w="113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43BFDF4D">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40</w:t>
            </w:r>
          </w:p>
        </w:tc>
        <w:tc>
          <w:tcPr>
            <w:tcW w:w="1138"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6E8FF3B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228</w:t>
            </w:r>
          </w:p>
        </w:tc>
        <w:tc>
          <w:tcPr>
            <w:tcW w:w="110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4732EC0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2032</w:t>
            </w:r>
          </w:p>
        </w:tc>
        <w:tc>
          <w:tcPr>
            <w:tcW w:w="1143"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45CF5BA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0.64</w:t>
            </w:r>
          </w:p>
        </w:tc>
        <w:tc>
          <w:tcPr>
            <w:tcW w:w="1332"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7A76CC1D">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2.83</w:t>
            </w:r>
          </w:p>
        </w:tc>
      </w:tr>
      <w:tr w14:paraId="551C0E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071"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674FB18A">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三工河</w:t>
            </w:r>
          </w:p>
        </w:tc>
        <w:tc>
          <w:tcPr>
            <w:tcW w:w="1122"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3D97FFBB">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19</w:t>
            </w:r>
          </w:p>
        </w:tc>
        <w:tc>
          <w:tcPr>
            <w:tcW w:w="1138"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1F6CF648">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9.79</w:t>
            </w:r>
          </w:p>
        </w:tc>
        <w:tc>
          <w:tcPr>
            <w:tcW w:w="113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457FFFE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48</w:t>
            </w:r>
          </w:p>
        </w:tc>
        <w:tc>
          <w:tcPr>
            <w:tcW w:w="1138"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31F9BC66">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304</w:t>
            </w:r>
          </w:p>
        </w:tc>
        <w:tc>
          <w:tcPr>
            <w:tcW w:w="110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296A32C1">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5199</w:t>
            </w:r>
          </w:p>
        </w:tc>
        <w:tc>
          <w:tcPr>
            <w:tcW w:w="1143"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052B9EB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1.65</w:t>
            </w:r>
          </w:p>
        </w:tc>
        <w:tc>
          <w:tcPr>
            <w:tcW w:w="1332"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476BDFD5">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5.42</w:t>
            </w:r>
          </w:p>
        </w:tc>
      </w:tr>
      <w:tr w14:paraId="1681D0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071"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382BEFFD">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四工河</w:t>
            </w:r>
          </w:p>
        </w:tc>
        <w:tc>
          <w:tcPr>
            <w:tcW w:w="1122"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25CBF4E8">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w:t>
            </w:r>
          </w:p>
        </w:tc>
        <w:tc>
          <w:tcPr>
            <w:tcW w:w="1138"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5402D0F6">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8.13</w:t>
            </w:r>
          </w:p>
        </w:tc>
        <w:tc>
          <w:tcPr>
            <w:tcW w:w="113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717C41AE">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40</w:t>
            </w:r>
          </w:p>
        </w:tc>
        <w:tc>
          <w:tcPr>
            <w:tcW w:w="1138"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0F7CA2D7">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159</w:t>
            </w:r>
          </w:p>
        </w:tc>
        <w:tc>
          <w:tcPr>
            <w:tcW w:w="110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2A54B2CB">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2613</w:t>
            </w:r>
          </w:p>
        </w:tc>
        <w:tc>
          <w:tcPr>
            <w:tcW w:w="1143"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264F318C">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0.83</w:t>
            </w:r>
          </w:p>
        </w:tc>
        <w:tc>
          <w:tcPr>
            <w:tcW w:w="1332"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3DFEE407">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5.21</w:t>
            </w:r>
          </w:p>
        </w:tc>
      </w:tr>
      <w:tr w14:paraId="648F89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071"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02AEDE94">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甘河子河</w:t>
            </w:r>
          </w:p>
        </w:tc>
        <w:tc>
          <w:tcPr>
            <w:tcW w:w="1122"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47440858">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11</w:t>
            </w:r>
          </w:p>
        </w:tc>
        <w:tc>
          <w:tcPr>
            <w:tcW w:w="1138"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2943C53E">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8.9</w:t>
            </w:r>
          </w:p>
        </w:tc>
        <w:tc>
          <w:tcPr>
            <w:tcW w:w="113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27C1D06B">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70</w:t>
            </w:r>
          </w:p>
        </w:tc>
        <w:tc>
          <w:tcPr>
            <w:tcW w:w="1138"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6E8F8913">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234</w:t>
            </w:r>
          </w:p>
        </w:tc>
        <w:tc>
          <w:tcPr>
            <w:tcW w:w="110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13D38AD5">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2672</w:t>
            </w:r>
          </w:p>
        </w:tc>
        <w:tc>
          <w:tcPr>
            <w:tcW w:w="1143"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16249645">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0.85</w:t>
            </w:r>
          </w:p>
        </w:tc>
        <w:tc>
          <w:tcPr>
            <w:tcW w:w="1332"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4B6CC87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3.62</w:t>
            </w:r>
          </w:p>
        </w:tc>
      </w:tr>
      <w:tr w14:paraId="2E3C71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071"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66794DC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白杨河</w:t>
            </w:r>
          </w:p>
        </w:tc>
        <w:tc>
          <w:tcPr>
            <w:tcW w:w="1122"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0D12131B">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13</w:t>
            </w:r>
          </w:p>
        </w:tc>
        <w:tc>
          <w:tcPr>
            <w:tcW w:w="1138"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5D02CF5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24.5</w:t>
            </w:r>
          </w:p>
        </w:tc>
        <w:tc>
          <w:tcPr>
            <w:tcW w:w="113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071F7CFB">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60</w:t>
            </w:r>
          </w:p>
        </w:tc>
        <w:tc>
          <w:tcPr>
            <w:tcW w:w="1138"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263DE5A3">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252</w:t>
            </w:r>
          </w:p>
        </w:tc>
        <w:tc>
          <w:tcPr>
            <w:tcW w:w="110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4C5A8D6A">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6016</w:t>
            </w:r>
          </w:p>
        </w:tc>
        <w:tc>
          <w:tcPr>
            <w:tcW w:w="1143"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49C342C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1.91</w:t>
            </w:r>
          </w:p>
        </w:tc>
        <w:tc>
          <w:tcPr>
            <w:tcW w:w="1332"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685F2C8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7.57</w:t>
            </w:r>
          </w:p>
        </w:tc>
      </w:tr>
      <w:tr w14:paraId="79A135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071"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4EEBE59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西沟河</w:t>
            </w:r>
          </w:p>
        </w:tc>
        <w:tc>
          <w:tcPr>
            <w:tcW w:w="1122"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5A133CA7">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w:t>
            </w:r>
          </w:p>
        </w:tc>
        <w:tc>
          <w:tcPr>
            <w:tcW w:w="1138"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509E6B3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w:t>
            </w:r>
          </w:p>
        </w:tc>
        <w:tc>
          <w:tcPr>
            <w:tcW w:w="113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342CE5B5">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30</w:t>
            </w:r>
          </w:p>
        </w:tc>
        <w:tc>
          <w:tcPr>
            <w:tcW w:w="1138"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32698773">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p>
        </w:tc>
        <w:tc>
          <w:tcPr>
            <w:tcW w:w="110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1066D21A">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197</w:t>
            </w:r>
          </w:p>
        </w:tc>
        <w:tc>
          <w:tcPr>
            <w:tcW w:w="1143"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1365A8C3">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0.06</w:t>
            </w:r>
          </w:p>
        </w:tc>
        <w:tc>
          <w:tcPr>
            <w:tcW w:w="1332"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1DFFB224">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p>
        </w:tc>
      </w:tr>
      <w:tr w14:paraId="0938F2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071"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60C972BE">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黄山河</w:t>
            </w:r>
          </w:p>
        </w:tc>
        <w:tc>
          <w:tcPr>
            <w:tcW w:w="1122"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4DBD3A6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w:t>
            </w:r>
          </w:p>
        </w:tc>
        <w:tc>
          <w:tcPr>
            <w:tcW w:w="1138"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3AFD8F6D">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w:t>
            </w:r>
          </w:p>
        </w:tc>
        <w:tc>
          <w:tcPr>
            <w:tcW w:w="113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504041CE">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30</w:t>
            </w:r>
          </w:p>
        </w:tc>
        <w:tc>
          <w:tcPr>
            <w:tcW w:w="1138"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38C7A901">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122</w:t>
            </w:r>
          </w:p>
        </w:tc>
        <w:tc>
          <w:tcPr>
            <w:tcW w:w="110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737A5F1D">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688</w:t>
            </w:r>
          </w:p>
        </w:tc>
        <w:tc>
          <w:tcPr>
            <w:tcW w:w="1143"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348E6AF3">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0.22</w:t>
            </w:r>
          </w:p>
        </w:tc>
        <w:tc>
          <w:tcPr>
            <w:tcW w:w="1332"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2AF3180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1.79</w:t>
            </w:r>
          </w:p>
        </w:tc>
      </w:tr>
    </w:tbl>
    <w:p w14:paraId="274748E9">
      <w:pPr>
        <w:pStyle w:val="14"/>
        <w:kinsoku w:val="0"/>
        <w:overflowPunct w:val="0"/>
        <w:spacing w:before="6" w:beforeLines="0" w:afterLines="0"/>
        <w:ind w:left="0"/>
        <w:rPr>
          <w:rFonts w:hint="default" w:ascii="Times New Roman" w:hAnsi="Times New Roman" w:cs="Times New Roman"/>
          <w:b/>
          <w:color w:val="auto"/>
          <w:sz w:val="8"/>
          <w:szCs w:val="24"/>
          <w:highlight w:val="none"/>
        </w:rPr>
      </w:pPr>
    </w:p>
    <w:p w14:paraId="77694222">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市域内山区和平原均由泉水分布。山区泉水分布在低山及山口一带，泉水以深层裂隙水和河床潜流出露为主要形式。平原泉水以潜水溢出为主要形式，由于地下水的大量开采，部分泉眼干枯或流量减少。</w:t>
      </w:r>
    </w:p>
    <w:p w14:paraId="6BF8095F">
      <w:pPr>
        <w:pStyle w:val="14"/>
        <w:kinsoku w:val="0"/>
        <w:overflowPunct w:val="0"/>
        <w:spacing w:before="11" w:beforeLines="0" w:afterLines="0"/>
        <w:ind w:left="0"/>
        <w:rPr>
          <w:rFonts w:hint="default" w:ascii="Times New Roman" w:hAnsi="Times New Roman" w:cs="Times New Roman"/>
          <w:color w:val="auto"/>
          <w:sz w:val="7"/>
          <w:szCs w:val="24"/>
          <w:highlight w:val="none"/>
        </w:rPr>
      </w:pPr>
    </w:p>
    <w:p w14:paraId="5FFB3CCA">
      <w:pPr>
        <w:pStyle w:val="14"/>
        <w:kinsoku w:val="0"/>
        <w:overflowPunct w:val="0"/>
        <w:spacing w:beforeLines="0" w:afterLines="0" w:line="4619" w:lineRule="exact"/>
        <w:ind w:left="1037"/>
        <w:rPr>
          <w:rFonts w:hint="default" w:ascii="Times New Roman" w:hAnsi="Times New Roman" w:cs="Times New Roman"/>
          <w:color w:val="auto"/>
          <w:position w:val="-92"/>
          <w:sz w:val="20"/>
          <w:szCs w:val="24"/>
          <w:highlight w:val="none"/>
        </w:rPr>
      </w:pPr>
      <w:r>
        <w:rPr>
          <w:rFonts w:hint="default" w:ascii="Times New Roman" w:hAnsi="Times New Roman" w:cs="Times New Roman"/>
          <w:color w:val="auto"/>
          <w:position w:val="-92"/>
          <w:sz w:val="20"/>
          <w:szCs w:val="24"/>
          <w:highlight w:val="none"/>
        </w:rPr>
        <mc:AlternateContent>
          <mc:Choice Requires="wpg">
            <w:drawing>
              <wp:inline distT="0" distB="0" distL="114300" distR="114300">
                <wp:extent cx="4919345" cy="2933700"/>
                <wp:effectExtent l="0" t="0" r="8255" b="0"/>
                <wp:docPr id="11" name="组合 733"/>
                <wp:cNvGraphicFramePr/>
                <a:graphic xmlns:a="http://schemas.openxmlformats.org/drawingml/2006/main">
                  <a:graphicData uri="http://schemas.microsoft.com/office/word/2010/wordprocessingGroup">
                    <wpg:wgp>
                      <wpg:cNvGrpSpPr/>
                      <wpg:grpSpPr>
                        <a:xfrm>
                          <a:off x="0" y="0"/>
                          <a:ext cx="4919345" cy="2933700"/>
                          <a:chOff x="0" y="0"/>
                          <a:chExt cx="7150" cy="4620"/>
                        </a:xfrm>
                      </wpg:grpSpPr>
                      <wps:wsp>
                        <wps:cNvPr id="1" name="矩形 734"/>
                        <wps:cNvSpPr/>
                        <wps:spPr>
                          <a:xfrm>
                            <a:off x="25" y="25"/>
                            <a:ext cx="7100" cy="4560"/>
                          </a:xfrm>
                          <a:prstGeom prst="rect">
                            <a:avLst/>
                          </a:prstGeom>
                          <a:noFill/>
                          <a:ln>
                            <a:noFill/>
                          </a:ln>
                        </wps:spPr>
                        <wps:txbx>
                          <w:txbxContent>
                            <w:p w14:paraId="4BAA0EAD">
                              <w:pPr>
                                <w:widowControl/>
                                <w:autoSpaceDE/>
                                <w:autoSpaceDN/>
                                <w:adjustRightInd/>
                                <w:spacing w:beforeLines="0" w:afterLines="0" w:line="4560" w:lineRule="atLeast"/>
                                <w:rPr>
                                  <w:rFonts w:hint="default"/>
                                  <w:sz w:val="24"/>
                                  <w:szCs w:val="24"/>
                                </w:rPr>
                              </w:pPr>
                              <w:r>
                                <w:rPr>
                                  <w:rFonts w:hint="default"/>
                                  <w:sz w:val="24"/>
                                  <w:szCs w:val="24"/>
                                </w:rPr>
                                <w:drawing>
                                  <wp:inline distT="0" distB="0" distL="114300" distR="114300">
                                    <wp:extent cx="4531360" cy="2916555"/>
                                    <wp:effectExtent l="0" t="0" r="2540" b="4445"/>
                                    <wp:docPr id="13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38"/>
                                            <pic:cNvPicPr>
                                              <a:picLocks noChangeAspect="1"/>
                                            </pic:cNvPicPr>
                                          </pic:nvPicPr>
                                          <pic:blipFill>
                                            <a:blip r:embed="rId20"/>
                                            <a:stretch>
                                              <a:fillRect/>
                                            </a:stretch>
                                          </pic:blipFill>
                                          <pic:spPr>
                                            <a:xfrm>
                                              <a:off x="0" y="0"/>
                                              <a:ext cx="4531360" cy="2916555"/>
                                            </a:xfrm>
                                            <a:prstGeom prst="rect">
                                              <a:avLst/>
                                            </a:prstGeom>
                                            <a:noFill/>
                                            <a:ln>
                                              <a:noFill/>
                                            </a:ln>
                                          </pic:spPr>
                                        </pic:pic>
                                      </a:graphicData>
                                    </a:graphic>
                                  </wp:inline>
                                </w:drawing>
                              </w:r>
                            </w:p>
                            <w:p w14:paraId="726E1A8D">
                              <w:pPr>
                                <w:spacing w:beforeLines="0" w:afterLines="0"/>
                                <w:rPr>
                                  <w:rFonts w:hint="default"/>
                                  <w:sz w:val="24"/>
                                  <w:szCs w:val="24"/>
                                </w:rPr>
                              </w:pPr>
                            </w:p>
                          </w:txbxContent>
                        </wps:txbx>
                        <wps:bodyPr vert="horz" wrap="square" lIns="0" tIns="0" rIns="0" bIns="0" anchor="t" anchorCtr="0" upright="1"/>
                      </wps:wsp>
                      <wpg:grpSp>
                        <wpg:cNvPr id="10" name="组合 735"/>
                        <wpg:cNvGrpSpPr/>
                        <wpg:grpSpPr>
                          <a:xfrm>
                            <a:off x="0" y="0"/>
                            <a:ext cx="7150" cy="4620"/>
                            <a:chOff x="0" y="0"/>
                            <a:chExt cx="7150" cy="4620"/>
                          </a:xfrm>
                        </wpg:grpSpPr>
                        <wps:wsp>
                          <wps:cNvPr id="2" name="任意多边形 736"/>
                          <wps:cNvSpPr/>
                          <wps:spPr>
                            <a:xfrm>
                              <a:off x="0" y="0"/>
                              <a:ext cx="7150" cy="4620"/>
                            </a:xfrm>
                            <a:custGeom>
                              <a:avLst/>
                              <a:gdLst/>
                              <a:ahLst/>
                              <a:cxnLst/>
                              <a:pathLst>
                                <a:path w="7150" h="4620">
                                  <a:moveTo>
                                    <a:pt x="7149" y="4619"/>
                                  </a:moveTo>
                                  <a:lnTo>
                                    <a:pt x="0" y="4619"/>
                                  </a:lnTo>
                                  <a:lnTo>
                                    <a:pt x="0" y="0"/>
                                  </a:lnTo>
                                  <a:lnTo>
                                    <a:pt x="7149" y="0"/>
                                  </a:lnTo>
                                  <a:lnTo>
                                    <a:pt x="7149" y="12"/>
                                  </a:lnTo>
                                  <a:lnTo>
                                    <a:pt x="25" y="12"/>
                                  </a:lnTo>
                                  <a:lnTo>
                                    <a:pt x="12" y="25"/>
                                  </a:lnTo>
                                  <a:lnTo>
                                    <a:pt x="25" y="25"/>
                                  </a:lnTo>
                                  <a:lnTo>
                                    <a:pt x="25" y="4594"/>
                                  </a:lnTo>
                                  <a:lnTo>
                                    <a:pt x="12" y="4594"/>
                                  </a:lnTo>
                                  <a:lnTo>
                                    <a:pt x="25" y="4607"/>
                                  </a:lnTo>
                                  <a:lnTo>
                                    <a:pt x="7149" y="4607"/>
                                  </a:lnTo>
                                  <a:lnTo>
                                    <a:pt x="7149" y="4619"/>
                                  </a:lnTo>
                                  <a:close/>
                                </a:path>
                              </a:pathLst>
                            </a:custGeom>
                            <a:solidFill>
                              <a:srgbClr val="000000"/>
                            </a:solidFill>
                            <a:ln>
                              <a:noFill/>
                            </a:ln>
                          </wps:spPr>
                          <wps:bodyPr vert="horz" wrap="square" anchor="t" anchorCtr="0" upright="1"/>
                        </wps:wsp>
                        <wps:wsp>
                          <wps:cNvPr id="3" name="任意多边形 737"/>
                          <wps:cNvSpPr/>
                          <wps:spPr>
                            <a:xfrm>
                              <a:off x="0" y="0"/>
                              <a:ext cx="7150" cy="4620"/>
                            </a:xfrm>
                            <a:custGeom>
                              <a:avLst/>
                              <a:gdLst/>
                              <a:ahLst/>
                              <a:cxnLst/>
                              <a:pathLst>
                                <a:path w="7150" h="4620">
                                  <a:moveTo>
                                    <a:pt x="25" y="25"/>
                                  </a:moveTo>
                                  <a:lnTo>
                                    <a:pt x="12" y="25"/>
                                  </a:lnTo>
                                  <a:lnTo>
                                    <a:pt x="25" y="12"/>
                                  </a:lnTo>
                                  <a:lnTo>
                                    <a:pt x="25" y="25"/>
                                  </a:lnTo>
                                  <a:close/>
                                </a:path>
                              </a:pathLst>
                            </a:custGeom>
                            <a:solidFill>
                              <a:srgbClr val="000000"/>
                            </a:solidFill>
                            <a:ln>
                              <a:noFill/>
                            </a:ln>
                          </wps:spPr>
                          <wps:bodyPr vert="horz" wrap="square" anchor="t" anchorCtr="0" upright="1"/>
                        </wps:wsp>
                        <wps:wsp>
                          <wps:cNvPr id="4" name="任意多边形 738"/>
                          <wps:cNvSpPr/>
                          <wps:spPr>
                            <a:xfrm>
                              <a:off x="0" y="0"/>
                              <a:ext cx="7150" cy="4620"/>
                            </a:xfrm>
                            <a:custGeom>
                              <a:avLst/>
                              <a:gdLst/>
                              <a:ahLst/>
                              <a:cxnLst/>
                              <a:pathLst>
                                <a:path w="7150" h="4620">
                                  <a:moveTo>
                                    <a:pt x="7124" y="25"/>
                                  </a:moveTo>
                                  <a:lnTo>
                                    <a:pt x="25" y="25"/>
                                  </a:lnTo>
                                  <a:lnTo>
                                    <a:pt x="25" y="12"/>
                                  </a:lnTo>
                                  <a:lnTo>
                                    <a:pt x="7124" y="12"/>
                                  </a:lnTo>
                                  <a:lnTo>
                                    <a:pt x="7124" y="25"/>
                                  </a:lnTo>
                                  <a:close/>
                                </a:path>
                              </a:pathLst>
                            </a:custGeom>
                            <a:solidFill>
                              <a:srgbClr val="000000"/>
                            </a:solidFill>
                            <a:ln>
                              <a:noFill/>
                            </a:ln>
                          </wps:spPr>
                          <wps:bodyPr vert="horz" wrap="square" anchor="t" anchorCtr="0" upright="1"/>
                        </wps:wsp>
                        <wps:wsp>
                          <wps:cNvPr id="5" name="任意多边形 739"/>
                          <wps:cNvSpPr/>
                          <wps:spPr>
                            <a:xfrm>
                              <a:off x="0" y="0"/>
                              <a:ext cx="7150" cy="4620"/>
                            </a:xfrm>
                            <a:custGeom>
                              <a:avLst/>
                              <a:gdLst/>
                              <a:ahLst/>
                              <a:cxnLst/>
                              <a:pathLst>
                                <a:path w="7150" h="4620">
                                  <a:moveTo>
                                    <a:pt x="7124" y="4607"/>
                                  </a:moveTo>
                                  <a:lnTo>
                                    <a:pt x="7124" y="12"/>
                                  </a:lnTo>
                                  <a:lnTo>
                                    <a:pt x="7136" y="25"/>
                                  </a:lnTo>
                                  <a:lnTo>
                                    <a:pt x="7149" y="25"/>
                                  </a:lnTo>
                                  <a:lnTo>
                                    <a:pt x="7149" y="4594"/>
                                  </a:lnTo>
                                  <a:lnTo>
                                    <a:pt x="7136" y="4594"/>
                                  </a:lnTo>
                                  <a:lnTo>
                                    <a:pt x="7124" y="4607"/>
                                  </a:lnTo>
                                  <a:close/>
                                </a:path>
                              </a:pathLst>
                            </a:custGeom>
                            <a:solidFill>
                              <a:srgbClr val="000000"/>
                            </a:solidFill>
                            <a:ln>
                              <a:noFill/>
                            </a:ln>
                          </wps:spPr>
                          <wps:bodyPr vert="horz" wrap="square" anchor="t" anchorCtr="0" upright="1"/>
                        </wps:wsp>
                        <wps:wsp>
                          <wps:cNvPr id="6" name="任意多边形 740"/>
                          <wps:cNvSpPr/>
                          <wps:spPr>
                            <a:xfrm>
                              <a:off x="0" y="0"/>
                              <a:ext cx="7150" cy="4620"/>
                            </a:xfrm>
                            <a:custGeom>
                              <a:avLst/>
                              <a:gdLst/>
                              <a:ahLst/>
                              <a:cxnLst/>
                              <a:pathLst>
                                <a:path w="7150" h="4620">
                                  <a:moveTo>
                                    <a:pt x="7149" y="25"/>
                                  </a:moveTo>
                                  <a:lnTo>
                                    <a:pt x="7136" y="25"/>
                                  </a:lnTo>
                                  <a:lnTo>
                                    <a:pt x="7124" y="12"/>
                                  </a:lnTo>
                                  <a:lnTo>
                                    <a:pt x="7149" y="12"/>
                                  </a:lnTo>
                                  <a:lnTo>
                                    <a:pt x="7149" y="25"/>
                                  </a:lnTo>
                                  <a:close/>
                                </a:path>
                              </a:pathLst>
                            </a:custGeom>
                            <a:solidFill>
                              <a:srgbClr val="000000"/>
                            </a:solidFill>
                            <a:ln>
                              <a:noFill/>
                            </a:ln>
                          </wps:spPr>
                          <wps:bodyPr vert="horz" wrap="square" anchor="t" anchorCtr="0" upright="1"/>
                        </wps:wsp>
                        <wps:wsp>
                          <wps:cNvPr id="7" name="任意多边形 741"/>
                          <wps:cNvSpPr/>
                          <wps:spPr>
                            <a:xfrm>
                              <a:off x="0" y="0"/>
                              <a:ext cx="7150" cy="4620"/>
                            </a:xfrm>
                            <a:custGeom>
                              <a:avLst/>
                              <a:gdLst/>
                              <a:ahLst/>
                              <a:cxnLst/>
                              <a:pathLst>
                                <a:path w="7150" h="4620">
                                  <a:moveTo>
                                    <a:pt x="25" y="4607"/>
                                  </a:moveTo>
                                  <a:lnTo>
                                    <a:pt x="12" y="4594"/>
                                  </a:lnTo>
                                  <a:lnTo>
                                    <a:pt x="25" y="4594"/>
                                  </a:lnTo>
                                  <a:lnTo>
                                    <a:pt x="25" y="4607"/>
                                  </a:lnTo>
                                  <a:close/>
                                </a:path>
                              </a:pathLst>
                            </a:custGeom>
                            <a:solidFill>
                              <a:srgbClr val="000000"/>
                            </a:solidFill>
                            <a:ln>
                              <a:noFill/>
                            </a:ln>
                          </wps:spPr>
                          <wps:bodyPr vert="horz" wrap="square" anchor="t" anchorCtr="0" upright="1"/>
                        </wps:wsp>
                        <wps:wsp>
                          <wps:cNvPr id="8" name="任意多边形 742"/>
                          <wps:cNvSpPr/>
                          <wps:spPr>
                            <a:xfrm>
                              <a:off x="0" y="0"/>
                              <a:ext cx="7150" cy="4620"/>
                            </a:xfrm>
                            <a:custGeom>
                              <a:avLst/>
                              <a:gdLst/>
                              <a:ahLst/>
                              <a:cxnLst/>
                              <a:pathLst>
                                <a:path w="7150" h="4620">
                                  <a:moveTo>
                                    <a:pt x="7124" y="4607"/>
                                  </a:moveTo>
                                  <a:lnTo>
                                    <a:pt x="25" y="4607"/>
                                  </a:lnTo>
                                  <a:lnTo>
                                    <a:pt x="25" y="4594"/>
                                  </a:lnTo>
                                  <a:lnTo>
                                    <a:pt x="7124" y="4594"/>
                                  </a:lnTo>
                                  <a:lnTo>
                                    <a:pt x="7124" y="4607"/>
                                  </a:lnTo>
                                  <a:close/>
                                </a:path>
                              </a:pathLst>
                            </a:custGeom>
                            <a:solidFill>
                              <a:srgbClr val="000000"/>
                            </a:solidFill>
                            <a:ln>
                              <a:noFill/>
                            </a:ln>
                          </wps:spPr>
                          <wps:bodyPr vert="horz" wrap="square" anchor="t" anchorCtr="0" upright="1"/>
                        </wps:wsp>
                        <wps:wsp>
                          <wps:cNvPr id="9" name="任意多边形 743"/>
                          <wps:cNvSpPr/>
                          <wps:spPr>
                            <a:xfrm>
                              <a:off x="0" y="0"/>
                              <a:ext cx="7150" cy="4620"/>
                            </a:xfrm>
                            <a:custGeom>
                              <a:avLst/>
                              <a:gdLst/>
                              <a:ahLst/>
                              <a:cxnLst/>
                              <a:pathLst>
                                <a:path w="7150" h="4620">
                                  <a:moveTo>
                                    <a:pt x="7149" y="4607"/>
                                  </a:moveTo>
                                  <a:lnTo>
                                    <a:pt x="7124" y="4607"/>
                                  </a:lnTo>
                                  <a:lnTo>
                                    <a:pt x="7136" y="4594"/>
                                  </a:lnTo>
                                  <a:lnTo>
                                    <a:pt x="7149" y="4594"/>
                                  </a:lnTo>
                                  <a:lnTo>
                                    <a:pt x="7149" y="4607"/>
                                  </a:lnTo>
                                  <a:close/>
                                </a:path>
                              </a:pathLst>
                            </a:custGeom>
                            <a:solidFill>
                              <a:srgbClr val="000000"/>
                            </a:solidFill>
                            <a:ln>
                              <a:noFill/>
                            </a:ln>
                          </wps:spPr>
                          <wps:bodyPr vert="horz" wrap="square" anchor="t" anchorCtr="0" upright="1"/>
                        </wps:wsp>
                      </wpg:grpSp>
                    </wpg:wgp>
                  </a:graphicData>
                </a:graphic>
              </wp:inline>
            </w:drawing>
          </mc:Choice>
          <mc:Fallback>
            <w:pict>
              <v:group id="组合 733" o:spid="_x0000_s1026" o:spt="203" style="height:231pt;width:387.35pt;" coordsize="7150,4620" o:gfxdata="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">
                <o:lock v:ext="edit" aspectratio="f"/>
                <v:rect id="矩形 734" o:spid="_x0000_s1026" o:spt="1" style="position:absolute;left:25;top:25;height:4560;width:7100;" filled="f" stroked="f" coordsize="21600,21600" o:gfxdata="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a1qSugAAANo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14:paraId="4BAA0EAD">
                        <w:pPr>
                          <w:widowControl/>
                          <w:autoSpaceDE/>
                          <w:autoSpaceDN/>
                          <w:adjustRightInd/>
                          <w:spacing w:beforeLines="0" w:afterLines="0" w:line="4560" w:lineRule="atLeast"/>
                          <w:rPr>
                            <w:rFonts w:hint="default"/>
                            <w:sz w:val="24"/>
                            <w:szCs w:val="24"/>
                          </w:rPr>
                        </w:pPr>
                        <w:r>
                          <w:rPr>
                            <w:rFonts w:hint="default"/>
                            <w:sz w:val="24"/>
                            <w:szCs w:val="24"/>
                          </w:rPr>
                          <w:drawing>
                            <wp:inline distT="0" distB="0" distL="114300" distR="114300">
                              <wp:extent cx="4531360" cy="2916555"/>
                              <wp:effectExtent l="0" t="0" r="2540" b="4445"/>
                              <wp:docPr id="13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38"/>
                                      <pic:cNvPicPr>
                                        <a:picLocks noChangeAspect="1"/>
                                      </pic:cNvPicPr>
                                    </pic:nvPicPr>
                                    <pic:blipFill>
                                      <a:blip r:embed="rId20"/>
                                      <a:stretch>
                                        <a:fillRect/>
                                      </a:stretch>
                                    </pic:blipFill>
                                    <pic:spPr>
                                      <a:xfrm>
                                        <a:off x="0" y="0"/>
                                        <a:ext cx="4531360" cy="2916555"/>
                                      </a:xfrm>
                                      <a:prstGeom prst="rect">
                                        <a:avLst/>
                                      </a:prstGeom>
                                      <a:noFill/>
                                      <a:ln>
                                        <a:noFill/>
                                      </a:ln>
                                    </pic:spPr>
                                  </pic:pic>
                                </a:graphicData>
                              </a:graphic>
                            </wp:inline>
                          </w:drawing>
                        </w:r>
                      </w:p>
                      <w:p w14:paraId="726E1A8D">
                        <w:pPr>
                          <w:spacing w:beforeLines="0" w:afterLines="0"/>
                          <w:rPr>
                            <w:rFonts w:hint="default"/>
                            <w:sz w:val="24"/>
                            <w:szCs w:val="24"/>
                          </w:rPr>
                        </w:pPr>
                      </w:p>
                    </w:txbxContent>
                  </v:textbox>
                </v:rect>
                <v:group id="组合 735" o:spid="_x0000_s1026" o:spt="203" style="position:absolute;left:0;top:0;height:4620;width:7150;" coordsize="7150,4620" o:gfxdata="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IOkRW+AAAA2wAAAA8AAAAAAAAAAQAgAAAAIgAAAGRycy9kb3ducmV2Lnht&#10;bFBLAQIUABQAAAAIAIdO4kAzLwWeOwAAADkAAAAVAAAAAAAAAAEAIAAAAA0BAABkcnMvZ3JvdXBz&#10;aGFwZXhtbC54bWxQSwUGAAAAAAYABgBgAQAAygMAAAAA&#10;">
                  <o:lock v:ext="edit" aspectratio="f"/>
                  <v:shape id="任意多边形 736" o:spid="_x0000_s1026" o:spt="100" style="position:absolute;left:0;top:0;height:4620;width:7150;" fillcolor="#000000" filled="t" stroked="f" coordsize="7150,4620" o:gfxdata="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tBxm8AAAA&#10;2gAAAA8AAAAAAAAAAQAgAAAAIgAAAGRycy9kb3ducmV2LnhtbFBLAQIUABQAAAAIAIdO4kAzLwWe&#10;OwAAADkAAAAQAAAAAAAAAAEAIAAAAAsBAABkcnMvc2hhcGV4bWwueG1sUEsFBgAAAAAGAAYAWwEA&#10;ALUDAAAAAA==&#10;" path="m7149,4619l0,4619,0,0,7149,0,7149,12,25,12,12,25,25,25,25,4594,12,4594,25,4607,7149,4607,7149,4619xe">
                    <v:fill on="t" focussize="0,0"/>
                    <v:stroke on="f"/>
                    <v:imagedata o:title=""/>
                    <o:lock v:ext="edit" aspectratio="f"/>
                  </v:shape>
                  <v:shape id="任意多边形 737" o:spid="_x0000_s1026" o:spt="100" style="position:absolute;left:0;top:0;height:4620;width:7150;" fillcolor="#000000" filled="t" stroked="f" coordsize="7150,4620" o:gfxdata="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4aKCvQAA&#10;ANoAAAAPAAAAAAAAAAEAIAAAACIAAABkcnMvZG93bnJldi54bWxQSwECFAAUAAAACACHTuJAMy8F&#10;njsAAAA5AAAAEAAAAAAAAAABACAAAAAMAQAAZHJzL3NoYXBleG1sLnhtbFBLBQYAAAAABgAGAFsB&#10;AAC2AwAAAAA=&#10;" path="m25,25l12,25,25,12,25,25xe">
                    <v:fill on="t" focussize="0,0"/>
                    <v:stroke on="f"/>
                    <v:imagedata o:title=""/>
                    <o:lock v:ext="edit" aspectratio="f"/>
                  </v:shape>
                  <v:shape id="任意多边形 738" o:spid="_x0000_s1026" o:spt="100" style="position:absolute;left:0;top:0;height:4620;width:7150;" fillcolor="#000000" filled="t" stroked="f" coordsize="7150,4620" o:gfxdata="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CDr2vQAA&#10;ANoAAAAPAAAAAAAAAAEAIAAAACIAAABkcnMvZG93bnJldi54bWxQSwECFAAUAAAACACHTuJAMy8F&#10;njsAAAA5AAAAEAAAAAAAAAABACAAAAAMAQAAZHJzL3NoYXBleG1sLnhtbFBLBQYAAAAABgAGAFsB&#10;AAC2AwAAAAA=&#10;" path="m7124,25l25,25,25,12,7124,12,7124,25xe">
                    <v:fill on="t" focussize="0,0"/>
                    <v:stroke on="f"/>
                    <v:imagedata o:title=""/>
                    <o:lock v:ext="edit" aspectratio="f"/>
                  </v:shape>
                  <v:shape id="任意多边形 739" o:spid="_x0000_s1026" o:spt="100" style="position:absolute;left:0;top:0;height:4620;width:7150;" fillcolor="#000000" filled="t" stroked="f" coordsize="7150,4620" o:gfxdata="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RJ9tvQAA&#10;ANoAAAAPAAAAAAAAAAEAIAAAACIAAABkcnMvZG93bnJldi54bWxQSwECFAAUAAAACACHTuJAMy8F&#10;njsAAAA5AAAAEAAAAAAAAAABACAAAAAMAQAAZHJzL3NoYXBleG1sLnhtbFBLBQYAAAAABgAGAFsB&#10;AAC2AwAAAAA=&#10;" path="m7124,4607l7124,12,7136,25,7149,25,7149,4594,7136,4594,7124,4607xe">
                    <v:fill on="t" focussize="0,0"/>
                    <v:stroke on="f"/>
                    <v:imagedata o:title=""/>
                    <o:lock v:ext="edit" aspectratio="f"/>
                  </v:shape>
                  <v:shape id="任意多边形 740" o:spid="_x0000_s1026" o:spt="100" style="position:absolute;left:0;top:0;height:4620;width:7150;" fillcolor="#000000" filled="t" stroked="f" coordsize="7150,4620" o:gfxdata="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WARq8AAAA&#10;2gAAAA8AAAAAAAAAAQAgAAAAIgAAAGRycy9kb3ducmV2LnhtbFBLAQIUABQAAAAIAIdO4kAzLwWe&#10;OwAAADkAAAAQAAAAAAAAAAEAIAAAAAsBAABkcnMvc2hhcGV4bWwueG1sUEsFBgAAAAAGAAYAWwEA&#10;ALUDAAAAAA==&#10;" path="m7149,25l7136,25,7124,12,7149,12,7149,25xe">
                    <v:fill on="t" focussize="0,0"/>
                    <v:stroke on="f"/>
                    <v:imagedata o:title=""/>
                    <o:lock v:ext="edit" aspectratio="f"/>
                  </v:shape>
                  <v:shape id="任意多边形 741" o:spid="_x0000_s1026" o:spt="100" style="position:absolute;left:0;top:0;height:4620;width:7150;" fillcolor="#000000" filled="t" stroked="f" coordsize="7150,4620" o:gfxdata="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2qSBvQAA&#10;ANoAAAAPAAAAAAAAAAEAIAAAACIAAABkcnMvZG93bnJldi54bWxQSwECFAAUAAAACACHTuJAMy8F&#10;njsAAAA5AAAAEAAAAAAAAAABACAAAAAMAQAAZHJzL3NoYXBleG1sLnhtbFBLBQYAAAAABgAGAFsB&#10;AAC2AwAAAAA=&#10;" path="m25,4607l12,4594,25,4594,25,4607xe">
                    <v:fill on="t" focussize="0,0"/>
                    <v:stroke on="f"/>
                    <v:imagedata o:title=""/>
                    <o:lock v:ext="edit" aspectratio="f"/>
                  </v:shape>
                  <v:shape id="任意多边形 742" o:spid="_x0000_s1026" o:spt="100" style="position:absolute;left:0;top:0;height:4620;width:7150;" fillcolor="#000000" filled="t" stroked="f" coordsize="7150,4620" o:gfxdata="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UUw87gAAADaAAAA&#10;DwAAAAAAAAABACAAAAAiAAAAZHJzL2Rvd25yZXYueG1sUEsBAhQAFAAAAAgAh07iQDMvBZ47AAAA&#10;OQAAABAAAAAAAAAAAQAgAAAABwEAAGRycy9zaGFwZXhtbC54bWxQSwUGAAAAAAYABgBbAQAAsQMA&#10;AAAA&#10;" path="m7124,4607l25,4607,25,4594,7124,4594,7124,4607xe">
                    <v:fill on="t" focussize="0,0"/>
                    <v:stroke on="f"/>
                    <v:imagedata o:title=""/>
                    <o:lock v:ext="edit" aspectratio="f"/>
                  </v:shape>
                  <v:shape id="任意多边形 743" o:spid="_x0000_s1026" o:spt="100" style="position:absolute;left:0;top:0;height:4620;width:7150;" fillcolor="#000000" filled="t" stroked="f" coordsize="7150,4620" o:gfxdata="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CZVovQAA&#10;ANoAAAAPAAAAAAAAAAEAIAAAACIAAABkcnMvZG93bnJldi54bWxQSwECFAAUAAAACACHTuJAMy8F&#10;njsAAAA5AAAAEAAAAAAAAAABACAAAAAMAQAAZHJzL3NoYXBleG1sLnhtbFBLBQYAAAAABgAGAFsB&#10;AAC2AwAAAAA=&#10;" path="m7149,4607l7124,4607,7136,4594,7149,4594,7149,4607xe">
                    <v:fill on="t" focussize="0,0"/>
                    <v:stroke on="f"/>
                    <v:imagedata o:title=""/>
                    <o:lock v:ext="edit" aspectratio="f"/>
                  </v:shape>
                </v:group>
                <w10:wrap type="none"/>
                <w10:anchorlock/>
              </v:group>
            </w:pict>
          </mc:Fallback>
        </mc:AlternateContent>
      </w:r>
    </w:p>
    <w:p w14:paraId="41FCE17F">
      <w:pPr>
        <w:pStyle w:val="14"/>
        <w:kinsoku w:val="0"/>
        <w:overflowPunct w:val="0"/>
        <w:spacing w:before="7" w:beforeLines="0" w:afterLines="0"/>
        <w:ind w:left="0"/>
        <w:rPr>
          <w:rFonts w:hint="default" w:ascii="Times New Roman" w:hAnsi="Times New Roman" w:cs="Times New Roman"/>
          <w:color w:val="auto"/>
          <w:sz w:val="8"/>
          <w:szCs w:val="24"/>
          <w:highlight w:val="none"/>
        </w:rPr>
      </w:pPr>
    </w:p>
    <w:p w14:paraId="2633BCAF">
      <w:pPr>
        <w:pStyle w:val="14"/>
        <w:tabs>
          <w:tab w:val="left" w:pos="4587"/>
        </w:tabs>
        <w:kinsoku w:val="0"/>
        <w:overflowPunct w:val="0"/>
        <w:spacing w:before="26" w:beforeLines="0" w:afterLines="0"/>
        <w:ind w:left="3188" w:right="30"/>
        <w:rPr>
          <w:rFonts w:hint="default" w:ascii="Times New Roman" w:hAnsi="Times New Roman" w:cs="Times New Roman"/>
          <w:b/>
          <w:color w:val="auto"/>
          <w:sz w:val="21"/>
          <w:szCs w:val="24"/>
          <w:highlight w:val="none"/>
        </w:rPr>
      </w:pPr>
      <w:r>
        <w:rPr>
          <w:rFonts w:hint="default" w:ascii="Times New Roman" w:hAnsi="Times New Roman" w:cs="Times New Roman"/>
          <w:b/>
          <w:color w:val="auto"/>
          <w:sz w:val="24"/>
          <w:szCs w:val="24"/>
          <w:highlight w:val="none"/>
        </w:rPr>
        <w:t>图</w:t>
      </w:r>
      <w:r>
        <w:rPr>
          <w:rFonts w:hint="default" w:ascii="Times New Roman" w:hAnsi="Times New Roman" w:cs="Times New Roman"/>
          <w:b/>
          <w:color w:val="auto"/>
          <w:spacing w:val="-63"/>
          <w:sz w:val="24"/>
          <w:szCs w:val="24"/>
          <w:highlight w:val="none"/>
        </w:rPr>
        <w:t xml:space="preserve"> </w:t>
      </w:r>
      <w:r>
        <w:rPr>
          <w:rFonts w:hint="default" w:ascii="Times New Roman" w:hAnsi="Times New Roman" w:eastAsia="Times New Roman" w:cs="Times New Roman"/>
          <w:b/>
          <w:color w:val="auto"/>
          <w:sz w:val="24"/>
          <w:szCs w:val="24"/>
          <w:highlight w:val="none"/>
        </w:rPr>
        <w:t>4.1-1</w:t>
      </w:r>
      <w:r>
        <w:rPr>
          <w:rFonts w:hint="default" w:ascii="Times New Roman" w:hAnsi="Times New Roman" w:eastAsia="Times New Roman" w:cs="Times New Roman"/>
          <w:b/>
          <w:color w:val="auto"/>
          <w:sz w:val="24"/>
          <w:szCs w:val="24"/>
          <w:highlight w:val="none"/>
        </w:rPr>
        <w:tab/>
      </w:r>
      <w:r>
        <w:rPr>
          <w:rFonts w:hint="default" w:ascii="Times New Roman" w:hAnsi="Times New Roman" w:cs="Times New Roman"/>
          <w:b/>
          <w:color w:val="auto"/>
          <w:sz w:val="24"/>
          <w:szCs w:val="24"/>
          <w:highlight w:val="none"/>
        </w:rPr>
        <w:t>阜康市地表水系图</w:t>
      </w:r>
    </w:p>
    <w:p w14:paraId="3F6C0185">
      <w:pPr>
        <w:pStyle w:val="5"/>
        <w:bidi w:val="0"/>
        <w:rPr>
          <w:rFonts w:hint="default"/>
        </w:rPr>
      </w:pPr>
      <w:bookmarkStart w:id="197" w:name="4.1.4.2地下水"/>
      <w:bookmarkEnd w:id="197"/>
      <w:r>
        <w:rPr>
          <w:rFonts w:hint="default"/>
        </w:rPr>
        <w:t>地下水</w:t>
      </w:r>
    </w:p>
    <w:p w14:paraId="18351C1B">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阜康市地下水按分布地区及埋藏情况可划分为裂隙水区、潜水区和承压水区。裂隙水区位于基岩地区，在高山带由冰川消融水渗漏形成地下潜流，在中下游通过裂隙流出补给河水；在中山带地下水多呈泉流形式补给河流；在低山丘陵带，二迭系砂岩裂隙十分发育，裂隙泉较多。潜水区位于冲积洪积平原内，地下水埋藏深度由南向北逐步变浅，矿化度逐渐增高，由碳酸盐性水渐变为硫酸盐性水或氯化物性水。其含水层颗粒由上部(山前)卵砾石渐变成中部的粗砾石，到下部(北部平原)为细砾和粗、中、细、粉砂。随着含水层颗粒物的变小，渗透系数也随之变小。地下水埋藏深度南部最深处达100m以上，北部最浅处不足1m或成沼泽。该区域是阜康市地下水源的重点开发区，70年代以来，大量提取地下水，地下水位降低，矿化度下降，水质变好。承压水区位于平原北部，沙漠以南，含水层厚40</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60m，由中砂、细砂组成。往沙漠方向，含水层逐渐变薄以至尖灭。承压水区分布于潜水溢出带以北，北沙漠以南的广大冲洪积平原，主要靠上游潜水侧向补给。其富水性及水质较好，向沙漠方向上，含水层逐渐变薄以至尖灭，富水性减弱，水头降低，在近沙漠地段，有部分承压水不能自流，只能越层补给潜水，排泄以蒸发为主。</w:t>
      </w:r>
    </w:p>
    <w:p w14:paraId="157424D4">
      <w:pPr>
        <w:pStyle w:val="5"/>
        <w:bidi w:val="0"/>
        <w:rPr>
          <w:rFonts w:hint="default"/>
        </w:rPr>
      </w:pPr>
      <w:bookmarkStart w:id="198" w:name="4.1.4.3矿区水文地质"/>
      <w:bookmarkEnd w:id="198"/>
      <w:r>
        <w:rPr>
          <w:rFonts w:hint="default"/>
        </w:rPr>
        <w:t>矿区水文地质</w:t>
      </w:r>
    </w:p>
    <w:p w14:paraId="724D2FDB">
      <w:pPr>
        <w:numPr>
          <w:ilvl w:val="0"/>
          <w:numId w:val="0"/>
        </w:numPr>
        <w:spacing w:beforeLines="0" w:afterLines="0"/>
        <w:ind w:leftChars="0" w:firstLine="480" w:firstLineChars="200"/>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）矿</w:t>
      </w:r>
      <w:r>
        <w:rPr>
          <w:rFonts w:hint="default" w:ascii="Times New Roman" w:hAnsi="Times New Roman" w:cs="Times New Roman"/>
          <w:color w:val="auto"/>
          <w:sz w:val="24"/>
          <w:szCs w:val="24"/>
          <w:highlight w:val="none"/>
        </w:rPr>
        <w:t>区水文地质特征</w:t>
      </w:r>
    </w:p>
    <w:p w14:paraId="08EF3C64">
      <w:pPr>
        <w:numPr>
          <w:ilvl w:val="0"/>
          <w:numId w:val="0"/>
        </w:numPr>
        <w:spacing w:beforeLines="0" w:afterLines="0"/>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矿区水文地质单元属准噶尔盆地古尔班通古特沙漠东南部腹地，是直接接受大气降水的补给区，矿区地形地貌整体表现为北高南低，最低位置处于矿区南西部，最低标高为+</w:t>
      </w:r>
      <w:r>
        <w:rPr>
          <w:rFonts w:hint="default" w:ascii="Times New Roman" w:hAnsi="Times New Roman" w:cs="Times New Roman"/>
          <w:color w:val="auto"/>
          <w:sz w:val="24"/>
          <w:szCs w:val="24"/>
          <w:highlight w:val="none"/>
          <w:lang w:val="en-US" w:eastAsia="zh-CN"/>
        </w:rPr>
        <w:t>585</w:t>
      </w:r>
      <w:r>
        <w:rPr>
          <w:rFonts w:hint="default" w:ascii="Times New Roman" w:hAnsi="Times New Roman" w:cs="Times New Roman"/>
          <w:color w:val="auto"/>
          <w:sz w:val="24"/>
          <w:szCs w:val="24"/>
          <w:highlight w:val="none"/>
        </w:rPr>
        <w:t>m。矿区资源量估算标高为</w:t>
      </w:r>
      <w:r>
        <w:rPr>
          <w:rFonts w:hint="default" w:ascii="Times New Roman" w:hAnsi="Times New Roman" w:cs="Times New Roman"/>
          <w:color w:val="auto"/>
          <w:sz w:val="24"/>
          <w:szCs w:val="24"/>
          <w:highlight w:val="none"/>
          <w:lang w:eastAsia="zh-CN"/>
        </w:rPr>
        <w:t>623～585</w:t>
      </w:r>
      <w:r>
        <w:rPr>
          <w:rFonts w:hint="default" w:ascii="Times New Roman" w:hAnsi="Times New Roman" w:cs="Times New Roman"/>
          <w:color w:val="auto"/>
          <w:sz w:val="24"/>
          <w:szCs w:val="24"/>
          <w:highlight w:val="none"/>
          <w:lang w:val="en-US" w:eastAsia="zh-CN"/>
        </w:rPr>
        <w:t>m</w:t>
      </w:r>
      <w:r>
        <w:rPr>
          <w:rFonts w:hint="default" w:ascii="Times New Roman" w:hAnsi="Times New Roman" w:cs="Times New Roman"/>
          <w:color w:val="auto"/>
          <w:sz w:val="24"/>
          <w:szCs w:val="24"/>
          <w:highlight w:val="none"/>
        </w:rPr>
        <w:t>，矿体位于矿区最低侵蚀基准面及地下水位以上。</w:t>
      </w:r>
    </w:p>
    <w:p w14:paraId="5E62C20A">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矿区主要为第四系风成石英砂，为强透水层，雨水及冰雪融水，主要以垂直下渗为主。矿区无地表水径流，潜水埋藏较深，地表水对矿区开采影响不大。</w:t>
      </w:r>
    </w:p>
    <w:p w14:paraId="33E9A2CA">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勘查施工的</w:t>
      </w:r>
      <w:r>
        <w:rPr>
          <w:rFonts w:hint="default" w:ascii="Times New Roman" w:hAnsi="Times New Roman" w:cs="Times New Roman"/>
          <w:color w:val="auto"/>
          <w:sz w:val="24"/>
          <w:szCs w:val="24"/>
          <w:highlight w:val="none"/>
          <w:lang w:val="en-US" w:eastAsia="zh-CN"/>
        </w:rPr>
        <w:t>施工浅井9-4坑底标高573.65m未见地下水，</w:t>
      </w:r>
      <w:r>
        <w:rPr>
          <w:rFonts w:hint="default" w:ascii="Times New Roman" w:hAnsi="Times New Roman" w:cs="Times New Roman"/>
          <w:color w:val="auto"/>
          <w:sz w:val="24"/>
          <w:szCs w:val="24"/>
          <w:highlight w:val="none"/>
        </w:rPr>
        <w:t>本矿山预设最低开采标高</w:t>
      </w:r>
      <w:r>
        <w:rPr>
          <w:rFonts w:hint="default" w:ascii="Times New Roman" w:hAnsi="Times New Roman" w:cs="Times New Roman"/>
          <w:color w:val="auto"/>
          <w:sz w:val="24"/>
          <w:szCs w:val="24"/>
          <w:highlight w:val="none"/>
          <w:lang w:eastAsia="zh-CN"/>
        </w:rPr>
        <w:t>585</w:t>
      </w:r>
      <w:r>
        <w:rPr>
          <w:rFonts w:hint="default" w:ascii="Times New Roman" w:hAnsi="Times New Roman" w:cs="Times New Roman"/>
          <w:color w:val="auto"/>
          <w:sz w:val="24"/>
          <w:szCs w:val="24"/>
          <w:highlight w:val="none"/>
        </w:rPr>
        <w:t>m，故开采标高范围内无含水层分布。因此地下水对矿山开采影响较小。</w:t>
      </w:r>
    </w:p>
    <w:p w14:paraId="766A5BD0">
      <w:pPr>
        <w:spacing w:beforeLines="0" w:afterLines="0"/>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eastAsia="zh-CN"/>
        </w:rPr>
        <w:t>）矿</w:t>
      </w:r>
      <w:r>
        <w:rPr>
          <w:rFonts w:hint="default" w:ascii="Times New Roman" w:hAnsi="Times New Roman" w:cs="Times New Roman"/>
          <w:color w:val="auto"/>
          <w:sz w:val="24"/>
          <w:szCs w:val="24"/>
          <w:highlight w:val="none"/>
        </w:rPr>
        <w:t>区地下水类型、含水层特征</w:t>
      </w:r>
    </w:p>
    <w:p w14:paraId="20C4CFC2">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从矿区施工的钻孔工作统计，从地表至地下最深</w:t>
      </w:r>
      <w:r>
        <w:rPr>
          <w:rFonts w:hint="default" w:ascii="Times New Roman" w:hAnsi="Times New Roman" w:cs="Times New Roman"/>
          <w:color w:val="auto"/>
          <w:sz w:val="24"/>
          <w:szCs w:val="24"/>
          <w:highlight w:val="none"/>
          <w:lang w:val="en-US" w:eastAsia="zh-CN"/>
        </w:rPr>
        <w:t>49,38</w:t>
      </w:r>
      <w:r>
        <w:rPr>
          <w:rFonts w:hint="default" w:ascii="Times New Roman" w:hAnsi="Times New Roman" w:cs="Times New Roman"/>
          <w:color w:val="auto"/>
          <w:sz w:val="24"/>
          <w:szCs w:val="24"/>
          <w:highlight w:val="none"/>
        </w:rPr>
        <w:t>m处，标高+</w:t>
      </w:r>
      <w:r>
        <w:rPr>
          <w:rFonts w:hint="default" w:ascii="Times New Roman" w:hAnsi="Times New Roman" w:cs="Times New Roman"/>
          <w:color w:val="auto"/>
          <w:sz w:val="24"/>
          <w:szCs w:val="24"/>
          <w:highlight w:val="none"/>
          <w:lang w:val="en-US" w:eastAsia="zh-CN"/>
        </w:rPr>
        <w:t>573.65m</w:t>
      </w:r>
      <w:r>
        <w:rPr>
          <w:rFonts w:hint="default" w:ascii="Times New Roman" w:hAnsi="Times New Roman" w:cs="Times New Roman"/>
          <w:color w:val="auto"/>
          <w:sz w:val="24"/>
          <w:szCs w:val="24"/>
          <w:highlight w:val="none"/>
        </w:rPr>
        <w:t>以上，均未发现地下水。矿层地下水为透水不含水砂层(钻探深度以上)。</w:t>
      </w:r>
    </w:p>
    <w:p w14:paraId="7AECFB58">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矿区无地表水径流，潜水埋藏较深，据收集王才川等（2018）关于《准噶尔盆地古尔班通古特沙漠地区水文地质特征及对石油开发的建议》研究的区域水文资料显示，矿区所在彩南地区地下水埋深在271</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283m以下，标高在+400m左右。根据地下水的赋存条件、水动力特征，矿区深部的地下水为双层或多层结构碎屑岩类孔隙裂隙承压水。特征叙述如下：</w:t>
      </w:r>
    </w:p>
    <w:p w14:paraId="480F9557">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承压水含水层岩性为第三系粉砂岩、细砂岩和砾岩与泥岩组成双层或多层结构，地下水埋深271～283m；含水层总厚度较稳定74.2～141m；渗透系数0.096～0.926m/d；富水性整体中等偏较弱。</w:t>
      </w:r>
    </w:p>
    <w:p w14:paraId="0188CE10">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水化学类型主要为Cl-CaMg、Cl-Na、Cl·SO</w:t>
      </w:r>
      <w:r>
        <w:rPr>
          <w:rFonts w:hint="default" w:ascii="Times New Roman" w:hAnsi="Times New Roman" w:cs="Times New Roman"/>
          <w:color w:val="auto"/>
          <w:sz w:val="24"/>
          <w:szCs w:val="24"/>
          <w:highlight w:val="none"/>
          <w:vertAlign w:val="subscript"/>
        </w:rPr>
        <w:t>4</w:t>
      </w:r>
      <w:r>
        <w:rPr>
          <w:rFonts w:hint="default" w:ascii="Times New Roman" w:hAnsi="Times New Roman" w:cs="Times New Roman"/>
          <w:color w:val="auto"/>
          <w:sz w:val="24"/>
          <w:szCs w:val="24"/>
          <w:highlight w:val="none"/>
        </w:rPr>
        <w:t>-Na型水，矿化度0.699～2.035g/L，整体水质较差。</w:t>
      </w:r>
    </w:p>
    <w:p w14:paraId="7313D2C2">
      <w:pPr>
        <w:numPr>
          <w:ilvl w:val="0"/>
          <w:numId w:val="0"/>
        </w:numPr>
        <w:spacing w:beforeLines="0" w:afterLines="0"/>
        <w:ind w:leftChars="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地下水的补给、径流、排泄</w:t>
      </w:r>
    </w:p>
    <w:p w14:paraId="78D029F7">
      <w:pPr>
        <w:numPr>
          <w:ilvl w:val="0"/>
          <w:numId w:val="0"/>
        </w:numPr>
        <w:spacing w:beforeLines="0" w:afterLines="0"/>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矿区内地下水埋藏</w:t>
      </w:r>
      <w:r>
        <w:rPr>
          <w:rFonts w:hint="default" w:ascii="Times New Roman" w:hAnsi="Times New Roman" w:cs="Times New Roman"/>
          <w:color w:val="auto"/>
          <w:sz w:val="24"/>
          <w:szCs w:val="24"/>
          <w:highlight w:val="none"/>
          <w:lang w:val="en-US" w:eastAsia="zh-CN"/>
        </w:rPr>
        <w:t>较深</w:t>
      </w:r>
      <w:r>
        <w:rPr>
          <w:rFonts w:hint="default" w:ascii="Times New Roman" w:hAnsi="Times New Roman" w:cs="Times New Roman"/>
          <w:color w:val="auto"/>
          <w:sz w:val="24"/>
          <w:szCs w:val="24"/>
          <w:highlight w:val="none"/>
        </w:rPr>
        <w:t>，无矿区的地表水补给。地表水排泄以垂直渗流和蒸发为主。地下水主要受区域上的地下水影响，矿区所处沙漠腹地的潜水则主要接受大气降水、浅层承压水越流补给，大气降水对地下水补给能力较弱，但集中降雨对地下水也具一定的补给作用。埋深较深的承压水补给途径主要是盆地周围河流的入渗补给和上游地下水的侧向径流补给。</w:t>
      </w:r>
    </w:p>
    <w:p w14:paraId="185310B3">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矿区所在沙漠地区地下水整体由东向西径流，最终汇向玛纳斯湖，地下水的水力坡度较小，径流速度小，运移迟缓。地下水排泄主要以侧向径流、人工开采、蒸发蒸腾等方式排泄。潜水一部分以地下侧向径流方式排泄于区外，另有一部分则以蒸发、植物蒸腾及人工开采等形式进行垂向排泄；承压水主要以侧向径流、人工开采等方式进行排泄，浅层承压水因隔水顶板不稳定，也有少部分以越流方式向潜水含水层排泄。</w:t>
      </w:r>
    </w:p>
    <w:p w14:paraId="1A0D4AB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FF0000"/>
          <w:sz w:val="24"/>
          <w:szCs w:val="24"/>
          <w:highlight w:val="none"/>
          <w:lang w:val="en-US" w:eastAsia="zh-CN"/>
        </w:rPr>
      </w:pPr>
      <w:r>
        <w:rPr>
          <w:rFonts w:hint="eastAsia" w:ascii="宋体" w:hAnsi="宋体" w:eastAsia="宋体" w:cs="宋体"/>
          <w:color w:val="FF0000"/>
          <w:sz w:val="24"/>
          <w:szCs w:val="24"/>
          <w:highlight w:val="none"/>
          <w:lang w:eastAsia="zh-CN"/>
        </w:rPr>
        <w:t>（</w:t>
      </w:r>
      <w:r>
        <w:rPr>
          <w:rFonts w:hint="eastAsia" w:ascii="宋体" w:hAnsi="宋体" w:eastAsia="宋体" w:cs="宋体"/>
          <w:color w:val="FF0000"/>
          <w:sz w:val="24"/>
          <w:szCs w:val="24"/>
          <w:highlight w:val="none"/>
          <w:lang w:val="en-US" w:eastAsia="zh-CN"/>
        </w:rPr>
        <w:t>4</w:t>
      </w:r>
      <w:r>
        <w:rPr>
          <w:rFonts w:hint="eastAsia" w:ascii="宋体" w:hAnsi="宋体" w:eastAsia="宋体" w:cs="宋体"/>
          <w:color w:val="FF0000"/>
          <w:sz w:val="24"/>
          <w:szCs w:val="24"/>
          <w:highlight w:val="none"/>
          <w:lang w:eastAsia="zh-CN"/>
        </w:rPr>
        <w:t>）</w:t>
      </w:r>
      <w:r>
        <w:rPr>
          <w:rFonts w:hint="eastAsia" w:ascii="宋体" w:hAnsi="宋体" w:eastAsia="宋体" w:cs="宋体"/>
          <w:color w:val="FF0000"/>
          <w:sz w:val="24"/>
          <w:szCs w:val="24"/>
          <w:highlight w:val="none"/>
          <w:lang w:val="en-US" w:eastAsia="zh-CN"/>
        </w:rPr>
        <w:t>矿区涌水量预测</w:t>
      </w:r>
    </w:p>
    <w:p w14:paraId="11BD665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FF0000"/>
          <w:sz w:val="24"/>
          <w:szCs w:val="24"/>
          <w:highlight w:val="none"/>
          <w:lang w:eastAsia="zh-CN"/>
        </w:rPr>
      </w:pPr>
      <w:r>
        <w:rPr>
          <w:rFonts w:hint="default" w:ascii="Times New Roman" w:hAnsi="Times New Roman" w:eastAsia="宋体" w:cs="Times New Roman"/>
          <w:color w:val="FF0000"/>
          <w:sz w:val="24"/>
          <w:szCs w:val="24"/>
          <w:highlight w:val="none"/>
          <w:lang w:val="en-US" w:eastAsia="zh-CN"/>
        </w:rPr>
        <w:t>根据《</w:t>
      </w:r>
      <w:r>
        <w:rPr>
          <w:rFonts w:hint="default" w:ascii="Times New Roman" w:hAnsi="Times New Roman" w:eastAsia="宋体" w:cs="Times New Roman"/>
          <w:color w:val="FF0000"/>
          <w:sz w:val="24"/>
          <w:szCs w:val="24"/>
          <w:highlight w:val="none"/>
          <w:lang w:eastAsia="zh-CN"/>
        </w:rPr>
        <w:t>新疆阜康市北部沙漠天然石英砂矿</w:t>
      </w:r>
      <w:r>
        <w:rPr>
          <w:rFonts w:hint="default" w:ascii="Times New Roman" w:hAnsi="Times New Roman" w:eastAsia="宋体" w:cs="Times New Roman"/>
          <w:color w:val="FF0000"/>
          <w:sz w:val="24"/>
          <w:szCs w:val="24"/>
          <w:highlight w:val="none"/>
        </w:rPr>
        <w:t>（压裂用）</w:t>
      </w:r>
      <w:r>
        <w:rPr>
          <w:rFonts w:hint="default" w:ascii="Times New Roman" w:hAnsi="Times New Roman" w:eastAsia="宋体" w:cs="Times New Roman"/>
          <w:color w:val="FF0000"/>
          <w:sz w:val="24"/>
          <w:szCs w:val="24"/>
          <w:highlight w:val="none"/>
          <w:lang w:val="en-US" w:eastAsia="zh-CN"/>
        </w:rPr>
        <w:t>外围详查报告》</w:t>
      </w:r>
      <w:r>
        <w:rPr>
          <w:rFonts w:hint="default" w:ascii="Times New Roman" w:hAnsi="Times New Roman" w:cs="Times New Roman"/>
          <w:color w:val="FF0000"/>
          <w:sz w:val="24"/>
          <w:szCs w:val="24"/>
          <w:highlight w:val="none"/>
          <w:lang w:eastAsia="zh-CN"/>
        </w:rPr>
        <w:t>，</w:t>
      </w:r>
      <w:r>
        <w:rPr>
          <w:rFonts w:hint="default" w:ascii="Times New Roman" w:hAnsi="Times New Roman" w:eastAsia="宋体" w:cs="Times New Roman"/>
          <w:color w:val="FF0000"/>
          <w:sz w:val="24"/>
          <w:szCs w:val="24"/>
          <w:highlight w:val="none"/>
        </w:rPr>
        <w:t>本矿床开采拟采用露天开采，矿区最低标高为</w:t>
      </w:r>
      <w:r>
        <w:rPr>
          <w:rFonts w:hint="default" w:ascii="Times New Roman" w:hAnsi="Times New Roman" w:eastAsia="宋体" w:cs="Times New Roman"/>
          <w:color w:val="FF0000"/>
          <w:sz w:val="24"/>
          <w:szCs w:val="24"/>
          <w:highlight w:val="none"/>
          <w:lang w:val="en-US" w:eastAsia="zh-CN"/>
        </w:rPr>
        <w:t>623m</w:t>
      </w:r>
      <w:r>
        <w:rPr>
          <w:rFonts w:hint="default" w:ascii="Times New Roman" w:hAnsi="Times New Roman" w:eastAsia="宋体" w:cs="Times New Roman"/>
          <w:color w:val="FF0000"/>
          <w:sz w:val="24"/>
          <w:szCs w:val="24"/>
          <w:highlight w:val="none"/>
        </w:rPr>
        <w:t>，资源量估算最低标高为</w:t>
      </w:r>
      <w:r>
        <w:rPr>
          <w:rFonts w:hint="default" w:ascii="Times New Roman" w:hAnsi="Times New Roman" w:eastAsia="宋体" w:cs="Times New Roman"/>
          <w:color w:val="FF0000"/>
          <w:sz w:val="24"/>
          <w:szCs w:val="24"/>
          <w:highlight w:val="none"/>
          <w:lang w:val="en-US" w:eastAsia="zh-CN"/>
        </w:rPr>
        <w:t>5</w:t>
      </w:r>
      <w:r>
        <w:rPr>
          <w:rFonts w:hint="default" w:ascii="Times New Roman" w:hAnsi="Times New Roman" w:cs="Times New Roman"/>
          <w:color w:val="FF0000"/>
          <w:sz w:val="24"/>
          <w:szCs w:val="24"/>
          <w:highlight w:val="none"/>
          <w:lang w:val="en-US" w:eastAsia="zh-CN"/>
        </w:rPr>
        <w:t>85</w:t>
      </w:r>
      <w:r>
        <w:rPr>
          <w:rFonts w:hint="default" w:ascii="Times New Roman" w:hAnsi="Times New Roman" w:eastAsia="宋体" w:cs="Times New Roman"/>
          <w:color w:val="FF0000"/>
          <w:sz w:val="24"/>
          <w:szCs w:val="24"/>
          <w:highlight w:val="none"/>
        </w:rPr>
        <w:t>m。根据</w:t>
      </w:r>
      <w:r>
        <w:rPr>
          <w:rFonts w:hint="default" w:ascii="Times New Roman" w:hAnsi="Times New Roman" w:cs="Times New Roman"/>
          <w:bCs/>
          <w:color w:val="FF0000"/>
          <w:sz w:val="24"/>
          <w:szCs w:val="24"/>
          <w:highlight w:val="none"/>
          <w:lang w:val="en-US" w:eastAsia="zh-CN"/>
        </w:rPr>
        <w:t>浅井QJ9-4井</w:t>
      </w:r>
      <w:r>
        <w:rPr>
          <w:rFonts w:hint="default" w:ascii="Times New Roman" w:hAnsi="Times New Roman" w:cs="Times New Roman"/>
          <w:bCs/>
          <w:color w:val="FF0000"/>
          <w:sz w:val="24"/>
          <w:szCs w:val="24"/>
          <w:highlight w:val="none"/>
          <w:lang w:eastAsia="zh-CN"/>
        </w:rPr>
        <w:t>底57</w:t>
      </w:r>
      <w:r>
        <w:rPr>
          <w:rFonts w:hint="default" w:ascii="Times New Roman" w:hAnsi="Times New Roman" w:cs="Times New Roman"/>
          <w:bCs/>
          <w:color w:val="FF0000"/>
          <w:sz w:val="24"/>
          <w:szCs w:val="24"/>
          <w:highlight w:val="none"/>
          <w:lang w:val="en-US" w:eastAsia="zh-CN"/>
        </w:rPr>
        <w:t>3</w:t>
      </w:r>
      <w:r>
        <w:rPr>
          <w:rFonts w:hint="default" w:ascii="Times New Roman" w:hAnsi="Times New Roman" w:cs="Times New Roman"/>
          <w:bCs/>
          <w:color w:val="FF0000"/>
          <w:sz w:val="24"/>
          <w:szCs w:val="24"/>
          <w:highlight w:val="none"/>
          <w:lang w:eastAsia="zh-CN"/>
        </w:rPr>
        <w:t>.65米</w:t>
      </w:r>
      <w:r>
        <w:rPr>
          <w:rFonts w:hint="default" w:ascii="Times New Roman" w:hAnsi="Times New Roman" w:cs="Times New Roman"/>
          <w:color w:val="FF0000"/>
          <w:sz w:val="24"/>
          <w:szCs w:val="24"/>
          <w:highlight w:val="none"/>
        </w:rPr>
        <w:t>未见</w:t>
      </w:r>
      <w:r>
        <w:rPr>
          <w:rFonts w:hint="default" w:ascii="Times New Roman" w:hAnsi="Times New Roman" w:cs="Times New Roman"/>
          <w:color w:val="FF0000"/>
          <w:sz w:val="24"/>
          <w:szCs w:val="24"/>
          <w:highlight w:val="none"/>
          <w:lang w:eastAsia="zh-CN"/>
        </w:rPr>
        <w:t>涌水，</w:t>
      </w:r>
      <w:r>
        <w:rPr>
          <w:rFonts w:hint="default" w:ascii="Times New Roman" w:hAnsi="Times New Roman" w:eastAsia="宋体" w:cs="Times New Roman"/>
          <w:color w:val="FF0000"/>
          <w:sz w:val="24"/>
          <w:szCs w:val="24"/>
          <w:highlight w:val="none"/>
        </w:rPr>
        <w:t>因此，矿坑不考虑地下水充水，矿坑充水水源为大气降雨为主，本矿床矿坑涌水量采用降雨量计算法为主</w:t>
      </w:r>
      <w:r>
        <w:rPr>
          <w:rFonts w:hint="default" w:ascii="Times New Roman" w:hAnsi="Times New Roman" w:eastAsia="宋体" w:cs="Times New Roman"/>
          <w:color w:val="FF0000"/>
          <w:sz w:val="24"/>
          <w:szCs w:val="24"/>
          <w:highlight w:val="none"/>
          <w:lang w:eastAsia="zh-CN"/>
        </w:rPr>
        <w:t>，</w:t>
      </w:r>
      <w:r>
        <w:rPr>
          <w:rFonts w:hint="default" w:ascii="Times New Roman" w:hAnsi="Times New Roman" w:cs="Times New Roman"/>
          <w:color w:val="FF0000"/>
          <w:sz w:val="24"/>
          <w:szCs w:val="24"/>
          <w:highlight w:val="none"/>
          <w:lang w:val="en-US" w:eastAsia="zh-CN"/>
        </w:rPr>
        <w:t>根据详查报告</w:t>
      </w:r>
      <w:r>
        <w:rPr>
          <w:rFonts w:hint="default" w:ascii="Times New Roman" w:hAnsi="Times New Roman" w:cs="Times New Roman"/>
          <w:color w:val="FF0000"/>
          <w:sz w:val="24"/>
          <w:szCs w:val="24"/>
          <w:highlight w:val="none"/>
          <w:lang w:eastAsia="zh-CN"/>
        </w:rPr>
        <w:t>，</w:t>
      </w:r>
      <w:r>
        <w:rPr>
          <w:rFonts w:hint="default" w:ascii="Times New Roman" w:hAnsi="Times New Roman" w:eastAsia="宋体" w:cs="Times New Roman"/>
          <w:color w:val="FF0000"/>
          <w:sz w:val="24"/>
          <w:szCs w:val="24"/>
          <w:highlight w:val="none"/>
        </w:rPr>
        <w:t>最大日涌水量2</w:t>
      </w:r>
      <w:r>
        <w:rPr>
          <w:rFonts w:hint="default" w:ascii="Times New Roman" w:hAnsi="Times New Roman" w:eastAsia="宋体" w:cs="Times New Roman"/>
          <w:color w:val="FF0000"/>
          <w:sz w:val="24"/>
          <w:szCs w:val="24"/>
          <w:highlight w:val="none"/>
          <w:lang w:val="en-US" w:eastAsia="zh-CN"/>
        </w:rPr>
        <w:t>8700</w:t>
      </w:r>
      <w:r>
        <w:rPr>
          <w:rFonts w:hint="default" w:ascii="Times New Roman" w:hAnsi="Times New Roman" w:eastAsia="宋体" w:cs="Times New Roman"/>
          <w:color w:val="FF0000"/>
          <w:sz w:val="24"/>
          <w:szCs w:val="24"/>
          <w:highlight w:val="none"/>
        </w:rPr>
        <w:t>m³/d</w:t>
      </w:r>
      <w:r>
        <w:rPr>
          <w:rFonts w:hint="default" w:ascii="Times New Roman" w:hAnsi="Times New Roman" w:cs="Times New Roman"/>
          <w:color w:val="FF0000"/>
          <w:sz w:val="24"/>
          <w:szCs w:val="24"/>
          <w:highlight w:val="none"/>
          <w:lang w:eastAsia="zh-CN"/>
        </w:rPr>
        <w:t>，</w:t>
      </w:r>
      <w:r>
        <w:rPr>
          <w:rFonts w:hint="default" w:ascii="Times New Roman" w:hAnsi="Times New Roman" w:eastAsia="宋体" w:cs="Times New Roman"/>
          <w:color w:val="FF0000"/>
          <w:sz w:val="24"/>
          <w:szCs w:val="24"/>
          <w:highlight w:val="none"/>
        </w:rPr>
        <w:t>平均日（正常）涌水量</w:t>
      </w:r>
      <w:r>
        <w:rPr>
          <w:rFonts w:hint="default" w:ascii="Times New Roman" w:hAnsi="Times New Roman" w:eastAsia="宋体" w:cs="Times New Roman"/>
          <w:color w:val="FF0000"/>
          <w:sz w:val="24"/>
          <w:szCs w:val="24"/>
          <w:highlight w:val="none"/>
          <w:lang w:val="en-US" w:eastAsia="zh-CN"/>
        </w:rPr>
        <w:t>330</w:t>
      </w:r>
      <w:r>
        <w:rPr>
          <w:rFonts w:hint="default" w:ascii="Times New Roman" w:hAnsi="Times New Roman" w:eastAsia="宋体" w:cs="Times New Roman"/>
          <w:color w:val="FF0000"/>
          <w:sz w:val="24"/>
          <w:szCs w:val="24"/>
          <w:highlight w:val="none"/>
        </w:rPr>
        <w:t>0m³/d</w:t>
      </w:r>
      <w:r>
        <w:rPr>
          <w:rFonts w:hint="default" w:ascii="Times New Roman" w:hAnsi="Times New Roman" w:cs="Times New Roman"/>
          <w:color w:val="FF0000"/>
          <w:sz w:val="24"/>
          <w:szCs w:val="24"/>
          <w:highlight w:val="none"/>
          <w:lang w:eastAsia="zh-CN"/>
        </w:rPr>
        <w:t>。在正常降雨时，矿坑涌水量不大，而在暴水时，矿坑涌水量较大，考虑矿区处于沙漠地区，矿区地层入渗能力强，预计不会形成汇流，涌水主要以入渗、蒸发等方式排出，不需要采取防洪措施。</w:t>
      </w:r>
    </w:p>
    <w:p w14:paraId="0CBA0AD4">
      <w:pPr>
        <w:pStyle w:val="4"/>
        <w:bidi w:val="0"/>
        <w:rPr>
          <w:rFonts w:hint="default"/>
        </w:rPr>
      </w:pPr>
      <w:bookmarkStart w:id="199" w:name="4.1.5气象、气候"/>
      <w:bookmarkEnd w:id="199"/>
      <w:bookmarkStart w:id="200" w:name="_Toc31768"/>
      <w:r>
        <w:rPr>
          <w:rFonts w:hint="default"/>
        </w:rPr>
        <w:t>气象、气候</w:t>
      </w:r>
      <w:bookmarkEnd w:id="200"/>
    </w:p>
    <w:p w14:paraId="46B005EF">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阜康地处温带大陆性干旱气候区，但因存在着山地、平原、沙漠的巨大差异，气候也各不相同。在北部的平原、沙漠区呈现出明显的大陆性干旱气候，四季分明，热量丰富，降水稀少，春温高于秋温，年较差、日较差大。在南部山区，不完全具有温带大陆性干旱气候的特征，而表现为冬暖夏凉，无明显的春季和秋季，降水充足，热量不足，冬夏等长的特征。阜康中部是地势平坦的平原区，冬季寒冷，夏季酷热，春秋季气候变化剧烈，降水量少，蒸发量大，光照充足，昼夜温差大，且水热同季，属温带大陆性干旱半干旱气候区。</w:t>
      </w:r>
    </w:p>
    <w:p w14:paraId="14CFFE61">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春季：通常在3月中下旬开春持续到5月下旬末。升温迅速而不稳，天气多变，平均每月有一到两次强冷空气入侵，使气温变化幅度较大，春季多风。</w:t>
      </w:r>
    </w:p>
    <w:p w14:paraId="7B47CA1C">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夏季：6月上旬到九月上旬。炎热干燥，空气湿度很小，无闷热感。降水较集中，多阵性风雨天气。</w:t>
      </w:r>
    </w:p>
    <w:p w14:paraId="20C3BAB5">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秋季：9月上中旬到11月中下旬。秋高气爽，晴天日数最多。平均每月有一到两次强冷空气入侵，使得气温下降迅速。冬季：11月中下旬到翌年3月中下旬。寒冷漫长，有稳定积雪，空气湿度明显加大。</w:t>
      </w:r>
    </w:p>
    <w:p w14:paraId="78A74B9F">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冬季上空多有逆温形成，平均风速为四季最小，多阴雾天气出现。</w:t>
      </w:r>
    </w:p>
    <w:p w14:paraId="27D1C4D6">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阜康市气象站近30年主要气象参数见表4.1-2。</w:t>
      </w:r>
    </w:p>
    <w:p w14:paraId="3266E036">
      <w:pPr>
        <w:pStyle w:val="45"/>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表 4.1-2</w:t>
      </w:r>
      <w:r>
        <w:rPr>
          <w:rFonts w:hint="default" w:ascii="Times New Roman" w:hAnsi="Times New Roman" w:cs="Times New Roman"/>
          <w:color w:val="auto"/>
          <w:sz w:val="24"/>
          <w:szCs w:val="24"/>
          <w:highlight w:val="none"/>
        </w:rPr>
        <w:tab/>
      </w:r>
      <w:r>
        <w:rPr>
          <w:rFonts w:hint="default" w:ascii="Times New Roman" w:hAnsi="Times New Roman" w:cs="Times New Roman"/>
          <w:color w:val="auto"/>
          <w:sz w:val="24"/>
          <w:szCs w:val="24"/>
          <w:highlight w:val="none"/>
        </w:rPr>
        <w:t>阜康市区域主要气象要素表</w:t>
      </w:r>
    </w:p>
    <w:tbl>
      <w:tblPr>
        <w:tblStyle w:val="31"/>
        <w:tblW w:w="0" w:type="auto"/>
        <w:tblInd w:w="2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93"/>
        <w:gridCol w:w="2293"/>
        <w:gridCol w:w="2294"/>
        <w:gridCol w:w="2294"/>
      </w:tblGrid>
      <w:tr w14:paraId="05D8FA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2293"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70DA1E0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气象要素</w:t>
            </w:r>
          </w:p>
        </w:tc>
        <w:tc>
          <w:tcPr>
            <w:tcW w:w="2293"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33F2D7B8">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数据</w:t>
            </w:r>
          </w:p>
        </w:tc>
        <w:tc>
          <w:tcPr>
            <w:tcW w:w="2294"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5F9C9BA8">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气象要素</w:t>
            </w:r>
          </w:p>
        </w:tc>
        <w:tc>
          <w:tcPr>
            <w:tcW w:w="2294"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351C8A6E">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数据</w:t>
            </w:r>
          </w:p>
        </w:tc>
      </w:tr>
      <w:tr w14:paraId="32DAFA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2293"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1FC7C6C6">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平均气温</w:t>
            </w:r>
          </w:p>
        </w:tc>
        <w:tc>
          <w:tcPr>
            <w:tcW w:w="2293"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2C1CB91B">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7.4℃</w:t>
            </w:r>
          </w:p>
        </w:tc>
        <w:tc>
          <w:tcPr>
            <w:tcW w:w="2294"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1336457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年平均风速</w:t>
            </w:r>
          </w:p>
        </w:tc>
        <w:tc>
          <w:tcPr>
            <w:tcW w:w="2294"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2AFFAAA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1.8m/s</w:t>
            </w:r>
          </w:p>
        </w:tc>
      </w:tr>
      <w:tr w14:paraId="06CE63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2293"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2715446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历年极端最高气温</w:t>
            </w:r>
          </w:p>
        </w:tc>
        <w:tc>
          <w:tcPr>
            <w:tcW w:w="2293"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28EC89E1">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41.5℃</w:t>
            </w:r>
          </w:p>
        </w:tc>
        <w:tc>
          <w:tcPr>
            <w:tcW w:w="2294"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57A7AEE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年平均降水量</w:t>
            </w:r>
          </w:p>
        </w:tc>
        <w:tc>
          <w:tcPr>
            <w:tcW w:w="2294"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7F74EBA1">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237.6mm</w:t>
            </w:r>
          </w:p>
        </w:tc>
      </w:tr>
      <w:tr w14:paraId="7349C2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2293"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7B28C52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历年极端最低气温</w:t>
            </w:r>
          </w:p>
        </w:tc>
        <w:tc>
          <w:tcPr>
            <w:tcW w:w="2293"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70D35C36">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-34.4℃</w:t>
            </w:r>
          </w:p>
        </w:tc>
        <w:tc>
          <w:tcPr>
            <w:tcW w:w="2294"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0A6A55CD">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日最大降水量</w:t>
            </w:r>
          </w:p>
        </w:tc>
        <w:tc>
          <w:tcPr>
            <w:tcW w:w="2294"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1D0E0ED1">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64mm</w:t>
            </w:r>
          </w:p>
        </w:tc>
      </w:tr>
      <w:tr w14:paraId="5B36F3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2293"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466AAE5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最热月平均气温</w:t>
            </w:r>
          </w:p>
        </w:tc>
        <w:tc>
          <w:tcPr>
            <w:tcW w:w="2293"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62EF6AE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25.3℃</w:t>
            </w:r>
          </w:p>
        </w:tc>
        <w:tc>
          <w:tcPr>
            <w:tcW w:w="2294"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67FAAA53">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年均相对湿度</w:t>
            </w:r>
          </w:p>
        </w:tc>
        <w:tc>
          <w:tcPr>
            <w:tcW w:w="2294"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5CCC8BE1">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59%</w:t>
            </w:r>
          </w:p>
        </w:tc>
      </w:tr>
      <w:tr w14:paraId="606F6B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2293"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1D53FEB4">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最冷月平均气温</w:t>
            </w:r>
          </w:p>
        </w:tc>
        <w:tc>
          <w:tcPr>
            <w:tcW w:w="2293"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43A1DC61">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-14.4℃</w:t>
            </w:r>
          </w:p>
        </w:tc>
        <w:tc>
          <w:tcPr>
            <w:tcW w:w="2294"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52389EBC">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年平均大气压</w:t>
            </w:r>
          </w:p>
        </w:tc>
        <w:tc>
          <w:tcPr>
            <w:tcW w:w="2294"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17C560C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956.5hPa</w:t>
            </w:r>
          </w:p>
        </w:tc>
      </w:tr>
      <w:tr w14:paraId="1C170E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2293"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1F2568C1">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年主导风向</w:t>
            </w:r>
          </w:p>
        </w:tc>
        <w:tc>
          <w:tcPr>
            <w:tcW w:w="2293"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219784E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西风</w:t>
            </w:r>
          </w:p>
        </w:tc>
        <w:tc>
          <w:tcPr>
            <w:tcW w:w="2294"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4DE9128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年均蒸发量</w:t>
            </w:r>
          </w:p>
        </w:tc>
        <w:tc>
          <w:tcPr>
            <w:tcW w:w="2294"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5743235C">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2060.8mm</w:t>
            </w:r>
          </w:p>
        </w:tc>
      </w:tr>
      <w:tr w14:paraId="7DADEF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2293"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16D77965">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冬季风速</w:t>
            </w:r>
          </w:p>
        </w:tc>
        <w:tc>
          <w:tcPr>
            <w:tcW w:w="2293"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2D8B5F73">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1.3</w:t>
            </w:r>
          </w:p>
        </w:tc>
        <w:tc>
          <w:tcPr>
            <w:tcW w:w="2294"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6F6195D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最大冻土深度</w:t>
            </w:r>
          </w:p>
        </w:tc>
        <w:tc>
          <w:tcPr>
            <w:tcW w:w="2294"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60023004">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1.44m</w:t>
            </w:r>
          </w:p>
        </w:tc>
      </w:tr>
      <w:tr w14:paraId="080542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2293"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5541B2E7">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夏季风速</w:t>
            </w:r>
          </w:p>
        </w:tc>
        <w:tc>
          <w:tcPr>
            <w:tcW w:w="2293"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4663019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3.4</w:t>
            </w:r>
          </w:p>
        </w:tc>
        <w:tc>
          <w:tcPr>
            <w:tcW w:w="2294"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7C8CCCDE">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最大积雪深</w:t>
            </w:r>
          </w:p>
        </w:tc>
        <w:tc>
          <w:tcPr>
            <w:tcW w:w="2294"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7580A7D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33cm</w:t>
            </w:r>
          </w:p>
        </w:tc>
      </w:tr>
    </w:tbl>
    <w:p w14:paraId="3B12CDBB">
      <w:pPr>
        <w:pStyle w:val="4"/>
        <w:bidi w:val="0"/>
        <w:rPr>
          <w:rFonts w:hint="default"/>
        </w:rPr>
      </w:pPr>
      <w:bookmarkStart w:id="201" w:name="4.1.6矿产资源"/>
      <w:bookmarkEnd w:id="201"/>
      <w:bookmarkStart w:id="202" w:name="_Toc26509"/>
      <w:r>
        <w:rPr>
          <w:rFonts w:hint="default"/>
        </w:rPr>
        <w:t>矿产资源</w:t>
      </w:r>
      <w:bookmarkEnd w:id="202"/>
    </w:p>
    <w:p w14:paraId="76D87BED">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阜康市矿产资源分布广泛，储量丰富，现已探明的矿产种类有煤、石油、碳、铁、溶剂石灰岩、白矶、石灰石、芒硝、石膏、油页岩、硼砂等，其中以煤和石油的储量最为丰富，面积最为广阔。阜康市境内煤炭资源丰富，主要分布在天山山脉海拔800</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1100m的丘陵山区，东起大黄山，西至水磨河，东西长53km，南北宽5km，矿区面积280km2。</w:t>
      </w:r>
    </w:p>
    <w:p w14:paraId="7469EA83">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勘探结果表明，矿区煤炭储量资源84亿吨（D级64.5亿吨），其中气煤（含肥煤、焦煤）56亿吨（D级46亿吨），占总资源量的66%，动力煤资源量为28亿吨（D级18.5亿吨），占总储量的34%，风化煤为5000万吨。主要煤种为长焰煤、不粘结煤、弱粘结煤、气煤、气肥煤、肥气煤和肥煤。</w:t>
      </w:r>
    </w:p>
    <w:p w14:paraId="351774A6">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新疆准东油田开发基地位于阜康境内，油田现已探明15亿吨石油远景储量和1502亿m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的天然气远景储量，目前已探明的有石油地质储量1.22亿吨，而且还在进一步勘探开发之中。现已形成原油年开采量200万吨、天然气5亿立方米的能力。阜康市电力供应充足，目前水火电总装机容量达80万千瓦。</w:t>
      </w:r>
    </w:p>
    <w:p w14:paraId="783FC9EB">
      <w:pPr>
        <w:spacing w:beforeLines="0" w:afterLines="0"/>
        <w:rPr>
          <w:rFonts w:hint="default" w:ascii="Times New Roman" w:hAnsi="Times New Roman" w:cs="Times New Roman"/>
          <w:color w:val="auto"/>
          <w:sz w:val="14"/>
          <w:szCs w:val="24"/>
          <w:highlight w:val="none"/>
        </w:rPr>
      </w:pPr>
      <w:r>
        <w:rPr>
          <w:rFonts w:hint="default" w:ascii="Times New Roman" w:hAnsi="Times New Roman" w:cs="Times New Roman"/>
          <w:color w:val="auto"/>
          <w:sz w:val="24"/>
          <w:szCs w:val="24"/>
          <w:highlight w:val="none"/>
        </w:rPr>
        <w:t>阜康市其它主要矿产储量为：菱铁矿188.8万吨，溶剂石灰岩2717万吨，石灰石2068万吨（氧化钙含量在52-55%），油页岩11.87亿吨，芒硝2126万吨，磷矿325万吨。</w:t>
      </w:r>
    </w:p>
    <w:p w14:paraId="37535C08">
      <w:pPr>
        <w:pStyle w:val="4"/>
        <w:bidi w:val="0"/>
        <w:rPr>
          <w:rFonts w:hint="default"/>
        </w:rPr>
      </w:pPr>
      <w:bookmarkStart w:id="203" w:name="4.1.7野生动植物资源"/>
      <w:bookmarkEnd w:id="203"/>
      <w:bookmarkStart w:id="204" w:name="_Toc4689"/>
      <w:r>
        <w:rPr>
          <w:rFonts w:hint="default"/>
        </w:rPr>
        <w:t>野生动植物资源</w:t>
      </w:r>
      <w:bookmarkEnd w:id="204"/>
    </w:p>
    <w:p w14:paraId="3B70EBC2">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阜康市野生动物有鹿、狗、雪鸡、羚羊等，野生药用植物资源有贝母、当归、党参、大芸、大黄、雪莲、甘草、柴胡等品种，其中名闻遐迩的天山雪莲为阜康当地特产。</w:t>
      </w:r>
    </w:p>
    <w:p w14:paraId="39F5E510">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项目区植物群落较为单一，草地类型为沙生针茅、新疆绢蒿，伴生有白茎绢蒿、驼绒藜等杂草。植被覆盖度10</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20％，分布全区，为四等七级荒漠草原，为当地冬春牧场。评估区范围内无农田、林地分布。</w:t>
      </w:r>
    </w:p>
    <w:p w14:paraId="59E897E2">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项目所在区域内野生动物主要有变色沙蜥、荒漠沙蜥、快步麻蜥、麻雀、花条蛇、沙鼠等。</w:t>
      </w:r>
    </w:p>
    <w:p w14:paraId="07609121">
      <w:pPr>
        <w:pStyle w:val="3"/>
        <w:bidi w:val="0"/>
        <w:rPr>
          <w:rFonts w:hint="default"/>
        </w:rPr>
      </w:pPr>
      <w:bookmarkStart w:id="205" w:name="4.2新疆阜康市彩南国家沙化土地封禁保护区"/>
      <w:bookmarkEnd w:id="205"/>
      <w:bookmarkStart w:id="206" w:name="bookmark26"/>
      <w:bookmarkEnd w:id="206"/>
      <w:bookmarkStart w:id="207" w:name="_Toc32526"/>
      <w:bookmarkStart w:id="208" w:name="_Toc1890"/>
      <w:r>
        <w:rPr>
          <w:rFonts w:hint="default"/>
        </w:rPr>
        <w:t>新疆阜康市彩南国家沙化土地封禁保护区</w:t>
      </w:r>
      <w:bookmarkEnd w:id="207"/>
      <w:bookmarkEnd w:id="208"/>
    </w:p>
    <w:p w14:paraId="04C62C35">
      <w:pPr>
        <w:pStyle w:val="4"/>
        <w:bidi w:val="0"/>
        <w:rPr>
          <w:rFonts w:hint="default"/>
        </w:rPr>
      </w:pPr>
      <w:bookmarkStart w:id="209" w:name="4.2.1封禁保护区范围"/>
      <w:bookmarkEnd w:id="209"/>
      <w:bookmarkStart w:id="210" w:name="_Toc5228"/>
      <w:r>
        <w:rPr>
          <w:rFonts w:hint="default"/>
        </w:rPr>
        <w:t>封禁保护区范围</w:t>
      </w:r>
      <w:bookmarkEnd w:id="210"/>
    </w:p>
    <w:p w14:paraId="6DA20ED5">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新疆阜康市彩南国家沙化土地封禁保护区位于阜康市北部荒漠区阜彩公路两侧各1km 范围内，属古尔班通古特沙漠东段，封禁保护区总面积9800hm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周长为71930m。主要拐点坐标为（1）：322206，4918399；（2）：317199，4917258；（3）：316193，4916308；（4）：316026，4915636；（5）：322182，4911997；（6）：330765，4912111；（7）：337766，4913840；（8）：339964，4916217；（9）：338157，4917749；（10）：331317，4917874。</w:t>
      </w:r>
    </w:p>
    <w:p w14:paraId="7EFF9D38">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本项目位于</w:t>
      </w:r>
      <w:r>
        <w:rPr>
          <w:rFonts w:hint="default" w:ascii="Times New Roman" w:hAnsi="Times New Roman" w:cs="Times New Roman"/>
          <w:color w:val="auto"/>
          <w:sz w:val="24"/>
          <w:szCs w:val="24"/>
          <w:highlight w:val="none"/>
        </w:rPr>
        <w:t>新疆阜康市彩南国家沙化土地封禁保护区</w:t>
      </w:r>
      <w:r>
        <w:rPr>
          <w:rFonts w:hint="default" w:ascii="Times New Roman" w:hAnsi="Times New Roman" w:cs="Times New Roman"/>
          <w:color w:val="auto"/>
          <w:sz w:val="24"/>
          <w:szCs w:val="24"/>
          <w:highlight w:val="none"/>
          <w:lang w:val="en-US" w:eastAsia="zh-CN"/>
        </w:rPr>
        <w:t>东侧约900m，相对位置关系图见附图4.2-1。</w:t>
      </w:r>
    </w:p>
    <w:p w14:paraId="150D1573">
      <w:pPr>
        <w:pStyle w:val="4"/>
        <w:bidi w:val="0"/>
        <w:rPr>
          <w:rFonts w:hint="default"/>
        </w:rPr>
      </w:pPr>
      <w:bookmarkStart w:id="211" w:name="4.2.2封禁保护区类型"/>
      <w:bookmarkEnd w:id="211"/>
      <w:bookmarkStart w:id="212" w:name="_Toc6530"/>
      <w:r>
        <w:rPr>
          <w:rFonts w:hint="default"/>
        </w:rPr>
        <w:t>封禁保护区类型</w:t>
      </w:r>
      <w:bookmarkEnd w:id="212"/>
    </w:p>
    <w:p w14:paraId="73571BE2">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封禁保护区位于阜康市北部沙漠，沙丘东西呈带状分布，一直延伸至大黄山。保护区周边是阜康市公益林分布区，植被主要以灌木林地和沙生灌丛为主，五大公路在保护区南北穿过，保护区内以流动沙地为主，保护区属于重要绿洲外围沙化土地封禁保护区。按地域和地位划分属于“重要的绿洲周围保护类型”。</w:t>
      </w:r>
    </w:p>
    <w:p w14:paraId="7FEBAE53">
      <w:pPr>
        <w:pStyle w:val="4"/>
        <w:bidi w:val="0"/>
        <w:rPr>
          <w:rFonts w:hint="default"/>
        </w:rPr>
      </w:pPr>
      <w:bookmarkStart w:id="213" w:name="4.2.3生态区位"/>
      <w:bookmarkEnd w:id="213"/>
      <w:bookmarkStart w:id="214" w:name="_Toc29407"/>
      <w:r>
        <w:rPr>
          <w:rFonts w:hint="default"/>
        </w:rPr>
        <w:t>生态区位</w:t>
      </w:r>
      <w:bookmarkEnd w:id="214"/>
    </w:p>
    <w:p w14:paraId="42035CAF">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b/>
          <w:color w:val="auto"/>
          <w:sz w:val="24"/>
          <w:szCs w:val="24"/>
          <w:highlight w:val="none"/>
        </w:rPr>
        <w:t>新疆阜康市彩南国家沙化土地封禁保护区</w:t>
      </w:r>
      <w:r>
        <w:rPr>
          <w:rFonts w:hint="default" w:ascii="Times New Roman" w:hAnsi="Times New Roman" w:cs="Times New Roman"/>
          <w:color w:val="auto"/>
          <w:sz w:val="24"/>
          <w:szCs w:val="24"/>
          <w:highlight w:val="none"/>
        </w:rPr>
        <w:t>位于阜康市北部荒漠区，属古尔班通古特沙漠东段，在中国西北干旱区生态区划中，将此区划为</w:t>
      </w:r>
      <w:r>
        <w:rPr>
          <w:rFonts w:hint="default" w:ascii="Times New Roman" w:hAnsi="Times New Roman" w:eastAsia="Times New Roman" w:cs="Times New Roman"/>
          <w:color w:val="auto"/>
          <w:sz w:val="24"/>
          <w:szCs w:val="24"/>
          <w:highlight w:val="none"/>
        </w:rPr>
        <w:t>Ⅰ</w:t>
      </w:r>
      <w:r>
        <w:rPr>
          <w:rFonts w:hint="default" w:ascii="Times New Roman" w:hAnsi="Times New Roman" w:cs="Times New Roman"/>
          <w:color w:val="auto"/>
          <w:sz w:val="24"/>
          <w:szCs w:val="24"/>
          <w:highlight w:val="none"/>
        </w:rPr>
        <w:t>温带荒漠盆地自然保育生态域、</w:t>
      </w:r>
      <w:r>
        <w:rPr>
          <w:rFonts w:hint="default" w:ascii="Times New Roman" w:hAnsi="Times New Roman" w:eastAsia="Times New Roman" w:cs="Times New Roman"/>
          <w:color w:val="auto"/>
          <w:sz w:val="24"/>
          <w:szCs w:val="24"/>
          <w:highlight w:val="none"/>
        </w:rPr>
        <w:t>Ⅰ-Ⅰ</w:t>
      </w:r>
      <w:r>
        <w:rPr>
          <w:rFonts w:hint="default" w:ascii="Times New Roman" w:hAnsi="Times New Roman" w:cs="Times New Roman"/>
          <w:color w:val="auto"/>
          <w:sz w:val="24"/>
          <w:szCs w:val="24"/>
          <w:highlight w:val="none"/>
        </w:rPr>
        <w:t>准噶尔盆地温带荒漠生态区、</w:t>
      </w:r>
      <w:r>
        <w:rPr>
          <w:rFonts w:hint="default" w:ascii="Times New Roman" w:hAnsi="Times New Roman" w:eastAsia="Times New Roman" w:cs="Times New Roman"/>
          <w:color w:val="auto"/>
          <w:sz w:val="24"/>
          <w:szCs w:val="24"/>
          <w:highlight w:val="none"/>
        </w:rPr>
        <w:t>Ⅰ-Ⅰ-C</w:t>
      </w:r>
      <w:r>
        <w:rPr>
          <w:rFonts w:hint="default" w:ascii="Times New Roman" w:hAnsi="Times New Roman" w:cs="Times New Roman"/>
          <w:color w:val="auto"/>
          <w:sz w:val="24"/>
          <w:szCs w:val="24"/>
          <w:highlight w:val="none"/>
        </w:rPr>
        <w:t>古尔班通古特沙漠生态小区。</w:t>
      </w:r>
    </w:p>
    <w:p w14:paraId="51A3211E">
      <w:pPr>
        <w:pStyle w:val="4"/>
        <w:bidi w:val="0"/>
        <w:rPr>
          <w:rFonts w:hint="default"/>
        </w:rPr>
      </w:pPr>
      <w:bookmarkStart w:id="215" w:name="4.2.4保护对象"/>
      <w:bookmarkEnd w:id="215"/>
      <w:bookmarkStart w:id="216" w:name="_Toc17499"/>
      <w:r>
        <w:rPr>
          <w:rFonts w:hint="default"/>
        </w:rPr>
        <w:t>保护对象</w:t>
      </w:r>
      <w:bookmarkEnd w:id="216"/>
    </w:p>
    <w:p w14:paraId="072E7535">
      <w:pPr>
        <w:pStyle w:val="14"/>
        <w:kinsoku w:val="0"/>
        <w:overflowPunct w:val="0"/>
        <w:spacing w:beforeLines="0" w:afterLines="0" w:line="379" w:lineRule="auto"/>
        <w:ind w:right="193" w:firstLine="48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封禁保护区位于阜康市北部沙漠，保护区周边是阜康市公益林分布区，植被主要以灌木林地和沙生灌丛为主，优势树种为梭梭，保护区主要保护荒漠生态系统、周边梭梭公益林资源及项目区野生动植物资源。</w:t>
      </w:r>
    </w:p>
    <w:p w14:paraId="49ABDEF7">
      <w:pPr>
        <w:pStyle w:val="4"/>
        <w:bidi w:val="0"/>
        <w:rPr>
          <w:rFonts w:hint="default"/>
        </w:rPr>
      </w:pPr>
      <w:bookmarkStart w:id="217" w:name="4.2.5封禁保护区基本情况"/>
      <w:bookmarkEnd w:id="217"/>
      <w:bookmarkStart w:id="218" w:name="_Toc12512"/>
      <w:r>
        <w:rPr>
          <w:rFonts w:hint="default"/>
        </w:rPr>
        <w:t>封禁保护区基本情况</w:t>
      </w:r>
      <w:bookmarkEnd w:id="218"/>
    </w:p>
    <w:p w14:paraId="7B184F4D">
      <w:pPr>
        <w:pStyle w:val="5"/>
        <w:bidi w:val="0"/>
        <w:rPr>
          <w:rFonts w:hint="default"/>
        </w:rPr>
      </w:pPr>
      <w:r>
        <w:rPr>
          <w:rFonts w:hint="default"/>
        </w:rPr>
        <w:t>封禁保护区现状调查</w:t>
      </w:r>
    </w:p>
    <w:p w14:paraId="5ECDF37C">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保护区年均降雨量100-150毫米，无霜期125天以上，年平均气温6-7℃，极端最高温度在42℃以上，最低温度在-45℃左右，全年太阳总辐射量为142.5千卡/平方米，有效辐射68.4千卡/平方米，≥10℃以上的积温在3100℃以上，年蒸发量在3000毫米以上。海拔750-950米，项目区实测年平均风速约6.5～7.3m/s，年平均风功率密度约313</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419W/m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风向和风能频率以西（W）、西西南（WSW）、西西北（WNW）和东东北（ENE）方向较高，盛行风向稳定。风速春夏季大，秋冬季小。项目区内土壤为风沙土，地貌多为起伏沙丘，地势不平坦，沙丘高度多为3-5m，最高达20m，天然植被种群结构较单一、分布呈鱼鳞状，植被盖度较低，局部区域植被覆盖度在15%左右，稀疏分布着芦苇、柽柳、沙拐枣等野生植被。</w:t>
      </w:r>
    </w:p>
    <w:p w14:paraId="7B5C7AE8">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保护区</w:t>
      </w:r>
      <w:r>
        <w:rPr>
          <w:rFonts w:hint="default" w:ascii="Times New Roman" w:hAnsi="Times New Roman" w:cs="Times New Roman"/>
          <w:color w:val="auto"/>
          <w:sz w:val="24"/>
          <w:szCs w:val="24"/>
          <w:highlight w:val="none"/>
        </w:rPr>
        <w:t>中部为高大沙丘，地形起伏较大，植被稀少，由于风向关系，周围流沙逐渐向这里移动，形成了大小不等的新月型沙丘，并不断向四周漫延，整个沙丘高约5-20米。</w:t>
      </w:r>
    </w:p>
    <w:p w14:paraId="60380078">
      <w:pPr>
        <w:pStyle w:val="5"/>
        <w:bidi w:val="0"/>
        <w:rPr>
          <w:rFonts w:hint="default"/>
        </w:rPr>
      </w:pPr>
      <w:r>
        <w:rPr>
          <w:rFonts w:hint="default"/>
        </w:rPr>
        <w:t>封禁保护区沙化土地类型及程度</w:t>
      </w:r>
    </w:p>
    <w:p w14:paraId="0F383587">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据最新沙漠化监测成果显示，阜康市彩南国家沙化土地封禁保护区共有沙化土地共9800hm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，其中：流动沙地8800.04hm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，占封禁保护区沙化土地面积的96.43%；天然半固定沙地面积259.82hm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，占2.32%；天然固定沙地面积140.14hm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，占1.25%。封禁保护区沙化土地面积按沙化程度分：极重度8800.04hm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，占封禁保护区沙化土地面积的96.43%；重度259.82hm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，占2.32%；中度140.14hm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，占1.25%。</w:t>
      </w:r>
    </w:p>
    <w:p w14:paraId="61FEBF7D">
      <w:pPr>
        <w:pStyle w:val="3"/>
        <w:bidi w:val="0"/>
        <w:rPr>
          <w:rFonts w:hint="default"/>
        </w:rPr>
      </w:pPr>
      <w:bookmarkStart w:id="219" w:name="4.3环境质量现状调查与评价"/>
      <w:bookmarkEnd w:id="219"/>
      <w:bookmarkStart w:id="220" w:name="bookmark27"/>
      <w:bookmarkEnd w:id="220"/>
      <w:bookmarkStart w:id="221" w:name="_Toc7000"/>
      <w:bookmarkStart w:id="222" w:name="_Toc6787"/>
      <w:r>
        <w:rPr>
          <w:rFonts w:hint="default"/>
        </w:rPr>
        <w:t>环境质量现状调查与评价</w:t>
      </w:r>
      <w:bookmarkEnd w:id="221"/>
      <w:bookmarkEnd w:id="222"/>
    </w:p>
    <w:p w14:paraId="0E4F3D99">
      <w:pPr>
        <w:pStyle w:val="4"/>
        <w:bidi w:val="0"/>
        <w:rPr>
          <w:rFonts w:hint="default"/>
        </w:rPr>
      </w:pPr>
      <w:bookmarkStart w:id="223" w:name="4.3.1环境空气质量现状调查与评价"/>
      <w:bookmarkEnd w:id="223"/>
      <w:bookmarkStart w:id="224" w:name="_Toc4872"/>
      <w:r>
        <w:rPr>
          <w:rFonts w:hint="default"/>
        </w:rPr>
        <w:t>环境空气质量现状调查与评价</w:t>
      </w:r>
      <w:bookmarkEnd w:id="224"/>
    </w:p>
    <w:p w14:paraId="46216811">
      <w:pPr>
        <w:pStyle w:val="5"/>
        <w:bidi w:val="0"/>
        <w:rPr>
          <w:rFonts w:hint="default"/>
        </w:rPr>
      </w:pPr>
      <w:bookmarkStart w:id="225" w:name="4.3.1.1项目所在区域达标区判定"/>
      <w:bookmarkEnd w:id="225"/>
      <w:r>
        <w:rPr>
          <w:rFonts w:hint="default"/>
        </w:rPr>
        <w:t>项目所在区域达标区判定</w:t>
      </w:r>
    </w:p>
    <w:p w14:paraId="0ACA93A0">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根据《环境影响评价技术导则-大气环境》（HJ2.2-2018）对环境质量现状数据的要求</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“城市环境空气质量达标情况评价指标为SO</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color w:val="auto"/>
          <w:sz w:val="24"/>
          <w:szCs w:val="24"/>
          <w:highlight w:val="none"/>
        </w:rPr>
        <w:t>、NO</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color w:val="auto"/>
          <w:sz w:val="24"/>
          <w:szCs w:val="24"/>
          <w:highlight w:val="none"/>
        </w:rPr>
        <w:t>、PM</w:t>
      </w:r>
      <w:r>
        <w:rPr>
          <w:rFonts w:hint="default" w:ascii="Times New Roman" w:hAnsi="Times New Roman" w:cs="Times New Roman"/>
          <w:color w:val="auto"/>
          <w:sz w:val="24"/>
          <w:szCs w:val="24"/>
          <w:highlight w:val="none"/>
          <w:vertAlign w:val="subscript"/>
        </w:rPr>
        <w:t>10</w:t>
      </w:r>
      <w:r>
        <w:rPr>
          <w:rFonts w:hint="default" w:ascii="Times New Roman" w:hAnsi="Times New Roman" w:cs="Times New Roman"/>
          <w:color w:val="auto"/>
          <w:sz w:val="24"/>
          <w:szCs w:val="24"/>
          <w:highlight w:val="none"/>
        </w:rPr>
        <w:t>、PM</w:t>
      </w:r>
      <w:r>
        <w:rPr>
          <w:rFonts w:hint="default" w:ascii="Times New Roman" w:hAnsi="Times New Roman" w:cs="Times New Roman"/>
          <w:color w:val="auto"/>
          <w:sz w:val="24"/>
          <w:szCs w:val="24"/>
          <w:highlight w:val="none"/>
          <w:vertAlign w:val="subscript"/>
        </w:rPr>
        <w:t>2.5</w:t>
      </w:r>
      <w:r>
        <w:rPr>
          <w:rFonts w:hint="default" w:ascii="Times New Roman" w:hAnsi="Times New Roman" w:cs="Times New Roman"/>
          <w:color w:val="auto"/>
          <w:sz w:val="24"/>
          <w:szCs w:val="24"/>
          <w:highlight w:val="none"/>
        </w:rPr>
        <w:t>、CO和O</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，六项污染物全部达标即为城市环境空气质量达标”。本项目位于新疆维吾尔自治区昌吉回族自治州阜康市，本项目引用国控点阜康市环境监测站2023年NO</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color w:val="auto"/>
          <w:sz w:val="24"/>
          <w:szCs w:val="24"/>
          <w:highlight w:val="none"/>
        </w:rPr>
        <w:t>、SO</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color w:val="auto"/>
          <w:sz w:val="24"/>
          <w:szCs w:val="24"/>
          <w:highlight w:val="none"/>
        </w:rPr>
        <w:t>、PM</w:t>
      </w:r>
      <w:r>
        <w:rPr>
          <w:rFonts w:hint="default" w:ascii="Times New Roman" w:hAnsi="Times New Roman" w:cs="Times New Roman"/>
          <w:color w:val="auto"/>
          <w:sz w:val="24"/>
          <w:szCs w:val="24"/>
          <w:highlight w:val="none"/>
          <w:vertAlign w:val="subscript"/>
        </w:rPr>
        <w:t>10</w:t>
      </w:r>
      <w:r>
        <w:rPr>
          <w:rFonts w:hint="default" w:ascii="Times New Roman" w:hAnsi="Times New Roman" w:cs="Times New Roman"/>
          <w:color w:val="auto"/>
          <w:sz w:val="24"/>
          <w:szCs w:val="24"/>
          <w:highlight w:val="none"/>
        </w:rPr>
        <w:t>、PM</w:t>
      </w:r>
      <w:r>
        <w:rPr>
          <w:rFonts w:hint="default" w:ascii="Times New Roman" w:hAnsi="Times New Roman" w:cs="Times New Roman"/>
          <w:color w:val="auto"/>
          <w:sz w:val="24"/>
          <w:szCs w:val="24"/>
          <w:highlight w:val="none"/>
          <w:vertAlign w:val="subscript"/>
        </w:rPr>
        <w:t>2.5</w:t>
      </w:r>
      <w:r>
        <w:rPr>
          <w:rFonts w:hint="default" w:ascii="Times New Roman" w:hAnsi="Times New Roman" w:cs="Times New Roman"/>
          <w:color w:val="auto"/>
          <w:sz w:val="24"/>
          <w:szCs w:val="24"/>
          <w:highlight w:val="none"/>
        </w:rPr>
        <w:t>、CO、O</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六项基本污染物的全年监测数据，作为本项目环境空气现状评价基本污染物SO</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color w:val="auto"/>
          <w:sz w:val="24"/>
          <w:szCs w:val="24"/>
          <w:highlight w:val="none"/>
        </w:rPr>
        <w:t>、NO</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color w:val="auto"/>
          <w:sz w:val="24"/>
          <w:szCs w:val="24"/>
          <w:highlight w:val="none"/>
        </w:rPr>
        <w:t>、PM</w:t>
      </w:r>
      <w:r>
        <w:rPr>
          <w:rFonts w:hint="default" w:ascii="Times New Roman" w:hAnsi="Times New Roman" w:cs="Times New Roman"/>
          <w:color w:val="auto"/>
          <w:sz w:val="24"/>
          <w:szCs w:val="24"/>
          <w:highlight w:val="none"/>
          <w:vertAlign w:val="subscript"/>
        </w:rPr>
        <w:t>10</w:t>
      </w:r>
      <w:r>
        <w:rPr>
          <w:rFonts w:hint="default" w:ascii="Times New Roman" w:hAnsi="Times New Roman" w:cs="Times New Roman"/>
          <w:color w:val="auto"/>
          <w:sz w:val="24"/>
          <w:szCs w:val="24"/>
          <w:highlight w:val="none"/>
        </w:rPr>
        <w:t>、PM</w:t>
      </w:r>
      <w:r>
        <w:rPr>
          <w:rFonts w:hint="default" w:ascii="Times New Roman" w:hAnsi="Times New Roman" w:cs="Times New Roman"/>
          <w:color w:val="auto"/>
          <w:sz w:val="24"/>
          <w:szCs w:val="24"/>
          <w:highlight w:val="none"/>
          <w:vertAlign w:val="subscript"/>
        </w:rPr>
        <w:t>2.5</w:t>
      </w:r>
      <w:r>
        <w:rPr>
          <w:rFonts w:hint="default" w:ascii="Times New Roman" w:hAnsi="Times New Roman" w:cs="Times New Roman"/>
          <w:color w:val="auto"/>
          <w:sz w:val="24"/>
          <w:szCs w:val="24"/>
          <w:highlight w:val="none"/>
        </w:rPr>
        <w:t>、CO和O</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的数据来源。2023年阜康市空气质量达标区判定情况见下表。</w:t>
      </w:r>
    </w:p>
    <w:p w14:paraId="4906D683">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（1）评价标准</w:t>
      </w:r>
    </w:p>
    <w:p w14:paraId="17661F29">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基本污染物SO</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color w:val="auto"/>
          <w:sz w:val="24"/>
          <w:szCs w:val="24"/>
          <w:highlight w:val="none"/>
        </w:rPr>
        <w:t>、NO</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color w:val="auto"/>
          <w:sz w:val="24"/>
          <w:szCs w:val="24"/>
          <w:highlight w:val="none"/>
        </w:rPr>
        <w:t>、PM</w:t>
      </w:r>
      <w:r>
        <w:rPr>
          <w:rFonts w:hint="default" w:ascii="Times New Roman" w:hAnsi="Times New Roman" w:cs="Times New Roman"/>
          <w:color w:val="auto"/>
          <w:sz w:val="24"/>
          <w:szCs w:val="24"/>
          <w:highlight w:val="none"/>
          <w:vertAlign w:val="subscript"/>
        </w:rPr>
        <w:t>10</w:t>
      </w:r>
      <w:r>
        <w:rPr>
          <w:rFonts w:hint="default" w:ascii="Times New Roman" w:hAnsi="Times New Roman" w:cs="Times New Roman"/>
          <w:color w:val="auto"/>
          <w:sz w:val="24"/>
          <w:szCs w:val="24"/>
          <w:highlight w:val="none"/>
        </w:rPr>
        <w:t>、PM</w:t>
      </w:r>
      <w:r>
        <w:rPr>
          <w:rFonts w:hint="default" w:ascii="Times New Roman" w:hAnsi="Times New Roman" w:cs="Times New Roman"/>
          <w:color w:val="auto"/>
          <w:sz w:val="24"/>
          <w:szCs w:val="24"/>
          <w:highlight w:val="none"/>
          <w:vertAlign w:val="subscript"/>
        </w:rPr>
        <w:t>2.5</w:t>
      </w:r>
      <w:r>
        <w:rPr>
          <w:rFonts w:hint="default" w:ascii="Times New Roman" w:hAnsi="Times New Roman" w:cs="Times New Roman"/>
          <w:color w:val="auto"/>
          <w:sz w:val="24"/>
          <w:szCs w:val="24"/>
          <w:highlight w:val="none"/>
        </w:rPr>
        <w:t>、CO和O</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执行《环境空气质量标准》（GB3095-2012）中的二级标准。</w:t>
      </w:r>
    </w:p>
    <w:p w14:paraId="4A7A6A8C">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（2）评价方法</w:t>
      </w:r>
    </w:p>
    <w:p w14:paraId="5269EA74">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本污染物按照《环境空气质量评价技术规范（试行）》（HJ663-2013）中各评价项目的年评价指标进行判定。年评价指标中的年均浓度和相应百分位数24h平均或8h平均质量浓度满足GB3095中浓度限值要求的即为达标。</w:t>
      </w:r>
    </w:p>
    <w:p w14:paraId="19276FE8">
      <w:pPr>
        <w:numPr>
          <w:ilvl w:val="0"/>
          <w:numId w:val="30"/>
        </w:numPr>
        <w:spacing w:beforeLines="0" w:afterLines="0"/>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 xml:space="preserve">空气质量达标区判定 </w:t>
      </w:r>
    </w:p>
    <w:p w14:paraId="3760FB3D">
      <w:pPr>
        <w:numPr>
          <w:ilvl w:val="0"/>
          <w:numId w:val="0"/>
        </w:numPr>
        <w:spacing w:beforeLines="0" w:afterLines="0"/>
        <w:ind w:firstLine="720" w:firstLineChars="3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本项目区域环境空气质量达标区判定结果见表4.3-1。</w:t>
      </w:r>
    </w:p>
    <w:p w14:paraId="4AB9038F">
      <w:pPr>
        <w:pStyle w:val="45"/>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表4.3-1</w:t>
      </w:r>
      <w:r>
        <w:rPr>
          <w:rFonts w:hint="default" w:ascii="Times New Roman" w:hAnsi="Times New Roman" w:cs="Times New Roman"/>
          <w:color w:val="auto"/>
          <w:sz w:val="24"/>
          <w:szCs w:val="24"/>
          <w:highlight w:val="none"/>
        </w:rPr>
        <w:tab/>
      </w:r>
      <w:r>
        <w:rPr>
          <w:rFonts w:hint="default" w:ascii="Times New Roman" w:hAnsi="Times New Roman" w:cs="Times New Roman"/>
          <w:color w:val="auto"/>
          <w:sz w:val="24"/>
          <w:szCs w:val="24"/>
          <w:highlight w:val="none"/>
        </w:rPr>
        <w:t>区域环境空气质量现状监测及评价结果</w:t>
      </w:r>
    </w:p>
    <w:tbl>
      <w:tblPr>
        <w:tblStyle w:val="31"/>
        <w:tblW w:w="499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79"/>
        <w:gridCol w:w="2653"/>
        <w:gridCol w:w="1567"/>
        <w:gridCol w:w="1355"/>
        <w:gridCol w:w="1354"/>
        <w:gridCol w:w="1172"/>
      </w:tblGrid>
      <w:tr w14:paraId="7BE150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63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5A62545">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监测因子</w:t>
            </w:r>
          </w:p>
        </w:tc>
        <w:tc>
          <w:tcPr>
            <w:tcW w:w="142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7151D5">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年评价指标</w:t>
            </w:r>
          </w:p>
        </w:tc>
        <w:tc>
          <w:tcPr>
            <w:tcW w:w="84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78401D">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现状浓度</w:t>
            </w:r>
          </w:p>
          <w:p w14:paraId="20BF77E8">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（μg/m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w:t>
            </w:r>
          </w:p>
        </w:tc>
        <w:tc>
          <w:tcPr>
            <w:tcW w:w="73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FC79D0A">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标准值</w:t>
            </w:r>
          </w:p>
          <w:p w14:paraId="692568C4">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（μg/m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w:t>
            </w:r>
          </w:p>
        </w:tc>
        <w:tc>
          <w:tcPr>
            <w:tcW w:w="72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8F7673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占标率</w:t>
            </w:r>
          </w:p>
          <w:p w14:paraId="0F3137F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p>
        </w:tc>
        <w:tc>
          <w:tcPr>
            <w:tcW w:w="63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986A3C1">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达标</w:t>
            </w:r>
          </w:p>
          <w:p w14:paraId="1F5F9798">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情况</w:t>
            </w:r>
          </w:p>
        </w:tc>
      </w:tr>
      <w:tr w14:paraId="2909FD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63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87D674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SO</w:t>
            </w:r>
            <w:r>
              <w:rPr>
                <w:rFonts w:hint="default" w:ascii="Times New Roman" w:hAnsi="Times New Roman" w:cs="Times New Roman"/>
                <w:color w:val="auto"/>
                <w:sz w:val="24"/>
                <w:szCs w:val="24"/>
                <w:highlight w:val="none"/>
                <w:vertAlign w:val="subscript"/>
              </w:rPr>
              <w:t>2</w:t>
            </w:r>
          </w:p>
        </w:tc>
        <w:tc>
          <w:tcPr>
            <w:tcW w:w="142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A620091">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年平均值</w:t>
            </w:r>
          </w:p>
        </w:tc>
        <w:tc>
          <w:tcPr>
            <w:tcW w:w="84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051053F">
            <w:pPr>
              <w:pStyle w:val="48"/>
              <w:spacing w:beforeLines="0" w:afterLines="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val="en-US" w:eastAsia="zh-CN"/>
              </w:rPr>
              <w:t>9</w:t>
            </w:r>
          </w:p>
        </w:tc>
        <w:tc>
          <w:tcPr>
            <w:tcW w:w="73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CE8D043">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60</w:t>
            </w:r>
          </w:p>
        </w:tc>
        <w:tc>
          <w:tcPr>
            <w:tcW w:w="72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34582B3">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15.0</w:t>
            </w:r>
          </w:p>
        </w:tc>
        <w:tc>
          <w:tcPr>
            <w:tcW w:w="63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C6AA41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达标</w:t>
            </w:r>
          </w:p>
        </w:tc>
      </w:tr>
      <w:tr w14:paraId="382BC4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63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ABA73D">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NO</w:t>
            </w:r>
            <w:r>
              <w:rPr>
                <w:rFonts w:hint="default" w:ascii="Times New Roman" w:hAnsi="Times New Roman" w:cs="Times New Roman"/>
                <w:color w:val="auto"/>
                <w:sz w:val="24"/>
                <w:szCs w:val="24"/>
                <w:highlight w:val="none"/>
                <w:vertAlign w:val="subscript"/>
              </w:rPr>
              <w:t>2</w:t>
            </w:r>
          </w:p>
        </w:tc>
        <w:tc>
          <w:tcPr>
            <w:tcW w:w="142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496C907">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年平均值</w:t>
            </w:r>
          </w:p>
        </w:tc>
        <w:tc>
          <w:tcPr>
            <w:tcW w:w="84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0426EE">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28</w:t>
            </w:r>
          </w:p>
        </w:tc>
        <w:tc>
          <w:tcPr>
            <w:tcW w:w="73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063A711">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40</w:t>
            </w:r>
          </w:p>
        </w:tc>
        <w:tc>
          <w:tcPr>
            <w:tcW w:w="72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B2626E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70.0</w:t>
            </w:r>
          </w:p>
        </w:tc>
        <w:tc>
          <w:tcPr>
            <w:tcW w:w="63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AB91FF8">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达标</w:t>
            </w:r>
          </w:p>
        </w:tc>
      </w:tr>
      <w:tr w14:paraId="5606A1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63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A7CF52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PM</w:t>
            </w:r>
            <w:r>
              <w:rPr>
                <w:rFonts w:hint="default" w:ascii="Times New Roman" w:hAnsi="Times New Roman" w:cs="Times New Roman"/>
                <w:color w:val="auto"/>
                <w:sz w:val="24"/>
                <w:szCs w:val="24"/>
                <w:highlight w:val="none"/>
                <w:vertAlign w:val="subscript"/>
              </w:rPr>
              <w:t>10</w:t>
            </w:r>
          </w:p>
        </w:tc>
        <w:tc>
          <w:tcPr>
            <w:tcW w:w="142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586CE5">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年平均值</w:t>
            </w:r>
          </w:p>
        </w:tc>
        <w:tc>
          <w:tcPr>
            <w:tcW w:w="84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E39DE15">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70</w:t>
            </w:r>
          </w:p>
        </w:tc>
        <w:tc>
          <w:tcPr>
            <w:tcW w:w="73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C81FB31">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70</w:t>
            </w:r>
          </w:p>
        </w:tc>
        <w:tc>
          <w:tcPr>
            <w:tcW w:w="72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DDB30E6">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100.0</w:t>
            </w:r>
          </w:p>
        </w:tc>
        <w:tc>
          <w:tcPr>
            <w:tcW w:w="63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C3029E8">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超标</w:t>
            </w:r>
          </w:p>
        </w:tc>
      </w:tr>
      <w:tr w14:paraId="0B3DB0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63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A8A4D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PM</w:t>
            </w:r>
            <w:r>
              <w:rPr>
                <w:rFonts w:hint="default" w:ascii="Times New Roman" w:hAnsi="Times New Roman" w:cs="Times New Roman"/>
                <w:color w:val="auto"/>
                <w:sz w:val="24"/>
                <w:szCs w:val="24"/>
                <w:highlight w:val="none"/>
                <w:vertAlign w:val="subscript"/>
              </w:rPr>
              <w:t>2.5</w:t>
            </w:r>
          </w:p>
        </w:tc>
        <w:tc>
          <w:tcPr>
            <w:tcW w:w="142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8C781D">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年平均值</w:t>
            </w:r>
          </w:p>
        </w:tc>
        <w:tc>
          <w:tcPr>
            <w:tcW w:w="84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41AC66C">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44</w:t>
            </w:r>
          </w:p>
        </w:tc>
        <w:tc>
          <w:tcPr>
            <w:tcW w:w="73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EE4FB1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35</w:t>
            </w:r>
          </w:p>
        </w:tc>
        <w:tc>
          <w:tcPr>
            <w:tcW w:w="72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8E5A40D">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125.7</w:t>
            </w:r>
          </w:p>
        </w:tc>
        <w:tc>
          <w:tcPr>
            <w:tcW w:w="63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8094E0E">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超标</w:t>
            </w:r>
          </w:p>
        </w:tc>
      </w:tr>
      <w:tr w14:paraId="6769BF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63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C22BD6">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CO</w:t>
            </w:r>
          </w:p>
        </w:tc>
        <w:tc>
          <w:tcPr>
            <w:tcW w:w="142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76116B7">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24小时平均第95百分位数</w:t>
            </w:r>
          </w:p>
        </w:tc>
        <w:tc>
          <w:tcPr>
            <w:tcW w:w="84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A8D6944">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700</w:t>
            </w:r>
          </w:p>
        </w:tc>
        <w:tc>
          <w:tcPr>
            <w:tcW w:w="73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C1E4FEC">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rPr>
              <w:t>4</w:t>
            </w:r>
            <w:r>
              <w:rPr>
                <w:rFonts w:hint="default" w:ascii="Times New Roman" w:hAnsi="Times New Roman" w:cs="Times New Roman"/>
                <w:color w:val="auto"/>
                <w:sz w:val="24"/>
                <w:szCs w:val="24"/>
                <w:highlight w:val="none"/>
                <w:lang w:val="en-US" w:eastAsia="zh-CN"/>
              </w:rPr>
              <w:t>000</w:t>
            </w:r>
          </w:p>
        </w:tc>
        <w:tc>
          <w:tcPr>
            <w:tcW w:w="72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9C7F9A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17.5</w:t>
            </w:r>
          </w:p>
        </w:tc>
        <w:tc>
          <w:tcPr>
            <w:tcW w:w="63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F01435">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达标</w:t>
            </w:r>
          </w:p>
        </w:tc>
      </w:tr>
      <w:tr w14:paraId="41CFD5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63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ED9F15">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O</w:t>
            </w:r>
            <w:r>
              <w:rPr>
                <w:rFonts w:hint="default" w:ascii="Times New Roman" w:hAnsi="Times New Roman" w:cs="Times New Roman"/>
                <w:color w:val="auto"/>
                <w:sz w:val="24"/>
                <w:szCs w:val="24"/>
                <w:highlight w:val="none"/>
                <w:vertAlign w:val="subscript"/>
              </w:rPr>
              <w:t>3</w:t>
            </w:r>
          </w:p>
        </w:tc>
        <w:tc>
          <w:tcPr>
            <w:tcW w:w="142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6F7A37">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日最大8小时平均第90百分位数</w:t>
            </w:r>
          </w:p>
        </w:tc>
        <w:tc>
          <w:tcPr>
            <w:tcW w:w="84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0C78596">
            <w:pPr>
              <w:pStyle w:val="48"/>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92</w:t>
            </w:r>
          </w:p>
        </w:tc>
        <w:tc>
          <w:tcPr>
            <w:tcW w:w="73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B473A1B">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160</w:t>
            </w:r>
          </w:p>
        </w:tc>
        <w:tc>
          <w:tcPr>
            <w:tcW w:w="72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CDC3D1C">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57.5</w:t>
            </w:r>
          </w:p>
        </w:tc>
        <w:tc>
          <w:tcPr>
            <w:tcW w:w="63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B1A65C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达标</w:t>
            </w:r>
          </w:p>
        </w:tc>
      </w:tr>
    </w:tbl>
    <w:p w14:paraId="3E843AFD">
      <w:pPr>
        <w:pStyle w:val="14"/>
        <w:kinsoku w:val="0"/>
        <w:overflowPunct w:val="0"/>
        <w:spacing w:before="2" w:beforeLines="0" w:afterLines="0"/>
        <w:ind w:left="0"/>
        <w:rPr>
          <w:rFonts w:hint="default" w:ascii="Times New Roman" w:hAnsi="Times New Roman" w:eastAsia="Calibri" w:cs="Times New Roman"/>
          <w:color w:val="auto"/>
          <w:sz w:val="9"/>
          <w:szCs w:val="24"/>
          <w:highlight w:val="none"/>
        </w:rPr>
      </w:pPr>
    </w:p>
    <w:p w14:paraId="478F0A13">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由上表分析结果可见，本项目所在区域SO</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color w:val="auto"/>
          <w:sz w:val="24"/>
          <w:szCs w:val="24"/>
          <w:highlight w:val="none"/>
        </w:rPr>
        <w:t>、NO</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color w:val="auto"/>
          <w:sz w:val="24"/>
          <w:szCs w:val="24"/>
          <w:highlight w:val="none"/>
        </w:rPr>
        <w:t>年平均、CO第95百分位数24h平均、O</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第90百分位数日最大8小时平均浓度均满足《环境空气质量标准》（GB3095-2012）的二级标准要求；PM</w:t>
      </w:r>
      <w:r>
        <w:rPr>
          <w:rFonts w:hint="default" w:ascii="Times New Roman" w:hAnsi="Times New Roman" w:cs="Times New Roman"/>
          <w:color w:val="auto"/>
          <w:sz w:val="24"/>
          <w:szCs w:val="24"/>
          <w:highlight w:val="none"/>
          <w:vertAlign w:val="subscript"/>
        </w:rPr>
        <w:t>10</w:t>
      </w:r>
      <w:r>
        <w:rPr>
          <w:rFonts w:hint="default" w:ascii="Times New Roman" w:hAnsi="Times New Roman" w:cs="Times New Roman"/>
          <w:color w:val="auto"/>
          <w:sz w:val="24"/>
          <w:szCs w:val="24"/>
          <w:highlight w:val="none"/>
        </w:rPr>
        <w:t>、PM</w:t>
      </w:r>
      <w:r>
        <w:rPr>
          <w:rFonts w:hint="default" w:ascii="Times New Roman" w:hAnsi="Times New Roman" w:cs="Times New Roman"/>
          <w:color w:val="auto"/>
          <w:sz w:val="24"/>
          <w:szCs w:val="24"/>
          <w:highlight w:val="none"/>
          <w:vertAlign w:val="subscript"/>
        </w:rPr>
        <w:t>2.5</w:t>
      </w:r>
      <w:r>
        <w:rPr>
          <w:rFonts w:hint="default" w:ascii="Times New Roman" w:hAnsi="Times New Roman" w:cs="Times New Roman"/>
          <w:color w:val="auto"/>
          <w:sz w:val="24"/>
          <w:szCs w:val="24"/>
          <w:highlight w:val="none"/>
        </w:rPr>
        <w:t>年平均浓度均超过《环境空气质量标准》（GB3095-2012）的二级标准要求，本项目所在区域为不达标区域。</w:t>
      </w:r>
    </w:p>
    <w:p w14:paraId="3EBDB78F">
      <w:pPr>
        <w:pStyle w:val="5"/>
        <w:bidi w:val="0"/>
        <w:rPr>
          <w:rFonts w:hint="default"/>
        </w:rPr>
      </w:pPr>
      <w:bookmarkStart w:id="226" w:name="4.3.1.2大气环境质量现状补充监测"/>
      <w:bookmarkEnd w:id="226"/>
      <w:r>
        <w:rPr>
          <w:rFonts w:hint="default"/>
        </w:rPr>
        <w:t>大气环境质量现状补充监测</w:t>
      </w:r>
    </w:p>
    <w:p w14:paraId="1D6E3A9F">
      <w:pPr>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rPr>
        <w:t>本次大气环境质量现状补充监测委托</w:t>
      </w:r>
      <w:r>
        <w:rPr>
          <w:rFonts w:hint="default" w:ascii="Times New Roman" w:hAnsi="Times New Roman" w:cs="Times New Roman"/>
          <w:color w:val="auto"/>
          <w:sz w:val="24"/>
          <w:szCs w:val="24"/>
          <w:highlight w:val="none"/>
          <w:lang w:eastAsia="zh-CN"/>
        </w:rPr>
        <w:t>新疆锡水金山环境科技有限公司</w:t>
      </w:r>
      <w:r>
        <w:rPr>
          <w:rFonts w:hint="default" w:ascii="Times New Roman" w:hAnsi="Times New Roman" w:cs="Times New Roman"/>
          <w:color w:val="auto"/>
          <w:sz w:val="24"/>
          <w:szCs w:val="24"/>
          <w:highlight w:val="none"/>
        </w:rPr>
        <w:t>于202</w:t>
      </w:r>
      <w:r>
        <w:rPr>
          <w:rFonts w:hint="default"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年</w:t>
      </w:r>
      <w:r>
        <w:rPr>
          <w:rFonts w:hint="default"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rPr>
        <w:t xml:space="preserve">月 </w:t>
      </w:r>
      <w:r>
        <w:rPr>
          <w:rFonts w:hint="default" w:ascii="Times New Roman" w:hAnsi="Times New Roman" w:cs="Times New Roman"/>
          <w:color w:val="auto"/>
          <w:sz w:val="24"/>
          <w:szCs w:val="24"/>
          <w:highlight w:val="none"/>
          <w:lang w:val="en-US" w:eastAsia="zh-CN"/>
        </w:rPr>
        <w:t>27</w:t>
      </w:r>
      <w:r>
        <w:rPr>
          <w:rFonts w:hint="default" w:ascii="Times New Roman" w:hAnsi="Times New Roman" w:cs="Times New Roman"/>
          <w:color w:val="auto"/>
          <w:sz w:val="24"/>
          <w:szCs w:val="24"/>
          <w:highlight w:val="none"/>
        </w:rPr>
        <w:t>日</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202</w:t>
      </w:r>
      <w:r>
        <w:rPr>
          <w:rFonts w:hint="default"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年</w:t>
      </w:r>
      <w:r>
        <w:rPr>
          <w:rFonts w:hint="default"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rPr>
        <w:t>月</w:t>
      </w:r>
      <w:r>
        <w:rPr>
          <w:rFonts w:hint="default"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日对</w:t>
      </w:r>
      <w:r>
        <w:rPr>
          <w:rFonts w:hint="eastAsia" w:cs="Times New Roman"/>
          <w:color w:val="auto"/>
          <w:sz w:val="24"/>
          <w:szCs w:val="24"/>
          <w:highlight w:val="none"/>
          <w:lang w:eastAsia="zh-CN"/>
        </w:rPr>
        <w:t>新疆采虹矿业投资有限公司新疆阜康市北部沙漠天然石英砂矿（压裂用）项目</w:t>
      </w:r>
      <w:r>
        <w:rPr>
          <w:rFonts w:hint="default" w:ascii="Times New Roman" w:hAnsi="Times New Roman" w:cs="Times New Roman"/>
          <w:color w:val="auto"/>
          <w:sz w:val="24"/>
          <w:szCs w:val="24"/>
          <w:highlight w:val="none"/>
        </w:rPr>
        <w:t>大气环境质量现状进行补充监测，详见附件。现状监测数据满足时效性要求。</w:t>
      </w:r>
      <w:r>
        <w:rPr>
          <w:rFonts w:hint="default" w:ascii="Times New Roman" w:hAnsi="Times New Roman" w:cs="Times New Roman"/>
          <w:color w:val="auto"/>
          <w:sz w:val="24"/>
          <w:szCs w:val="24"/>
          <w:highlight w:val="none"/>
          <w:lang w:val="en-US" w:eastAsia="zh-CN"/>
        </w:rPr>
        <w:t>监测布点图见附图4.3-1。</w:t>
      </w:r>
    </w:p>
    <w:p w14:paraId="68BB30A2">
      <w:pPr>
        <w:numPr>
          <w:ilvl w:val="0"/>
          <w:numId w:val="32"/>
        </w:numPr>
        <w:spacing w:beforeLines="0" w:afterLines="0"/>
        <w:ind w:firstLine="5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监测因子</w:t>
      </w:r>
    </w:p>
    <w:p w14:paraId="7F5388BD">
      <w:pPr>
        <w:numPr>
          <w:ilvl w:val="0"/>
          <w:numId w:val="0"/>
        </w:numPr>
        <w:spacing w:beforeLines="0" w:afterLines="0"/>
        <w:ind w:firstLine="48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rPr>
        <w:t>特征污染因子：TSP</w:t>
      </w:r>
    </w:p>
    <w:p w14:paraId="0B45E550">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（2）监测点布设</w:t>
      </w:r>
    </w:p>
    <w:p w14:paraId="409C0F74">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根据《环境影响评价技术导则 大气环境》（HJ2.2-2018）要求，结合本区域</w:t>
      </w:r>
      <w:r>
        <w:rPr>
          <w:rFonts w:hint="default" w:ascii="Times New Roman" w:hAnsi="Times New Roman" w:cs="Times New Roman"/>
          <w:color w:val="auto"/>
          <w:sz w:val="24"/>
          <w:szCs w:val="24"/>
          <w:highlight w:val="none"/>
          <w:lang w:val="en-US" w:eastAsia="zh-CN"/>
        </w:rPr>
        <w:t>20年统计的</w:t>
      </w:r>
      <w:r>
        <w:rPr>
          <w:rFonts w:hint="default" w:ascii="Times New Roman" w:hAnsi="Times New Roman" w:cs="Times New Roman"/>
          <w:color w:val="auto"/>
          <w:sz w:val="24"/>
          <w:szCs w:val="24"/>
          <w:highlight w:val="none"/>
        </w:rPr>
        <w:t>主导风向，考虑区域功能及敏感点分布情况，兼顾均布性的布点原则，在项目区下风向设1个大气环境质量监测点。</w:t>
      </w:r>
    </w:p>
    <w:p w14:paraId="79303C58">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（3）监测时间和频率</w:t>
      </w:r>
    </w:p>
    <w:p w14:paraId="4F0B2F69">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连续监测7天，24小时均值。</w:t>
      </w:r>
    </w:p>
    <w:p w14:paraId="67CAD454">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（4）监测结果及评价</w:t>
      </w:r>
    </w:p>
    <w:p w14:paraId="0D5EF0B6">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①评价标准</w:t>
      </w:r>
    </w:p>
    <w:p w14:paraId="6F8944EA">
      <w:pPr>
        <w:spacing w:beforeLines="0" w:afterLines="0"/>
        <w:rPr>
          <w:rFonts w:hint="eastAsia"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TSP</w:t>
      </w:r>
      <w:r>
        <w:rPr>
          <w:rFonts w:hint="default" w:ascii="Times New Roman" w:hAnsi="Times New Roman" w:cs="Times New Roman"/>
          <w:color w:val="auto"/>
          <w:sz w:val="24"/>
          <w:szCs w:val="24"/>
          <w:highlight w:val="none"/>
        </w:rPr>
        <w:t>执行《环境空气质量标准》(GB3095</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2012)及其修改单中的二级标准，</w:t>
      </w:r>
      <w:r>
        <w:rPr>
          <w:rFonts w:hint="default" w:ascii="Times New Roman" w:hAnsi="Times New Roman" w:cs="Times New Roman"/>
          <w:color w:val="auto"/>
          <w:sz w:val="24"/>
          <w:szCs w:val="24"/>
          <w:highlight w:val="none"/>
          <w:lang w:val="en-US" w:eastAsia="zh-CN"/>
        </w:rPr>
        <w:t>标准值为300ug/m</w:t>
      </w:r>
      <w:r>
        <w:rPr>
          <w:rFonts w:hint="default" w:ascii="Times New Roman" w:hAnsi="Times New Roman" w:cs="Times New Roman"/>
          <w:color w:val="auto"/>
          <w:sz w:val="24"/>
          <w:szCs w:val="24"/>
          <w:highlight w:val="none"/>
          <w:vertAlign w:val="superscript"/>
          <w:lang w:val="en-US" w:eastAsia="zh-CN"/>
        </w:rPr>
        <w:t>3</w:t>
      </w:r>
      <w:r>
        <w:rPr>
          <w:rFonts w:hint="eastAsia" w:cs="Times New Roman"/>
          <w:color w:val="auto"/>
          <w:sz w:val="24"/>
          <w:szCs w:val="24"/>
          <w:highlight w:val="none"/>
          <w:lang w:val="en-US" w:eastAsia="zh-CN"/>
        </w:rPr>
        <w:t>。</w:t>
      </w:r>
    </w:p>
    <w:p w14:paraId="551C5B76">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②评价方法</w:t>
      </w:r>
    </w:p>
    <w:p w14:paraId="758F9DDE">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空气环境质量现状评价采用占标率法，计算公式为：</w:t>
      </w:r>
    </w:p>
    <w:p w14:paraId="1F4B687A">
      <w:pPr>
        <w:spacing w:beforeLines="0" w:afterLine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Pi =Ci/Coi×100%</w:t>
      </w:r>
    </w:p>
    <w:p w14:paraId="1B865D9F">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式中：Pi—i污染物最大浓度占标率；</w:t>
      </w:r>
    </w:p>
    <w:p w14:paraId="522D2F2C">
      <w:pPr>
        <w:spacing w:beforeLines="0" w:afterLines="0"/>
        <w:ind w:firstLine="1200" w:firstLineChars="5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Ci—i污染物实测浓度，mg/m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w:t>
      </w:r>
    </w:p>
    <w:p w14:paraId="663B719E">
      <w:pPr>
        <w:spacing w:beforeLines="0" w:afterLines="0"/>
        <w:ind w:firstLine="1200" w:firstLineChars="5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Coi—i污染物的环境空气质量浓度标准，mg/m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w:t>
      </w:r>
    </w:p>
    <w:p w14:paraId="52BFE942">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③评价结果</w:t>
      </w:r>
    </w:p>
    <w:p w14:paraId="20376C04">
      <w:pPr>
        <w:pStyle w:val="45"/>
        <w:spacing w:beforeLines="0" w:afterLines="0"/>
        <w:rPr>
          <w:rFonts w:hint="default" w:ascii="Times New Roman" w:hAnsi="Times New Roman" w:cs="Times New Roman"/>
          <w:color w:val="auto"/>
          <w:sz w:val="24"/>
          <w:szCs w:val="24"/>
          <w:highlight w:val="none"/>
        </w:rPr>
      </w:pPr>
    </w:p>
    <w:p w14:paraId="0B3B3C28">
      <w:pPr>
        <w:pStyle w:val="45"/>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表 4.3-2</w:t>
      </w:r>
      <w:r>
        <w:rPr>
          <w:rFonts w:hint="default" w:ascii="Times New Roman" w:hAnsi="Times New Roman" w:cs="Times New Roman"/>
          <w:color w:val="auto"/>
          <w:sz w:val="24"/>
          <w:szCs w:val="24"/>
          <w:highlight w:val="none"/>
        </w:rPr>
        <w:tab/>
      </w:r>
      <w:r>
        <w:rPr>
          <w:rFonts w:hint="default" w:ascii="Times New Roman" w:hAnsi="Times New Roman" w:cs="Times New Roman"/>
          <w:color w:val="auto"/>
          <w:sz w:val="24"/>
          <w:szCs w:val="24"/>
          <w:highlight w:val="none"/>
          <w:lang w:val="en-US" w:eastAsia="zh-CN"/>
        </w:rPr>
        <w:t>TSP</w:t>
      </w:r>
      <w:r>
        <w:rPr>
          <w:rFonts w:hint="default" w:ascii="Times New Roman" w:hAnsi="Times New Roman" w:cs="Times New Roman"/>
          <w:color w:val="auto"/>
          <w:sz w:val="24"/>
          <w:szCs w:val="24"/>
          <w:highlight w:val="none"/>
        </w:rPr>
        <w:t>大气环境质量监测结果</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4"/>
        <w:gridCol w:w="723"/>
        <w:gridCol w:w="2862"/>
        <w:gridCol w:w="1180"/>
        <w:gridCol w:w="1305"/>
        <w:gridCol w:w="1100"/>
        <w:gridCol w:w="858"/>
      </w:tblGrid>
      <w:tr w14:paraId="44704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414" w:type="pct"/>
            <w:tcBorders>
              <w:tl2br w:val="nil"/>
              <w:tr2bl w:val="nil"/>
            </w:tcBorders>
            <w:noWrap w:val="0"/>
            <w:vAlign w:val="center"/>
          </w:tcPr>
          <w:p w14:paraId="4A65076A">
            <w:pPr>
              <w:pStyle w:val="48"/>
              <w:keepNext w:val="0"/>
              <w:keepLines w:val="0"/>
              <w:pageBreakBefore w:val="0"/>
              <w:wordWrap/>
              <w:topLinePunct w:val="0"/>
              <w:autoSpaceDE w:val="0"/>
              <w:autoSpaceDN w:val="0"/>
              <w:bidi w:val="0"/>
              <w:adjustRightInd w:val="0"/>
              <w:snapToGrid/>
              <w:spacing w:beforeLines="0" w:afterLines="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监测点位</w:t>
            </w:r>
          </w:p>
        </w:tc>
        <w:tc>
          <w:tcPr>
            <w:tcW w:w="433" w:type="pct"/>
            <w:tcBorders>
              <w:tl2br w:val="nil"/>
              <w:tr2bl w:val="nil"/>
            </w:tcBorders>
            <w:noWrap w:val="0"/>
            <w:vAlign w:val="center"/>
          </w:tcPr>
          <w:p w14:paraId="0700107D">
            <w:pPr>
              <w:pStyle w:val="48"/>
              <w:keepNext w:val="0"/>
              <w:keepLines w:val="0"/>
              <w:pageBreakBefore w:val="0"/>
              <w:wordWrap/>
              <w:topLinePunct w:val="0"/>
              <w:autoSpaceDE w:val="0"/>
              <w:autoSpaceDN w:val="0"/>
              <w:bidi w:val="0"/>
              <w:adjustRightInd w:val="0"/>
              <w:snapToGrid/>
              <w:spacing w:beforeLines="0" w:afterLines="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监测因子</w:t>
            </w:r>
          </w:p>
        </w:tc>
        <w:tc>
          <w:tcPr>
            <w:tcW w:w="1584" w:type="pct"/>
            <w:tcBorders>
              <w:tl2br w:val="nil"/>
              <w:tr2bl w:val="nil"/>
            </w:tcBorders>
            <w:noWrap w:val="0"/>
            <w:vAlign w:val="center"/>
          </w:tcPr>
          <w:p w14:paraId="7527ACA4">
            <w:pPr>
              <w:pStyle w:val="48"/>
              <w:keepNext w:val="0"/>
              <w:keepLines w:val="0"/>
              <w:pageBreakBefore w:val="0"/>
              <w:wordWrap/>
              <w:topLinePunct w:val="0"/>
              <w:autoSpaceDE w:val="0"/>
              <w:autoSpaceDN w:val="0"/>
              <w:bidi w:val="0"/>
              <w:adjustRightInd w:val="0"/>
              <w:snapToGrid/>
              <w:spacing w:beforeLines="0" w:afterLines="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采样日期</w:t>
            </w:r>
          </w:p>
        </w:tc>
        <w:tc>
          <w:tcPr>
            <w:tcW w:w="679" w:type="pct"/>
            <w:tcBorders>
              <w:tl2br w:val="nil"/>
              <w:tr2bl w:val="nil"/>
            </w:tcBorders>
            <w:noWrap w:val="0"/>
            <w:vAlign w:val="center"/>
          </w:tcPr>
          <w:p w14:paraId="55FEAB8B">
            <w:pPr>
              <w:pStyle w:val="48"/>
              <w:keepNext w:val="0"/>
              <w:keepLines w:val="0"/>
              <w:pageBreakBefore w:val="0"/>
              <w:wordWrap/>
              <w:topLinePunct w:val="0"/>
              <w:autoSpaceDE w:val="0"/>
              <w:autoSpaceDN w:val="0"/>
              <w:bidi w:val="0"/>
              <w:adjustRightInd w:val="0"/>
              <w:snapToGrid/>
              <w:spacing w:beforeLines="0" w:afterLines="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监测结果</w:t>
            </w:r>
          </w:p>
          <w:p w14:paraId="60DE539F">
            <w:pPr>
              <w:pStyle w:val="48"/>
              <w:keepNext w:val="0"/>
              <w:keepLines w:val="0"/>
              <w:pageBreakBefore w:val="0"/>
              <w:wordWrap/>
              <w:topLinePunct w:val="0"/>
              <w:autoSpaceDE w:val="0"/>
              <w:autoSpaceDN w:val="0"/>
              <w:bidi w:val="0"/>
              <w:adjustRightInd w:val="0"/>
              <w:snapToGrid/>
              <w:spacing w:beforeLines="0" w:afterLines="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（μg/m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w:t>
            </w:r>
          </w:p>
        </w:tc>
        <w:tc>
          <w:tcPr>
            <w:tcW w:w="746" w:type="pct"/>
            <w:tcBorders>
              <w:tl2br w:val="nil"/>
              <w:tr2bl w:val="nil"/>
            </w:tcBorders>
            <w:noWrap w:val="0"/>
            <w:vAlign w:val="center"/>
          </w:tcPr>
          <w:p w14:paraId="687479C7">
            <w:pPr>
              <w:pStyle w:val="48"/>
              <w:keepNext w:val="0"/>
              <w:keepLines w:val="0"/>
              <w:pageBreakBefore w:val="0"/>
              <w:wordWrap/>
              <w:topLinePunct w:val="0"/>
              <w:autoSpaceDE w:val="0"/>
              <w:autoSpaceDN w:val="0"/>
              <w:bidi w:val="0"/>
              <w:adjustRightInd w:val="0"/>
              <w:snapToGrid/>
              <w:spacing w:beforeLines="0" w:afterLines="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标准值</w:t>
            </w:r>
          </w:p>
          <w:p w14:paraId="62E50F7A">
            <w:pPr>
              <w:pStyle w:val="48"/>
              <w:keepNext w:val="0"/>
              <w:keepLines w:val="0"/>
              <w:pageBreakBefore w:val="0"/>
              <w:wordWrap/>
              <w:topLinePunct w:val="0"/>
              <w:autoSpaceDE w:val="0"/>
              <w:autoSpaceDN w:val="0"/>
              <w:bidi w:val="0"/>
              <w:adjustRightInd w:val="0"/>
              <w:snapToGrid/>
              <w:spacing w:beforeLines="0" w:afterLines="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（μg/m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w:t>
            </w:r>
          </w:p>
        </w:tc>
        <w:tc>
          <w:tcPr>
            <w:tcW w:w="635" w:type="pct"/>
            <w:tcBorders>
              <w:tl2br w:val="nil"/>
              <w:tr2bl w:val="nil"/>
            </w:tcBorders>
            <w:noWrap w:val="0"/>
            <w:vAlign w:val="center"/>
          </w:tcPr>
          <w:p w14:paraId="37709A4B">
            <w:pPr>
              <w:pStyle w:val="48"/>
              <w:keepNext w:val="0"/>
              <w:keepLines w:val="0"/>
              <w:pageBreakBefore w:val="0"/>
              <w:wordWrap/>
              <w:topLinePunct w:val="0"/>
              <w:autoSpaceDE w:val="0"/>
              <w:autoSpaceDN w:val="0"/>
              <w:bidi w:val="0"/>
              <w:adjustRightInd w:val="0"/>
              <w:snapToGrid/>
              <w:spacing w:beforeLines="0" w:afterLines="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占标率</w:t>
            </w:r>
          </w:p>
          <w:p w14:paraId="7DC11329">
            <w:pPr>
              <w:pStyle w:val="48"/>
              <w:keepNext w:val="0"/>
              <w:keepLines w:val="0"/>
              <w:pageBreakBefore w:val="0"/>
              <w:wordWrap/>
              <w:topLinePunct w:val="0"/>
              <w:autoSpaceDE w:val="0"/>
              <w:autoSpaceDN w:val="0"/>
              <w:bidi w:val="0"/>
              <w:adjustRightInd w:val="0"/>
              <w:snapToGrid/>
              <w:spacing w:beforeLines="0" w:afterLines="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505" w:type="pct"/>
            <w:tcBorders>
              <w:tl2br w:val="nil"/>
              <w:tr2bl w:val="nil"/>
            </w:tcBorders>
            <w:noWrap w:val="0"/>
            <w:vAlign w:val="center"/>
          </w:tcPr>
          <w:p w14:paraId="5C5F6A3D">
            <w:pPr>
              <w:pStyle w:val="48"/>
              <w:keepNext w:val="0"/>
              <w:keepLines w:val="0"/>
              <w:pageBreakBefore w:val="0"/>
              <w:wordWrap/>
              <w:topLinePunct w:val="0"/>
              <w:autoSpaceDE w:val="0"/>
              <w:autoSpaceDN w:val="0"/>
              <w:bidi w:val="0"/>
              <w:adjustRightInd w:val="0"/>
              <w:snapToGrid/>
              <w:spacing w:beforeLines="0" w:afterLines="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 情况</w:t>
            </w:r>
          </w:p>
        </w:tc>
      </w:tr>
      <w:tr w14:paraId="4F174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414" w:type="pct"/>
            <w:vMerge w:val="restart"/>
            <w:tcBorders>
              <w:tl2br w:val="nil"/>
              <w:tr2bl w:val="nil"/>
            </w:tcBorders>
            <w:noWrap w:val="0"/>
            <w:vAlign w:val="center"/>
          </w:tcPr>
          <w:p w14:paraId="02EDC94E">
            <w:pPr>
              <w:keepNext w:val="0"/>
              <w:keepLines w:val="0"/>
              <w:pageBreakBefore w:val="0"/>
              <w:kinsoku/>
              <w:wordWrap/>
              <w:overflowPunct/>
              <w:topLinePunct w:val="0"/>
              <w:bidi w:val="0"/>
              <w:snapToGrid/>
              <w:spacing w:line="240" w:lineRule="auto"/>
              <w:ind w:left="0"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sz w:val="21"/>
                <w:szCs w:val="21"/>
                <w:highlight w:val="none"/>
                <w:lang w:val="en-US" w:eastAsia="zh-CN"/>
              </w:rPr>
              <w:t>项目区下风向1</w:t>
            </w:r>
            <w:r>
              <w:rPr>
                <w:rFonts w:hint="default" w:ascii="Times New Roman" w:hAnsi="Times New Roman" w:cs="Times New Roman"/>
                <w:bCs/>
                <w:color w:val="auto"/>
                <w:sz w:val="21"/>
                <w:szCs w:val="21"/>
                <w:highlight w:val="none"/>
                <w:vertAlign w:val="superscript"/>
                <w:lang w:val="en-US" w:eastAsia="zh-CN"/>
              </w:rPr>
              <w:t>#</w:t>
            </w:r>
            <w:r>
              <w:rPr>
                <w:rFonts w:hint="default" w:ascii="Times New Roman" w:hAnsi="Times New Roman" w:cs="Times New Roman"/>
                <w:color w:val="auto"/>
                <w:highlight w:val="none"/>
                <w:lang w:val="en-US" w:eastAsia="zh-CN"/>
              </w:rPr>
              <w:t xml:space="preserve"> </w:t>
            </w:r>
          </w:p>
          <w:p w14:paraId="382ECC96">
            <w:pPr>
              <w:keepNext w:val="0"/>
              <w:keepLines w:val="0"/>
              <w:pageBreakBefore w:val="0"/>
              <w:kinsoku/>
              <w:wordWrap/>
              <w:overflowPunct/>
              <w:topLinePunct w:val="0"/>
              <w:bidi w:val="0"/>
              <w:snapToGrid/>
              <w:spacing w:line="240" w:lineRule="auto"/>
              <w:ind w:left="0" w:firstLine="0" w:firstLineChars="0"/>
              <w:jc w:val="center"/>
              <w:rPr>
                <w:rFonts w:hint="default" w:ascii="Times New Roman" w:hAnsi="Times New Roman" w:cs="Times New Roman"/>
                <w:color w:val="auto"/>
                <w:spacing w:val="-6"/>
                <w:sz w:val="21"/>
                <w:szCs w:val="21"/>
                <w:highlight w:val="none"/>
                <w:lang w:val="en-US" w:eastAsia="zh-CN"/>
              </w:rPr>
            </w:pPr>
            <w:r>
              <w:rPr>
                <w:rFonts w:hint="default" w:ascii="Times New Roman" w:hAnsi="Times New Roman" w:cs="Times New Roman"/>
                <w:color w:val="auto"/>
                <w:spacing w:val="-6"/>
                <w:sz w:val="21"/>
                <w:szCs w:val="21"/>
                <w:highlight w:val="none"/>
                <w:lang w:val="en-US" w:eastAsia="zh-CN"/>
              </w:rPr>
              <w:t>E：88°17′16.83″</w:t>
            </w:r>
          </w:p>
          <w:p w14:paraId="00C7BFF2">
            <w:pPr>
              <w:pStyle w:val="48"/>
              <w:keepNext w:val="0"/>
              <w:keepLines w:val="0"/>
              <w:pageBreakBefore w:val="0"/>
              <w:wordWrap/>
              <w:topLinePunct w:val="0"/>
              <w:autoSpaceDE w:val="0"/>
              <w:autoSpaceDN w:val="0"/>
              <w:bidi w:val="0"/>
              <w:adjustRightInd w:val="0"/>
              <w:snapToGrid/>
              <w:spacing w:beforeLines="0" w:afterLines="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6"/>
                <w:sz w:val="21"/>
                <w:szCs w:val="21"/>
                <w:highlight w:val="none"/>
                <w:lang w:val="en-US" w:eastAsia="zh-CN"/>
              </w:rPr>
              <w:t>N：44°41′30.72″</w:t>
            </w:r>
          </w:p>
        </w:tc>
        <w:tc>
          <w:tcPr>
            <w:tcW w:w="433" w:type="pct"/>
            <w:vMerge w:val="restart"/>
            <w:tcBorders>
              <w:tl2br w:val="nil"/>
              <w:tr2bl w:val="nil"/>
            </w:tcBorders>
            <w:noWrap w:val="0"/>
            <w:vAlign w:val="center"/>
          </w:tcPr>
          <w:p w14:paraId="4700D2EB">
            <w:pPr>
              <w:pStyle w:val="48"/>
              <w:keepNext w:val="0"/>
              <w:keepLines w:val="0"/>
              <w:pageBreakBefore w:val="0"/>
              <w:wordWrap/>
              <w:topLinePunct w:val="0"/>
              <w:autoSpaceDE w:val="0"/>
              <w:autoSpaceDN w:val="0"/>
              <w:bidi w:val="0"/>
              <w:adjustRightInd w:val="0"/>
              <w:snapToGrid/>
              <w:spacing w:beforeLines="0" w:afterLines="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TSP</w:t>
            </w:r>
          </w:p>
        </w:tc>
        <w:tc>
          <w:tcPr>
            <w:tcW w:w="1584" w:type="pct"/>
            <w:tcBorders>
              <w:tl2br w:val="nil"/>
              <w:tr2bl w:val="nil"/>
            </w:tcBorders>
            <w:noWrap w:val="0"/>
            <w:vAlign w:val="center"/>
          </w:tcPr>
          <w:p w14:paraId="04595491">
            <w:pPr>
              <w:keepNext w:val="0"/>
              <w:keepLines w:val="0"/>
              <w:pageBreakBefore w:val="0"/>
              <w:widowControl/>
              <w:suppressLineNumbers w:val="0"/>
              <w:kinsoku/>
              <w:wordWrap/>
              <w:overflowPunct/>
              <w:topLinePunct w:val="0"/>
              <w:autoSpaceDE w:val="0"/>
              <w:autoSpaceDN w:val="0"/>
              <w:bidi w:val="0"/>
              <w:adjustRightInd w:val="0"/>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202</w:t>
            </w:r>
            <w:r>
              <w:rPr>
                <w:rFonts w:hint="default" w:ascii="Times New Roman" w:hAnsi="Times New Roman" w:cs="Times New Roman"/>
                <w:b w:val="0"/>
                <w:bCs w:val="0"/>
                <w:color w:val="auto"/>
                <w:sz w:val="21"/>
                <w:szCs w:val="21"/>
                <w:highlight w:val="none"/>
                <w:lang w:val="en-US" w:eastAsia="zh-CN"/>
              </w:rPr>
              <w:t>5</w:t>
            </w:r>
            <w:r>
              <w:rPr>
                <w:rFonts w:hint="default" w:ascii="Times New Roman" w:hAnsi="Times New Roman" w:eastAsia="宋体" w:cs="Times New Roman"/>
                <w:b w:val="0"/>
                <w:bCs w:val="0"/>
                <w:color w:val="auto"/>
                <w:sz w:val="21"/>
                <w:szCs w:val="21"/>
                <w:highlight w:val="none"/>
                <w:lang w:val="en-US" w:eastAsia="zh-CN"/>
              </w:rPr>
              <w:t>年</w:t>
            </w:r>
            <w:r>
              <w:rPr>
                <w:rFonts w:hint="default" w:ascii="Times New Roman" w:hAnsi="Times New Roman" w:cs="Times New Roman"/>
                <w:b w:val="0"/>
                <w:bCs w:val="0"/>
                <w:color w:val="auto"/>
                <w:sz w:val="21"/>
                <w:szCs w:val="21"/>
                <w:highlight w:val="none"/>
                <w:lang w:val="en-US" w:eastAsia="zh-CN"/>
              </w:rPr>
              <w:t>3</w:t>
            </w:r>
            <w:r>
              <w:rPr>
                <w:rFonts w:hint="default" w:ascii="Times New Roman" w:hAnsi="Times New Roman" w:eastAsia="宋体" w:cs="Times New Roman"/>
                <w:b w:val="0"/>
                <w:bCs w:val="0"/>
                <w:color w:val="auto"/>
                <w:sz w:val="21"/>
                <w:szCs w:val="21"/>
                <w:highlight w:val="none"/>
                <w:lang w:val="en-US" w:eastAsia="zh-CN"/>
              </w:rPr>
              <w:t>月</w:t>
            </w:r>
            <w:r>
              <w:rPr>
                <w:rFonts w:hint="default" w:ascii="Times New Roman" w:hAnsi="Times New Roman" w:cs="Times New Roman"/>
                <w:b w:val="0"/>
                <w:bCs w:val="0"/>
                <w:color w:val="auto"/>
                <w:sz w:val="21"/>
                <w:szCs w:val="21"/>
                <w:highlight w:val="none"/>
                <w:lang w:val="en-US" w:eastAsia="zh-CN"/>
              </w:rPr>
              <w:t>27</w:t>
            </w:r>
            <w:r>
              <w:rPr>
                <w:rFonts w:hint="default" w:ascii="Times New Roman" w:hAnsi="Times New Roman" w:eastAsia="宋体" w:cs="Times New Roman"/>
                <w:b w:val="0"/>
                <w:bCs w:val="0"/>
                <w:color w:val="auto"/>
                <w:sz w:val="21"/>
                <w:szCs w:val="21"/>
                <w:highlight w:val="none"/>
                <w:lang w:val="en-US" w:eastAsia="zh-CN"/>
              </w:rPr>
              <w:t>日</w:t>
            </w:r>
          </w:p>
        </w:tc>
        <w:tc>
          <w:tcPr>
            <w:tcW w:w="679" w:type="pct"/>
            <w:tcBorders>
              <w:tl2br w:val="nil"/>
              <w:tr2bl w:val="nil"/>
            </w:tcBorders>
            <w:noWrap w:val="0"/>
            <w:vAlign w:val="center"/>
          </w:tcPr>
          <w:p w14:paraId="6591B824">
            <w:pPr>
              <w:keepNext w:val="0"/>
              <w:keepLines w:val="0"/>
              <w:pageBreakBefore w:val="0"/>
              <w:widowControl/>
              <w:suppressLineNumbers w:val="0"/>
              <w:kinsoku/>
              <w:wordWrap/>
              <w:overflowPunct/>
              <w:topLinePunct w:val="0"/>
              <w:autoSpaceDE w:val="0"/>
              <w:autoSpaceDN w:val="0"/>
              <w:bidi w:val="0"/>
              <w:adjustRightInd w:val="0"/>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156</w:t>
            </w:r>
          </w:p>
        </w:tc>
        <w:tc>
          <w:tcPr>
            <w:tcW w:w="746" w:type="pct"/>
            <w:vMerge w:val="restart"/>
            <w:tcBorders>
              <w:tl2br w:val="nil"/>
              <w:tr2bl w:val="nil"/>
            </w:tcBorders>
            <w:noWrap w:val="0"/>
            <w:vAlign w:val="center"/>
          </w:tcPr>
          <w:p w14:paraId="1D22B35B">
            <w:pPr>
              <w:pStyle w:val="48"/>
              <w:keepNext w:val="0"/>
              <w:keepLines w:val="0"/>
              <w:pageBreakBefore w:val="0"/>
              <w:wordWrap/>
              <w:topLinePunct w:val="0"/>
              <w:autoSpaceDE w:val="0"/>
              <w:autoSpaceDN w:val="0"/>
              <w:bidi w:val="0"/>
              <w:adjustRightInd w:val="0"/>
              <w:snapToGrid/>
              <w:spacing w:beforeLines="0" w:afterLines="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300</w:t>
            </w:r>
          </w:p>
        </w:tc>
        <w:tc>
          <w:tcPr>
            <w:tcW w:w="635" w:type="pct"/>
            <w:tcBorders>
              <w:tl2br w:val="nil"/>
              <w:tr2bl w:val="nil"/>
            </w:tcBorders>
            <w:noWrap w:val="0"/>
            <w:vAlign w:val="center"/>
          </w:tcPr>
          <w:p w14:paraId="36A8A455">
            <w:pPr>
              <w:keepNext w:val="0"/>
              <w:keepLines w:val="0"/>
              <w:pageBreakBefore w:val="0"/>
              <w:widowControl/>
              <w:suppressLineNumbers w:val="0"/>
              <w:wordWrap/>
              <w:topLinePunct w:val="0"/>
              <w:autoSpaceDE w:val="0"/>
              <w:autoSpaceDN w:val="0"/>
              <w:bidi w:val="0"/>
              <w:adjustRightInd w:val="0"/>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52.00</w:t>
            </w:r>
          </w:p>
        </w:tc>
        <w:tc>
          <w:tcPr>
            <w:tcW w:w="505" w:type="pct"/>
            <w:tcBorders>
              <w:tl2br w:val="nil"/>
              <w:tr2bl w:val="nil"/>
            </w:tcBorders>
            <w:noWrap w:val="0"/>
            <w:vAlign w:val="center"/>
          </w:tcPr>
          <w:p w14:paraId="3999A035">
            <w:pPr>
              <w:pStyle w:val="48"/>
              <w:keepNext w:val="0"/>
              <w:keepLines w:val="0"/>
              <w:pageBreakBefore w:val="0"/>
              <w:wordWrap/>
              <w:topLinePunct w:val="0"/>
              <w:autoSpaceDE w:val="0"/>
              <w:autoSpaceDN w:val="0"/>
              <w:bidi w:val="0"/>
              <w:adjustRightInd w:val="0"/>
              <w:snapToGrid/>
              <w:spacing w:beforeLines="0" w:afterLines="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14:paraId="55086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414" w:type="pct"/>
            <w:vMerge w:val="continue"/>
            <w:tcBorders>
              <w:tl2br w:val="nil"/>
              <w:tr2bl w:val="nil"/>
            </w:tcBorders>
            <w:noWrap w:val="0"/>
            <w:vAlign w:val="center"/>
          </w:tcPr>
          <w:p w14:paraId="7E10DEE4">
            <w:pPr>
              <w:pStyle w:val="48"/>
              <w:keepNext w:val="0"/>
              <w:keepLines w:val="0"/>
              <w:pageBreakBefore w:val="0"/>
              <w:wordWrap/>
              <w:topLinePunct w:val="0"/>
              <w:autoSpaceDE w:val="0"/>
              <w:autoSpaceDN w:val="0"/>
              <w:bidi w:val="0"/>
              <w:adjustRightInd w:val="0"/>
              <w:snapToGrid/>
              <w:spacing w:beforeLines="0" w:afterLines="0" w:line="240" w:lineRule="auto"/>
              <w:ind w:firstLine="0" w:firstLineChars="0"/>
              <w:jc w:val="center"/>
              <w:rPr>
                <w:rFonts w:hint="default" w:ascii="Times New Roman" w:hAnsi="Times New Roman" w:cs="Times New Roman"/>
                <w:color w:val="auto"/>
                <w:sz w:val="21"/>
                <w:szCs w:val="21"/>
                <w:highlight w:val="none"/>
              </w:rPr>
            </w:pPr>
          </w:p>
        </w:tc>
        <w:tc>
          <w:tcPr>
            <w:tcW w:w="433" w:type="pct"/>
            <w:vMerge w:val="continue"/>
            <w:tcBorders>
              <w:tl2br w:val="nil"/>
              <w:tr2bl w:val="nil"/>
            </w:tcBorders>
            <w:noWrap w:val="0"/>
            <w:vAlign w:val="center"/>
          </w:tcPr>
          <w:p w14:paraId="61EF2358">
            <w:pPr>
              <w:pStyle w:val="48"/>
              <w:keepNext w:val="0"/>
              <w:keepLines w:val="0"/>
              <w:pageBreakBefore w:val="0"/>
              <w:wordWrap/>
              <w:topLinePunct w:val="0"/>
              <w:autoSpaceDE w:val="0"/>
              <w:autoSpaceDN w:val="0"/>
              <w:bidi w:val="0"/>
              <w:adjustRightInd w:val="0"/>
              <w:snapToGrid/>
              <w:spacing w:beforeLines="0" w:afterLines="0" w:line="240" w:lineRule="auto"/>
              <w:ind w:firstLine="0" w:firstLineChars="0"/>
              <w:jc w:val="center"/>
              <w:rPr>
                <w:rFonts w:hint="default" w:ascii="Times New Roman" w:hAnsi="Times New Roman" w:cs="Times New Roman"/>
                <w:color w:val="auto"/>
                <w:sz w:val="21"/>
                <w:szCs w:val="21"/>
                <w:highlight w:val="none"/>
              </w:rPr>
            </w:pPr>
          </w:p>
        </w:tc>
        <w:tc>
          <w:tcPr>
            <w:tcW w:w="1584" w:type="pct"/>
            <w:tcBorders>
              <w:tl2br w:val="nil"/>
              <w:tr2bl w:val="nil"/>
            </w:tcBorders>
            <w:noWrap w:val="0"/>
            <w:vAlign w:val="center"/>
          </w:tcPr>
          <w:p w14:paraId="7441C95C">
            <w:pPr>
              <w:keepNext w:val="0"/>
              <w:keepLines w:val="0"/>
              <w:pageBreakBefore w:val="0"/>
              <w:widowControl/>
              <w:suppressLineNumbers w:val="0"/>
              <w:kinsoku/>
              <w:wordWrap/>
              <w:overflowPunct/>
              <w:topLinePunct w:val="0"/>
              <w:autoSpaceDE w:val="0"/>
              <w:autoSpaceDN w:val="0"/>
              <w:bidi w:val="0"/>
              <w:adjustRightInd w:val="0"/>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202</w:t>
            </w:r>
            <w:r>
              <w:rPr>
                <w:rFonts w:hint="default" w:ascii="Times New Roman" w:hAnsi="Times New Roman" w:cs="Times New Roman"/>
                <w:b w:val="0"/>
                <w:bCs w:val="0"/>
                <w:color w:val="auto"/>
                <w:sz w:val="21"/>
                <w:szCs w:val="21"/>
                <w:highlight w:val="none"/>
                <w:lang w:val="en-US" w:eastAsia="zh-CN"/>
              </w:rPr>
              <w:t>5</w:t>
            </w:r>
            <w:r>
              <w:rPr>
                <w:rFonts w:hint="default" w:ascii="Times New Roman" w:hAnsi="Times New Roman" w:eastAsia="宋体" w:cs="Times New Roman"/>
                <w:b w:val="0"/>
                <w:bCs w:val="0"/>
                <w:color w:val="auto"/>
                <w:sz w:val="21"/>
                <w:szCs w:val="21"/>
                <w:highlight w:val="none"/>
                <w:lang w:val="en-US" w:eastAsia="zh-CN"/>
              </w:rPr>
              <w:t>年</w:t>
            </w:r>
            <w:r>
              <w:rPr>
                <w:rFonts w:hint="default" w:ascii="Times New Roman" w:hAnsi="Times New Roman" w:cs="Times New Roman"/>
                <w:b w:val="0"/>
                <w:bCs w:val="0"/>
                <w:color w:val="auto"/>
                <w:sz w:val="21"/>
                <w:szCs w:val="21"/>
                <w:highlight w:val="none"/>
                <w:lang w:val="en-US" w:eastAsia="zh-CN"/>
              </w:rPr>
              <w:t>3</w:t>
            </w:r>
            <w:r>
              <w:rPr>
                <w:rFonts w:hint="default" w:ascii="Times New Roman" w:hAnsi="Times New Roman" w:eastAsia="宋体" w:cs="Times New Roman"/>
                <w:b w:val="0"/>
                <w:bCs w:val="0"/>
                <w:color w:val="auto"/>
                <w:sz w:val="21"/>
                <w:szCs w:val="21"/>
                <w:highlight w:val="none"/>
                <w:lang w:val="en-US" w:eastAsia="zh-CN"/>
              </w:rPr>
              <w:t>月28日</w:t>
            </w:r>
          </w:p>
        </w:tc>
        <w:tc>
          <w:tcPr>
            <w:tcW w:w="679" w:type="pct"/>
            <w:tcBorders>
              <w:tl2br w:val="nil"/>
              <w:tr2bl w:val="nil"/>
            </w:tcBorders>
            <w:noWrap w:val="0"/>
            <w:vAlign w:val="center"/>
          </w:tcPr>
          <w:p w14:paraId="37A52705">
            <w:pPr>
              <w:keepNext w:val="0"/>
              <w:keepLines w:val="0"/>
              <w:pageBreakBefore w:val="0"/>
              <w:widowControl/>
              <w:suppressLineNumbers w:val="0"/>
              <w:kinsoku/>
              <w:wordWrap/>
              <w:overflowPunct/>
              <w:topLinePunct w:val="0"/>
              <w:autoSpaceDE w:val="0"/>
              <w:autoSpaceDN w:val="0"/>
              <w:bidi w:val="0"/>
              <w:adjustRightInd w:val="0"/>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172</w:t>
            </w:r>
          </w:p>
        </w:tc>
        <w:tc>
          <w:tcPr>
            <w:tcW w:w="746" w:type="pct"/>
            <w:vMerge w:val="continue"/>
            <w:tcBorders>
              <w:tl2br w:val="nil"/>
              <w:tr2bl w:val="nil"/>
            </w:tcBorders>
            <w:noWrap w:val="0"/>
            <w:vAlign w:val="center"/>
          </w:tcPr>
          <w:p w14:paraId="0F4CE038">
            <w:pPr>
              <w:pStyle w:val="48"/>
              <w:keepNext w:val="0"/>
              <w:keepLines w:val="0"/>
              <w:pageBreakBefore w:val="0"/>
              <w:wordWrap/>
              <w:topLinePunct w:val="0"/>
              <w:autoSpaceDE w:val="0"/>
              <w:autoSpaceDN w:val="0"/>
              <w:bidi w:val="0"/>
              <w:adjustRightInd w:val="0"/>
              <w:snapToGrid/>
              <w:spacing w:beforeLines="0" w:afterLines="0" w:line="240" w:lineRule="auto"/>
              <w:ind w:firstLine="0" w:firstLineChars="0"/>
              <w:jc w:val="center"/>
              <w:rPr>
                <w:rFonts w:hint="default" w:ascii="Times New Roman" w:hAnsi="Times New Roman" w:cs="Times New Roman"/>
                <w:color w:val="auto"/>
                <w:sz w:val="21"/>
                <w:szCs w:val="21"/>
                <w:highlight w:val="none"/>
              </w:rPr>
            </w:pPr>
          </w:p>
        </w:tc>
        <w:tc>
          <w:tcPr>
            <w:tcW w:w="635" w:type="pct"/>
            <w:tcBorders>
              <w:tl2br w:val="nil"/>
              <w:tr2bl w:val="nil"/>
            </w:tcBorders>
            <w:noWrap w:val="0"/>
            <w:vAlign w:val="center"/>
          </w:tcPr>
          <w:p w14:paraId="425BA1B3">
            <w:pPr>
              <w:keepNext w:val="0"/>
              <w:keepLines w:val="0"/>
              <w:pageBreakBefore w:val="0"/>
              <w:widowControl/>
              <w:suppressLineNumbers w:val="0"/>
              <w:wordWrap/>
              <w:topLinePunct w:val="0"/>
              <w:autoSpaceDE w:val="0"/>
              <w:autoSpaceDN w:val="0"/>
              <w:bidi w:val="0"/>
              <w:adjustRightInd w:val="0"/>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57.33</w:t>
            </w:r>
          </w:p>
        </w:tc>
        <w:tc>
          <w:tcPr>
            <w:tcW w:w="505" w:type="pct"/>
            <w:tcBorders>
              <w:tl2br w:val="nil"/>
              <w:tr2bl w:val="nil"/>
            </w:tcBorders>
            <w:noWrap w:val="0"/>
            <w:vAlign w:val="center"/>
          </w:tcPr>
          <w:p w14:paraId="76F45700">
            <w:pPr>
              <w:pStyle w:val="48"/>
              <w:keepNext w:val="0"/>
              <w:keepLines w:val="0"/>
              <w:pageBreakBefore w:val="0"/>
              <w:wordWrap/>
              <w:topLinePunct w:val="0"/>
              <w:autoSpaceDE w:val="0"/>
              <w:autoSpaceDN w:val="0"/>
              <w:bidi w:val="0"/>
              <w:adjustRightInd w:val="0"/>
              <w:snapToGrid/>
              <w:spacing w:beforeLines="0" w:afterLines="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14:paraId="0772E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414" w:type="pct"/>
            <w:vMerge w:val="continue"/>
            <w:tcBorders>
              <w:tl2br w:val="nil"/>
              <w:tr2bl w:val="nil"/>
            </w:tcBorders>
            <w:noWrap w:val="0"/>
            <w:vAlign w:val="center"/>
          </w:tcPr>
          <w:p w14:paraId="4BA7C5A0">
            <w:pPr>
              <w:pStyle w:val="48"/>
              <w:keepNext w:val="0"/>
              <w:keepLines w:val="0"/>
              <w:pageBreakBefore w:val="0"/>
              <w:wordWrap/>
              <w:topLinePunct w:val="0"/>
              <w:autoSpaceDE w:val="0"/>
              <w:autoSpaceDN w:val="0"/>
              <w:bidi w:val="0"/>
              <w:adjustRightInd w:val="0"/>
              <w:snapToGrid/>
              <w:spacing w:beforeLines="0" w:afterLines="0" w:line="240" w:lineRule="auto"/>
              <w:ind w:firstLine="0" w:firstLineChars="0"/>
              <w:jc w:val="center"/>
              <w:rPr>
                <w:rFonts w:hint="default" w:ascii="Times New Roman" w:hAnsi="Times New Roman" w:cs="Times New Roman"/>
                <w:color w:val="auto"/>
                <w:sz w:val="21"/>
                <w:szCs w:val="21"/>
                <w:highlight w:val="none"/>
              </w:rPr>
            </w:pPr>
          </w:p>
        </w:tc>
        <w:tc>
          <w:tcPr>
            <w:tcW w:w="433" w:type="pct"/>
            <w:vMerge w:val="continue"/>
            <w:tcBorders>
              <w:tl2br w:val="nil"/>
              <w:tr2bl w:val="nil"/>
            </w:tcBorders>
            <w:noWrap w:val="0"/>
            <w:vAlign w:val="center"/>
          </w:tcPr>
          <w:p w14:paraId="66DD4597">
            <w:pPr>
              <w:pStyle w:val="48"/>
              <w:keepNext w:val="0"/>
              <w:keepLines w:val="0"/>
              <w:pageBreakBefore w:val="0"/>
              <w:wordWrap/>
              <w:topLinePunct w:val="0"/>
              <w:autoSpaceDE w:val="0"/>
              <w:autoSpaceDN w:val="0"/>
              <w:bidi w:val="0"/>
              <w:adjustRightInd w:val="0"/>
              <w:snapToGrid/>
              <w:spacing w:beforeLines="0" w:afterLines="0" w:line="240" w:lineRule="auto"/>
              <w:ind w:firstLine="0" w:firstLineChars="0"/>
              <w:jc w:val="center"/>
              <w:rPr>
                <w:rFonts w:hint="default" w:ascii="Times New Roman" w:hAnsi="Times New Roman" w:cs="Times New Roman"/>
                <w:color w:val="auto"/>
                <w:sz w:val="21"/>
                <w:szCs w:val="21"/>
                <w:highlight w:val="none"/>
              </w:rPr>
            </w:pPr>
          </w:p>
        </w:tc>
        <w:tc>
          <w:tcPr>
            <w:tcW w:w="1584" w:type="pct"/>
            <w:tcBorders>
              <w:tl2br w:val="nil"/>
              <w:tr2bl w:val="nil"/>
            </w:tcBorders>
            <w:noWrap w:val="0"/>
            <w:vAlign w:val="center"/>
          </w:tcPr>
          <w:p w14:paraId="1DF7A112">
            <w:pPr>
              <w:keepNext w:val="0"/>
              <w:keepLines w:val="0"/>
              <w:pageBreakBefore w:val="0"/>
              <w:widowControl/>
              <w:suppressLineNumbers w:val="0"/>
              <w:kinsoku/>
              <w:wordWrap/>
              <w:overflowPunct/>
              <w:topLinePunct w:val="0"/>
              <w:autoSpaceDE w:val="0"/>
              <w:autoSpaceDN w:val="0"/>
              <w:bidi w:val="0"/>
              <w:adjustRightInd w:val="0"/>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202</w:t>
            </w:r>
            <w:r>
              <w:rPr>
                <w:rFonts w:hint="default" w:ascii="Times New Roman" w:hAnsi="Times New Roman" w:cs="Times New Roman"/>
                <w:b w:val="0"/>
                <w:bCs w:val="0"/>
                <w:color w:val="auto"/>
                <w:sz w:val="21"/>
                <w:szCs w:val="21"/>
                <w:highlight w:val="none"/>
                <w:lang w:val="en-US" w:eastAsia="zh-CN"/>
              </w:rPr>
              <w:t>5</w:t>
            </w:r>
            <w:r>
              <w:rPr>
                <w:rFonts w:hint="default" w:ascii="Times New Roman" w:hAnsi="Times New Roman" w:eastAsia="宋体" w:cs="Times New Roman"/>
                <w:b w:val="0"/>
                <w:bCs w:val="0"/>
                <w:color w:val="auto"/>
                <w:sz w:val="21"/>
                <w:szCs w:val="21"/>
                <w:highlight w:val="none"/>
                <w:lang w:val="en-US" w:eastAsia="zh-CN"/>
              </w:rPr>
              <w:t>年</w:t>
            </w:r>
            <w:r>
              <w:rPr>
                <w:rFonts w:hint="default" w:ascii="Times New Roman" w:hAnsi="Times New Roman" w:cs="Times New Roman"/>
                <w:b w:val="0"/>
                <w:bCs w:val="0"/>
                <w:color w:val="auto"/>
                <w:sz w:val="21"/>
                <w:szCs w:val="21"/>
                <w:highlight w:val="none"/>
                <w:lang w:val="en-US" w:eastAsia="zh-CN"/>
              </w:rPr>
              <w:t>3</w:t>
            </w:r>
            <w:r>
              <w:rPr>
                <w:rFonts w:hint="default" w:ascii="Times New Roman" w:hAnsi="Times New Roman" w:eastAsia="宋体" w:cs="Times New Roman"/>
                <w:b w:val="0"/>
                <w:bCs w:val="0"/>
                <w:color w:val="auto"/>
                <w:sz w:val="21"/>
                <w:szCs w:val="21"/>
                <w:highlight w:val="none"/>
                <w:lang w:val="en-US" w:eastAsia="zh-CN"/>
              </w:rPr>
              <w:t>月29日</w:t>
            </w:r>
          </w:p>
        </w:tc>
        <w:tc>
          <w:tcPr>
            <w:tcW w:w="679" w:type="pct"/>
            <w:tcBorders>
              <w:tl2br w:val="nil"/>
              <w:tr2bl w:val="nil"/>
            </w:tcBorders>
            <w:noWrap w:val="0"/>
            <w:vAlign w:val="center"/>
          </w:tcPr>
          <w:p w14:paraId="6AF6D23C">
            <w:pPr>
              <w:keepNext w:val="0"/>
              <w:keepLines w:val="0"/>
              <w:pageBreakBefore w:val="0"/>
              <w:widowControl/>
              <w:suppressLineNumbers w:val="0"/>
              <w:kinsoku/>
              <w:wordWrap/>
              <w:overflowPunct/>
              <w:topLinePunct w:val="0"/>
              <w:autoSpaceDE w:val="0"/>
              <w:autoSpaceDN w:val="0"/>
              <w:bidi w:val="0"/>
              <w:adjustRightInd w:val="0"/>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149</w:t>
            </w:r>
          </w:p>
        </w:tc>
        <w:tc>
          <w:tcPr>
            <w:tcW w:w="746" w:type="pct"/>
            <w:vMerge w:val="continue"/>
            <w:tcBorders>
              <w:tl2br w:val="nil"/>
              <w:tr2bl w:val="nil"/>
            </w:tcBorders>
            <w:noWrap w:val="0"/>
            <w:vAlign w:val="center"/>
          </w:tcPr>
          <w:p w14:paraId="087CF660">
            <w:pPr>
              <w:pStyle w:val="48"/>
              <w:keepNext w:val="0"/>
              <w:keepLines w:val="0"/>
              <w:pageBreakBefore w:val="0"/>
              <w:wordWrap/>
              <w:topLinePunct w:val="0"/>
              <w:autoSpaceDE w:val="0"/>
              <w:autoSpaceDN w:val="0"/>
              <w:bidi w:val="0"/>
              <w:adjustRightInd w:val="0"/>
              <w:snapToGrid/>
              <w:spacing w:beforeLines="0" w:afterLines="0" w:line="240" w:lineRule="auto"/>
              <w:ind w:firstLine="0" w:firstLineChars="0"/>
              <w:jc w:val="center"/>
              <w:rPr>
                <w:rFonts w:hint="default" w:ascii="Times New Roman" w:hAnsi="Times New Roman" w:cs="Times New Roman"/>
                <w:color w:val="auto"/>
                <w:sz w:val="21"/>
                <w:szCs w:val="21"/>
                <w:highlight w:val="none"/>
              </w:rPr>
            </w:pPr>
          </w:p>
        </w:tc>
        <w:tc>
          <w:tcPr>
            <w:tcW w:w="635" w:type="pct"/>
            <w:tcBorders>
              <w:tl2br w:val="nil"/>
              <w:tr2bl w:val="nil"/>
            </w:tcBorders>
            <w:noWrap w:val="0"/>
            <w:vAlign w:val="center"/>
          </w:tcPr>
          <w:p w14:paraId="18684534">
            <w:pPr>
              <w:keepNext w:val="0"/>
              <w:keepLines w:val="0"/>
              <w:pageBreakBefore w:val="0"/>
              <w:widowControl/>
              <w:suppressLineNumbers w:val="0"/>
              <w:wordWrap/>
              <w:topLinePunct w:val="0"/>
              <w:autoSpaceDE w:val="0"/>
              <w:autoSpaceDN w:val="0"/>
              <w:bidi w:val="0"/>
              <w:adjustRightInd w:val="0"/>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49.67</w:t>
            </w:r>
          </w:p>
        </w:tc>
        <w:tc>
          <w:tcPr>
            <w:tcW w:w="505" w:type="pct"/>
            <w:tcBorders>
              <w:tl2br w:val="nil"/>
              <w:tr2bl w:val="nil"/>
            </w:tcBorders>
            <w:noWrap w:val="0"/>
            <w:vAlign w:val="center"/>
          </w:tcPr>
          <w:p w14:paraId="4E9FA34D">
            <w:pPr>
              <w:pStyle w:val="48"/>
              <w:keepNext w:val="0"/>
              <w:keepLines w:val="0"/>
              <w:pageBreakBefore w:val="0"/>
              <w:wordWrap/>
              <w:topLinePunct w:val="0"/>
              <w:autoSpaceDE w:val="0"/>
              <w:autoSpaceDN w:val="0"/>
              <w:bidi w:val="0"/>
              <w:adjustRightInd w:val="0"/>
              <w:snapToGrid/>
              <w:spacing w:beforeLines="0" w:afterLines="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14:paraId="47F8A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414" w:type="pct"/>
            <w:vMerge w:val="continue"/>
            <w:tcBorders>
              <w:tl2br w:val="nil"/>
              <w:tr2bl w:val="nil"/>
            </w:tcBorders>
            <w:noWrap w:val="0"/>
            <w:vAlign w:val="center"/>
          </w:tcPr>
          <w:p w14:paraId="7AF42325">
            <w:pPr>
              <w:pStyle w:val="48"/>
              <w:keepNext w:val="0"/>
              <w:keepLines w:val="0"/>
              <w:pageBreakBefore w:val="0"/>
              <w:wordWrap/>
              <w:topLinePunct w:val="0"/>
              <w:autoSpaceDE w:val="0"/>
              <w:autoSpaceDN w:val="0"/>
              <w:bidi w:val="0"/>
              <w:adjustRightInd w:val="0"/>
              <w:snapToGrid/>
              <w:spacing w:beforeLines="0" w:afterLines="0" w:line="240" w:lineRule="auto"/>
              <w:ind w:firstLine="0" w:firstLineChars="0"/>
              <w:jc w:val="center"/>
              <w:rPr>
                <w:rFonts w:hint="default" w:ascii="Times New Roman" w:hAnsi="Times New Roman" w:cs="Times New Roman"/>
                <w:color w:val="auto"/>
                <w:sz w:val="21"/>
                <w:szCs w:val="21"/>
                <w:highlight w:val="none"/>
              </w:rPr>
            </w:pPr>
          </w:p>
        </w:tc>
        <w:tc>
          <w:tcPr>
            <w:tcW w:w="433" w:type="pct"/>
            <w:vMerge w:val="continue"/>
            <w:tcBorders>
              <w:tl2br w:val="nil"/>
              <w:tr2bl w:val="nil"/>
            </w:tcBorders>
            <w:noWrap w:val="0"/>
            <w:vAlign w:val="center"/>
          </w:tcPr>
          <w:p w14:paraId="2BF616AF">
            <w:pPr>
              <w:pStyle w:val="48"/>
              <w:keepNext w:val="0"/>
              <w:keepLines w:val="0"/>
              <w:pageBreakBefore w:val="0"/>
              <w:wordWrap/>
              <w:topLinePunct w:val="0"/>
              <w:autoSpaceDE w:val="0"/>
              <w:autoSpaceDN w:val="0"/>
              <w:bidi w:val="0"/>
              <w:adjustRightInd w:val="0"/>
              <w:snapToGrid/>
              <w:spacing w:beforeLines="0" w:afterLines="0" w:line="240" w:lineRule="auto"/>
              <w:ind w:firstLine="0" w:firstLineChars="0"/>
              <w:jc w:val="center"/>
              <w:rPr>
                <w:rFonts w:hint="default" w:ascii="Times New Roman" w:hAnsi="Times New Roman" w:cs="Times New Roman"/>
                <w:color w:val="auto"/>
                <w:sz w:val="21"/>
                <w:szCs w:val="21"/>
                <w:highlight w:val="none"/>
              </w:rPr>
            </w:pPr>
          </w:p>
        </w:tc>
        <w:tc>
          <w:tcPr>
            <w:tcW w:w="1584" w:type="pct"/>
            <w:tcBorders>
              <w:tl2br w:val="nil"/>
              <w:tr2bl w:val="nil"/>
            </w:tcBorders>
            <w:noWrap w:val="0"/>
            <w:vAlign w:val="center"/>
          </w:tcPr>
          <w:p w14:paraId="2F63BB79">
            <w:pPr>
              <w:keepNext w:val="0"/>
              <w:keepLines w:val="0"/>
              <w:pageBreakBefore w:val="0"/>
              <w:widowControl/>
              <w:suppressLineNumbers w:val="0"/>
              <w:kinsoku/>
              <w:wordWrap/>
              <w:overflowPunct/>
              <w:topLinePunct w:val="0"/>
              <w:autoSpaceDE w:val="0"/>
              <w:autoSpaceDN w:val="0"/>
              <w:bidi w:val="0"/>
              <w:adjustRightInd w:val="0"/>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202</w:t>
            </w:r>
            <w:r>
              <w:rPr>
                <w:rFonts w:hint="default" w:ascii="Times New Roman" w:hAnsi="Times New Roman" w:cs="Times New Roman"/>
                <w:b w:val="0"/>
                <w:bCs w:val="0"/>
                <w:color w:val="auto"/>
                <w:sz w:val="21"/>
                <w:szCs w:val="21"/>
                <w:highlight w:val="none"/>
                <w:lang w:val="en-US" w:eastAsia="zh-CN"/>
              </w:rPr>
              <w:t>5</w:t>
            </w:r>
            <w:r>
              <w:rPr>
                <w:rFonts w:hint="default" w:ascii="Times New Roman" w:hAnsi="Times New Roman" w:eastAsia="宋体" w:cs="Times New Roman"/>
                <w:b w:val="0"/>
                <w:bCs w:val="0"/>
                <w:color w:val="auto"/>
                <w:sz w:val="21"/>
                <w:szCs w:val="21"/>
                <w:highlight w:val="none"/>
                <w:lang w:val="en-US" w:eastAsia="zh-CN"/>
              </w:rPr>
              <w:t>年</w:t>
            </w:r>
            <w:r>
              <w:rPr>
                <w:rFonts w:hint="default" w:ascii="Times New Roman" w:hAnsi="Times New Roman" w:cs="Times New Roman"/>
                <w:b w:val="0"/>
                <w:bCs w:val="0"/>
                <w:color w:val="auto"/>
                <w:sz w:val="21"/>
                <w:szCs w:val="21"/>
                <w:highlight w:val="none"/>
                <w:lang w:val="en-US" w:eastAsia="zh-CN"/>
              </w:rPr>
              <w:t>3</w:t>
            </w:r>
            <w:r>
              <w:rPr>
                <w:rFonts w:hint="default" w:ascii="Times New Roman" w:hAnsi="Times New Roman" w:eastAsia="宋体" w:cs="Times New Roman"/>
                <w:b w:val="0"/>
                <w:bCs w:val="0"/>
                <w:color w:val="auto"/>
                <w:sz w:val="21"/>
                <w:szCs w:val="21"/>
                <w:highlight w:val="none"/>
                <w:lang w:val="en-US" w:eastAsia="zh-CN"/>
              </w:rPr>
              <w:t>月30日</w:t>
            </w:r>
          </w:p>
        </w:tc>
        <w:tc>
          <w:tcPr>
            <w:tcW w:w="679" w:type="pct"/>
            <w:tcBorders>
              <w:tl2br w:val="nil"/>
              <w:tr2bl w:val="nil"/>
            </w:tcBorders>
            <w:noWrap w:val="0"/>
            <w:vAlign w:val="center"/>
          </w:tcPr>
          <w:p w14:paraId="0A851E86">
            <w:pPr>
              <w:keepNext w:val="0"/>
              <w:keepLines w:val="0"/>
              <w:pageBreakBefore w:val="0"/>
              <w:widowControl/>
              <w:suppressLineNumbers w:val="0"/>
              <w:kinsoku/>
              <w:wordWrap/>
              <w:overflowPunct/>
              <w:topLinePunct w:val="0"/>
              <w:autoSpaceDE w:val="0"/>
              <w:autoSpaceDN w:val="0"/>
              <w:bidi w:val="0"/>
              <w:adjustRightInd w:val="0"/>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176</w:t>
            </w:r>
          </w:p>
        </w:tc>
        <w:tc>
          <w:tcPr>
            <w:tcW w:w="746" w:type="pct"/>
            <w:vMerge w:val="continue"/>
            <w:tcBorders>
              <w:tl2br w:val="nil"/>
              <w:tr2bl w:val="nil"/>
            </w:tcBorders>
            <w:noWrap w:val="0"/>
            <w:vAlign w:val="center"/>
          </w:tcPr>
          <w:p w14:paraId="5B0A6528">
            <w:pPr>
              <w:pStyle w:val="48"/>
              <w:keepNext w:val="0"/>
              <w:keepLines w:val="0"/>
              <w:pageBreakBefore w:val="0"/>
              <w:wordWrap/>
              <w:topLinePunct w:val="0"/>
              <w:autoSpaceDE w:val="0"/>
              <w:autoSpaceDN w:val="0"/>
              <w:bidi w:val="0"/>
              <w:adjustRightInd w:val="0"/>
              <w:snapToGrid/>
              <w:spacing w:beforeLines="0" w:afterLines="0" w:line="240" w:lineRule="auto"/>
              <w:ind w:firstLine="0" w:firstLineChars="0"/>
              <w:jc w:val="center"/>
              <w:rPr>
                <w:rFonts w:hint="default" w:ascii="Times New Roman" w:hAnsi="Times New Roman" w:cs="Times New Roman"/>
                <w:color w:val="auto"/>
                <w:sz w:val="21"/>
                <w:szCs w:val="21"/>
                <w:highlight w:val="none"/>
              </w:rPr>
            </w:pPr>
          </w:p>
        </w:tc>
        <w:tc>
          <w:tcPr>
            <w:tcW w:w="635" w:type="pct"/>
            <w:tcBorders>
              <w:tl2br w:val="nil"/>
              <w:tr2bl w:val="nil"/>
            </w:tcBorders>
            <w:noWrap w:val="0"/>
            <w:vAlign w:val="center"/>
          </w:tcPr>
          <w:p w14:paraId="1910D0F2">
            <w:pPr>
              <w:keepNext w:val="0"/>
              <w:keepLines w:val="0"/>
              <w:pageBreakBefore w:val="0"/>
              <w:widowControl/>
              <w:suppressLineNumbers w:val="0"/>
              <w:wordWrap/>
              <w:topLinePunct w:val="0"/>
              <w:autoSpaceDE w:val="0"/>
              <w:autoSpaceDN w:val="0"/>
              <w:bidi w:val="0"/>
              <w:adjustRightInd w:val="0"/>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58.67</w:t>
            </w:r>
          </w:p>
        </w:tc>
        <w:tc>
          <w:tcPr>
            <w:tcW w:w="505" w:type="pct"/>
            <w:tcBorders>
              <w:tl2br w:val="nil"/>
              <w:tr2bl w:val="nil"/>
            </w:tcBorders>
            <w:noWrap w:val="0"/>
            <w:vAlign w:val="center"/>
          </w:tcPr>
          <w:p w14:paraId="623E71E8">
            <w:pPr>
              <w:pStyle w:val="48"/>
              <w:keepNext w:val="0"/>
              <w:keepLines w:val="0"/>
              <w:pageBreakBefore w:val="0"/>
              <w:wordWrap/>
              <w:topLinePunct w:val="0"/>
              <w:autoSpaceDE w:val="0"/>
              <w:autoSpaceDN w:val="0"/>
              <w:bidi w:val="0"/>
              <w:adjustRightInd w:val="0"/>
              <w:snapToGrid/>
              <w:spacing w:beforeLines="0" w:afterLines="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14:paraId="73CA2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414" w:type="pct"/>
            <w:vMerge w:val="continue"/>
            <w:tcBorders>
              <w:tl2br w:val="nil"/>
              <w:tr2bl w:val="nil"/>
            </w:tcBorders>
            <w:noWrap w:val="0"/>
            <w:vAlign w:val="center"/>
          </w:tcPr>
          <w:p w14:paraId="5476697F">
            <w:pPr>
              <w:pStyle w:val="48"/>
              <w:keepNext w:val="0"/>
              <w:keepLines w:val="0"/>
              <w:pageBreakBefore w:val="0"/>
              <w:wordWrap/>
              <w:topLinePunct w:val="0"/>
              <w:autoSpaceDE w:val="0"/>
              <w:autoSpaceDN w:val="0"/>
              <w:bidi w:val="0"/>
              <w:adjustRightInd w:val="0"/>
              <w:snapToGrid/>
              <w:spacing w:beforeLines="0" w:afterLines="0" w:line="240" w:lineRule="auto"/>
              <w:ind w:firstLine="0" w:firstLineChars="0"/>
              <w:jc w:val="center"/>
              <w:rPr>
                <w:rFonts w:hint="default" w:ascii="Times New Roman" w:hAnsi="Times New Roman" w:cs="Times New Roman"/>
                <w:color w:val="auto"/>
                <w:sz w:val="21"/>
                <w:szCs w:val="21"/>
                <w:highlight w:val="none"/>
              </w:rPr>
            </w:pPr>
          </w:p>
        </w:tc>
        <w:tc>
          <w:tcPr>
            <w:tcW w:w="433" w:type="pct"/>
            <w:vMerge w:val="continue"/>
            <w:tcBorders>
              <w:tl2br w:val="nil"/>
              <w:tr2bl w:val="nil"/>
            </w:tcBorders>
            <w:noWrap w:val="0"/>
            <w:vAlign w:val="center"/>
          </w:tcPr>
          <w:p w14:paraId="56F8BF1B">
            <w:pPr>
              <w:pStyle w:val="48"/>
              <w:keepNext w:val="0"/>
              <w:keepLines w:val="0"/>
              <w:pageBreakBefore w:val="0"/>
              <w:wordWrap/>
              <w:topLinePunct w:val="0"/>
              <w:autoSpaceDE w:val="0"/>
              <w:autoSpaceDN w:val="0"/>
              <w:bidi w:val="0"/>
              <w:adjustRightInd w:val="0"/>
              <w:snapToGrid/>
              <w:spacing w:beforeLines="0" w:afterLines="0" w:line="240" w:lineRule="auto"/>
              <w:ind w:firstLine="0" w:firstLineChars="0"/>
              <w:jc w:val="center"/>
              <w:rPr>
                <w:rFonts w:hint="default" w:ascii="Times New Roman" w:hAnsi="Times New Roman" w:cs="Times New Roman"/>
                <w:color w:val="auto"/>
                <w:sz w:val="21"/>
                <w:szCs w:val="21"/>
                <w:highlight w:val="none"/>
              </w:rPr>
            </w:pPr>
          </w:p>
        </w:tc>
        <w:tc>
          <w:tcPr>
            <w:tcW w:w="1584" w:type="pct"/>
            <w:tcBorders>
              <w:tl2br w:val="nil"/>
              <w:tr2bl w:val="nil"/>
            </w:tcBorders>
            <w:noWrap w:val="0"/>
            <w:vAlign w:val="center"/>
          </w:tcPr>
          <w:p w14:paraId="78EE0029">
            <w:pPr>
              <w:keepNext w:val="0"/>
              <w:keepLines w:val="0"/>
              <w:pageBreakBefore w:val="0"/>
              <w:widowControl/>
              <w:suppressLineNumbers w:val="0"/>
              <w:kinsoku/>
              <w:wordWrap/>
              <w:overflowPunct/>
              <w:topLinePunct w:val="0"/>
              <w:autoSpaceDE w:val="0"/>
              <w:autoSpaceDN w:val="0"/>
              <w:bidi w:val="0"/>
              <w:adjustRightInd w:val="0"/>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202</w:t>
            </w:r>
            <w:r>
              <w:rPr>
                <w:rFonts w:hint="default" w:ascii="Times New Roman" w:hAnsi="Times New Roman" w:cs="Times New Roman"/>
                <w:b w:val="0"/>
                <w:bCs w:val="0"/>
                <w:color w:val="auto"/>
                <w:sz w:val="21"/>
                <w:szCs w:val="21"/>
                <w:highlight w:val="none"/>
                <w:lang w:val="en-US" w:eastAsia="zh-CN"/>
              </w:rPr>
              <w:t>5</w:t>
            </w:r>
            <w:r>
              <w:rPr>
                <w:rFonts w:hint="default" w:ascii="Times New Roman" w:hAnsi="Times New Roman" w:eastAsia="宋体" w:cs="Times New Roman"/>
                <w:b w:val="0"/>
                <w:bCs w:val="0"/>
                <w:color w:val="auto"/>
                <w:sz w:val="21"/>
                <w:szCs w:val="21"/>
                <w:highlight w:val="none"/>
                <w:lang w:val="en-US" w:eastAsia="zh-CN"/>
              </w:rPr>
              <w:t>年</w:t>
            </w:r>
            <w:r>
              <w:rPr>
                <w:rFonts w:hint="default" w:ascii="Times New Roman" w:hAnsi="Times New Roman" w:cs="Times New Roman"/>
                <w:b w:val="0"/>
                <w:bCs w:val="0"/>
                <w:color w:val="auto"/>
                <w:sz w:val="21"/>
                <w:szCs w:val="21"/>
                <w:highlight w:val="none"/>
                <w:lang w:val="en-US" w:eastAsia="zh-CN"/>
              </w:rPr>
              <w:t>3</w:t>
            </w:r>
            <w:r>
              <w:rPr>
                <w:rFonts w:hint="default" w:ascii="Times New Roman" w:hAnsi="Times New Roman" w:eastAsia="宋体" w:cs="Times New Roman"/>
                <w:b w:val="0"/>
                <w:bCs w:val="0"/>
                <w:color w:val="auto"/>
                <w:sz w:val="21"/>
                <w:szCs w:val="21"/>
                <w:highlight w:val="none"/>
                <w:lang w:val="en-US" w:eastAsia="zh-CN"/>
              </w:rPr>
              <w:t>月31日</w:t>
            </w:r>
          </w:p>
        </w:tc>
        <w:tc>
          <w:tcPr>
            <w:tcW w:w="679" w:type="pct"/>
            <w:tcBorders>
              <w:tl2br w:val="nil"/>
              <w:tr2bl w:val="nil"/>
            </w:tcBorders>
            <w:noWrap w:val="0"/>
            <w:vAlign w:val="center"/>
          </w:tcPr>
          <w:p w14:paraId="24D4788D">
            <w:pPr>
              <w:keepNext w:val="0"/>
              <w:keepLines w:val="0"/>
              <w:pageBreakBefore w:val="0"/>
              <w:widowControl/>
              <w:suppressLineNumbers w:val="0"/>
              <w:kinsoku/>
              <w:wordWrap/>
              <w:overflowPunct/>
              <w:topLinePunct w:val="0"/>
              <w:autoSpaceDE w:val="0"/>
              <w:autoSpaceDN w:val="0"/>
              <w:bidi w:val="0"/>
              <w:adjustRightInd w:val="0"/>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161</w:t>
            </w:r>
          </w:p>
        </w:tc>
        <w:tc>
          <w:tcPr>
            <w:tcW w:w="746" w:type="pct"/>
            <w:vMerge w:val="continue"/>
            <w:tcBorders>
              <w:tl2br w:val="nil"/>
              <w:tr2bl w:val="nil"/>
            </w:tcBorders>
            <w:noWrap w:val="0"/>
            <w:vAlign w:val="center"/>
          </w:tcPr>
          <w:p w14:paraId="39956C56">
            <w:pPr>
              <w:pStyle w:val="48"/>
              <w:keepNext w:val="0"/>
              <w:keepLines w:val="0"/>
              <w:pageBreakBefore w:val="0"/>
              <w:wordWrap/>
              <w:topLinePunct w:val="0"/>
              <w:autoSpaceDE w:val="0"/>
              <w:autoSpaceDN w:val="0"/>
              <w:bidi w:val="0"/>
              <w:adjustRightInd w:val="0"/>
              <w:snapToGrid/>
              <w:spacing w:beforeLines="0" w:afterLines="0" w:line="240" w:lineRule="auto"/>
              <w:ind w:firstLine="0" w:firstLineChars="0"/>
              <w:jc w:val="center"/>
              <w:rPr>
                <w:rFonts w:hint="default" w:ascii="Times New Roman" w:hAnsi="Times New Roman" w:cs="Times New Roman"/>
                <w:color w:val="auto"/>
                <w:sz w:val="21"/>
                <w:szCs w:val="21"/>
                <w:highlight w:val="none"/>
              </w:rPr>
            </w:pPr>
          </w:p>
        </w:tc>
        <w:tc>
          <w:tcPr>
            <w:tcW w:w="635" w:type="pct"/>
            <w:tcBorders>
              <w:tl2br w:val="nil"/>
              <w:tr2bl w:val="nil"/>
            </w:tcBorders>
            <w:noWrap w:val="0"/>
            <w:vAlign w:val="center"/>
          </w:tcPr>
          <w:p w14:paraId="415682E5">
            <w:pPr>
              <w:keepNext w:val="0"/>
              <w:keepLines w:val="0"/>
              <w:pageBreakBefore w:val="0"/>
              <w:widowControl/>
              <w:suppressLineNumbers w:val="0"/>
              <w:wordWrap/>
              <w:topLinePunct w:val="0"/>
              <w:autoSpaceDE w:val="0"/>
              <w:autoSpaceDN w:val="0"/>
              <w:bidi w:val="0"/>
              <w:adjustRightInd w:val="0"/>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53.67</w:t>
            </w:r>
          </w:p>
        </w:tc>
        <w:tc>
          <w:tcPr>
            <w:tcW w:w="505" w:type="pct"/>
            <w:tcBorders>
              <w:tl2br w:val="nil"/>
              <w:tr2bl w:val="nil"/>
            </w:tcBorders>
            <w:noWrap w:val="0"/>
            <w:vAlign w:val="center"/>
          </w:tcPr>
          <w:p w14:paraId="6FB6600C">
            <w:pPr>
              <w:pStyle w:val="48"/>
              <w:keepNext w:val="0"/>
              <w:keepLines w:val="0"/>
              <w:pageBreakBefore w:val="0"/>
              <w:wordWrap/>
              <w:topLinePunct w:val="0"/>
              <w:autoSpaceDE w:val="0"/>
              <w:autoSpaceDN w:val="0"/>
              <w:bidi w:val="0"/>
              <w:adjustRightInd w:val="0"/>
              <w:snapToGrid/>
              <w:spacing w:beforeLines="0" w:afterLines="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14:paraId="421C1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414" w:type="pct"/>
            <w:vMerge w:val="continue"/>
            <w:tcBorders>
              <w:tl2br w:val="nil"/>
              <w:tr2bl w:val="nil"/>
            </w:tcBorders>
            <w:noWrap w:val="0"/>
            <w:vAlign w:val="center"/>
          </w:tcPr>
          <w:p w14:paraId="5E6139C2">
            <w:pPr>
              <w:pStyle w:val="48"/>
              <w:keepNext w:val="0"/>
              <w:keepLines w:val="0"/>
              <w:pageBreakBefore w:val="0"/>
              <w:wordWrap/>
              <w:topLinePunct w:val="0"/>
              <w:autoSpaceDE w:val="0"/>
              <w:autoSpaceDN w:val="0"/>
              <w:bidi w:val="0"/>
              <w:adjustRightInd w:val="0"/>
              <w:snapToGrid/>
              <w:spacing w:beforeLines="0" w:afterLines="0" w:line="240" w:lineRule="auto"/>
              <w:ind w:firstLine="0" w:firstLineChars="0"/>
              <w:jc w:val="center"/>
              <w:rPr>
                <w:rFonts w:hint="default" w:ascii="Times New Roman" w:hAnsi="Times New Roman" w:cs="Times New Roman"/>
                <w:color w:val="auto"/>
                <w:sz w:val="21"/>
                <w:szCs w:val="21"/>
                <w:highlight w:val="none"/>
              </w:rPr>
            </w:pPr>
          </w:p>
        </w:tc>
        <w:tc>
          <w:tcPr>
            <w:tcW w:w="433" w:type="pct"/>
            <w:vMerge w:val="continue"/>
            <w:tcBorders>
              <w:tl2br w:val="nil"/>
              <w:tr2bl w:val="nil"/>
            </w:tcBorders>
            <w:noWrap w:val="0"/>
            <w:vAlign w:val="center"/>
          </w:tcPr>
          <w:p w14:paraId="1C52720D">
            <w:pPr>
              <w:pStyle w:val="48"/>
              <w:keepNext w:val="0"/>
              <w:keepLines w:val="0"/>
              <w:pageBreakBefore w:val="0"/>
              <w:wordWrap/>
              <w:topLinePunct w:val="0"/>
              <w:autoSpaceDE w:val="0"/>
              <w:autoSpaceDN w:val="0"/>
              <w:bidi w:val="0"/>
              <w:adjustRightInd w:val="0"/>
              <w:snapToGrid/>
              <w:spacing w:beforeLines="0" w:afterLines="0" w:line="240" w:lineRule="auto"/>
              <w:ind w:firstLine="0" w:firstLineChars="0"/>
              <w:jc w:val="center"/>
              <w:rPr>
                <w:rFonts w:hint="default" w:ascii="Times New Roman" w:hAnsi="Times New Roman" w:cs="Times New Roman"/>
                <w:color w:val="auto"/>
                <w:sz w:val="21"/>
                <w:szCs w:val="21"/>
                <w:highlight w:val="none"/>
              </w:rPr>
            </w:pPr>
          </w:p>
        </w:tc>
        <w:tc>
          <w:tcPr>
            <w:tcW w:w="1584" w:type="pct"/>
            <w:tcBorders>
              <w:tl2br w:val="nil"/>
              <w:tr2bl w:val="nil"/>
            </w:tcBorders>
            <w:noWrap w:val="0"/>
            <w:vAlign w:val="center"/>
          </w:tcPr>
          <w:p w14:paraId="4FE6CAD3">
            <w:pPr>
              <w:keepNext w:val="0"/>
              <w:keepLines w:val="0"/>
              <w:pageBreakBefore w:val="0"/>
              <w:widowControl/>
              <w:suppressLineNumbers w:val="0"/>
              <w:kinsoku/>
              <w:wordWrap/>
              <w:overflowPunct/>
              <w:topLinePunct w:val="0"/>
              <w:autoSpaceDE w:val="0"/>
              <w:autoSpaceDN w:val="0"/>
              <w:bidi w:val="0"/>
              <w:adjustRightInd w:val="0"/>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202</w:t>
            </w:r>
            <w:r>
              <w:rPr>
                <w:rFonts w:hint="default" w:ascii="Times New Roman" w:hAnsi="Times New Roman" w:cs="Times New Roman"/>
                <w:b w:val="0"/>
                <w:bCs w:val="0"/>
                <w:color w:val="auto"/>
                <w:sz w:val="21"/>
                <w:szCs w:val="21"/>
                <w:highlight w:val="none"/>
                <w:lang w:val="en-US" w:eastAsia="zh-CN"/>
              </w:rPr>
              <w:t>5</w:t>
            </w:r>
            <w:r>
              <w:rPr>
                <w:rFonts w:hint="default" w:ascii="Times New Roman" w:hAnsi="Times New Roman" w:eastAsia="宋体" w:cs="Times New Roman"/>
                <w:b w:val="0"/>
                <w:bCs w:val="0"/>
                <w:color w:val="auto"/>
                <w:sz w:val="21"/>
                <w:szCs w:val="21"/>
                <w:highlight w:val="none"/>
                <w:lang w:val="en-US" w:eastAsia="zh-CN"/>
              </w:rPr>
              <w:t>年</w:t>
            </w:r>
            <w:r>
              <w:rPr>
                <w:rFonts w:hint="default" w:ascii="Times New Roman" w:hAnsi="Times New Roman" w:cs="Times New Roman"/>
                <w:b w:val="0"/>
                <w:bCs w:val="0"/>
                <w:color w:val="auto"/>
                <w:sz w:val="21"/>
                <w:szCs w:val="21"/>
                <w:highlight w:val="none"/>
                <w:lang w:val="en-US" w:eastAsia="zh-CN"/>
              </w:rPr>
              <w:t>4</w:t>
            </w:r>
            <w:r>
              <w:rPr>
                <w:rFonts w:hint="default" w:ascii="Times New Roman" w:hAnsi="Times New Roman" w:eastAsia="宋体" w:cs="Times New Roman"/>
                <w:b w:val="0"/>
                <w:bCs w:val="0"/>
                <w:color w:val="auto"/>
                <w:sz w:val="21"/>
                <w:szCs w:val="21"/>
                <w:highlight w:val="none"/>
                <w:lang w:val="en-US" w:eastAsia="zh-CN"/>
              </w:rPr>
              <w:t>月1日</w:t>
            </w:r>
          </w:p>
        </w:tc>
        <w:tc>
          <w:tcPr>
            <w:tcW w:w="679" w:type="pct"/>
            <w:tcBorders>
              <w:tl2br w:val="nil"/>
              <w:tr2bl w:val="nil"/>
            </w:tcBorders>
            <w:noWrap w:val="0"/>
            <w:vAlign w:val="center"/>
          </w:tcPr>
          <w:p w14:paraId="5BC76C7D">
            <w:pPr>
              <w:keepNext w:val="0"/>
              <w:keepLines w:val="0"/>
              <w:pageBreakBefore w:val="0"/>
              <w:widowControl/>
              <w:suppressLineNumbers w:val="0"/>
              <w:kinsoku/>
              <w:wordWrap/>
              <w:overflowPunct/>
              <w:topLinePunct w:val="0"/>
              <w:autoSpaceDE w:val="0"/>
              <w:autoSpaceDN w:val="0"/>
              <w:bidi w:val="0"/>
              <w:adjustRightInd w:val="0"/>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182</w:t>
            </w:r>
          </w:p>
        </w:tc>
        <w:tc>
          <w:tcPr>
            <w:tcW w:w="746" w:type="pct"/>
            <w:vMerge w:val="continue"/>
            <w:tcBorders>
              <w:tl2br w:val="nil"/>
              <w:tr2bl w:val="nil"/>
            </w:tcBorders>
            <w:noWrap w:val="0"/>
            <w:vAlign w:val="center"/>
          </w:tcPr>
          <w:p w14:paraId="41D35F20">
            <w:pPr>
              <w:pStyle w:val="48"/>
              <w:keepNext w:val="0"/>
              <w:keepLines w:val="0"/>
              <w:pageBreakBefore w:val="0"/>
              <w:wordWrap/>
              <w:topLinePunct w:val="0"/>
              <w:autoSpaceDE w:val="0"/>
              <w:autoSpaceDN w:val="0"/>
              <w:bidi w:val="0"/>
              <w:adjustRightInd w:val="0"/>
              <w:snapToGrid/>
              <w:spacing w:beforeLines="0" w:afterLines="0" w:line="240" w:lineRule="auto"/>
              <w:ind w:firstLine="0" w:firstLineChars="0"/>
              <w:jc w:val="center"/>
              <w:rPr>
                <w:rFonts w:hint="default" w:ascii="Times New Roman" w:hAnsi="Times New Roman" w:cs="Times New Roman"/>
                <w:color w:val="auto"/>
                <w:sz w:val="21"/>
                <w:szCs w:val="21"/>
                <w:highlight w:val="none"/>
              </w:rPr>
            </w:pPr>
          </w:p>
        </w:tc>
        <w:tc>
          <w:tcPr>
            <w:tcW w:w="635" w:type="pct"/>
            <w:tcBorders>
              <w:tl2br w:val="nil"/>
              <w:tr2bl w:val="nil"/>
            </w:tcBorders>
            <w:noWrap w:val="0"/>
            <w:vAlign w:val="center"/>
          </w:tcPr>
          <w:p w14:paraId="7B2F0881">
            <w:pPr>
              <w:keepNext w:val="0"/>
              <w:keepLines w:val="0"/>
              <w:pageBreakBefore w:val="0"/>
              <w:widowControl/>
              <w:suppressLineNumbers w:val="0"/>
              <w:wordWrap/>
              <w:topLinePunct w:val="0"/>
              <w:autoSpaceDE w:val="0"/>
              <w:autoSpaceDN w:val="0"/>
              <w:bidi w:val="0"/>
              <w:adjustRightInd w:val="0"/>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60.67</w:t>
            </w:r>
          </w:p>
        </w:tc>
        <w:tc>
          <w:tcPr>
            <w:tcW w:w="505" w:type="pct"/>
            <w:tcBorders>
              <w:tl2br w:val="nil"/>
              <w:tr2bl w:val="nil"/>
            </w:tcBorders>
            <w:noWrap w:val="0"/>
            <w:vAlign w:val="center"/>
          </w:tcPr>
          <w:p w14:paraId="2D496742">
            <w:pPr>
              <w:pStyle w:val="48"/>
              <w:keepNext w:val="0"/>
              <w:keepLines w:val="0"/>
              <w:pageBreakBefore w:val="0"/>
              <w:wordWrap/>
              <w:topLinePunct w:val="0"/>
              <w:autoSpaceDE w:val="0"/>
              <w:autoSpaceDN w:val="0"/>
              <w:bidi w:val="0"/>
              <w:adjustRightInd w:val="0"/>
              <w:snapToGrid/>
              <w:spacing w:beforeLines="0" w:afterLines="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14:paraId="39365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exact"/>
        </w:trPr>
        <w:tc>
          <w:tcPr>
            <w:tcW w:w="414" w:type="pct"/>
            <w:vMerge w:val="continue"/>
            <w:tcBorders>
              <w:tl2br w:val="nil"/>
              <w:tr2bl w:val="nil"/>
            </w:tcBorders>
            <w:noWrap w:val="0"/>
            <w:vAlign w:val="center"/>
          </w:tcPr>
          <w:p w14:paraId="53C333C3">
            <w:pPr>
              <w:pStyle w:val="48"/>
              <w:keepNext w:val="0"/>
              <w:keepLines w:val="0"/>
              <w:pageBreakBefore w:val="0"/>
              <w:wordWrap/>
              <w:topLinePunct w:val="0"/>
              <w:autoSpaceDE w:val="0"/>
              <w:autoSpaceDN w:val="0"/>
              <w:bidi w:val="0"/>
              <w:adjustRightInd w:val="0"/>
              <w:snapToGrid/>
              <w:spacing w:beforeLines="0" w:afterLines="0" w:line="240" w:lineRule="auto"/>
              <w:ind w:firstLine="0" w:firstLineChars="0"/>
              <w:jc w:val="center"/>
              <w:rPr>
                <w:rFonts w:hint="default" w:ascii="Times New Roman" w:hAnsi="Times New Roman" w:cs="Times New Roman"/>
                <w:color w:val="auto"/>
                <w:sz w:val="21"/>
                <w:szCs w:val="21"/>
                <w:highlight w:val="none"/>
              </w:rPr>
            </w:pPr>
          </w:p>
        </w:tc>
        <w:tc>
          <w:tcPr>
            <w:tcW w:w="433" w:type="pct"/>
            <w:vMerge w:val="continue"/>
            <w:tcBorders>
              <w:tl2br w:val="nil"/>
              <w:tr2bl w:val="nil"/>
            </w:tcBorders>
            <w:noWrap w:val="0"/>
            <w:vAlign w:val="center"/>
          </w:tcPr>
          <w:p w14:paraId="04E2794D">
            <w:pPr>
              <w:pStyle w:val="48"/>
              <w:keepNext w:val="0"/>
              <w:keepLines w:val="0"/>
              <w:pageBreakBefore w:val="0"/>
              <w:wordWrap/>
              <w:topLinePunct w:val="0"/>
              <w:autoSpaceDE w:val="0"/>
              <w:autoSpaceDN w:val="0"/>
              <w:bidi w:val="0"/>
              <w:adjustRightInd w:val="0"/>
              <w:snapToGrid/>
              <w:spacing w:beforeLines="0" w:afterLines="0" w:line="240" w:lineRule="auto"/>
              <w:ind w:firstLine="0" w:firstLineChars="0"/>
              <w:jc w:val="center"/>
              <w:rPr>
                <w:rFonts w:hint="default" w:ascii="Times New Roman" w:hAnsi="Times New Roman" w:cs="Times New Roman"/>
                <w:color w:val="auto"/>
                <w:sz w:val="21"/>
                <w:szCs w:val="21"/>
                <w:highlight w:val="none"/>
              </w:rPr>
            </w:pPr>
          </w:p>
        </w:tc>
        <w:tc>
          <w:tcPr>
            <w:tcW w:w="1584" w:type="pct"/>
            <w:tcBorders>
              <w:tl2br w:val="nil"/>
              <w:tr2bl w:val="nil"/>
            </w:tcBorders>
            <w:noWrap w:val="0"/>
            <w:vAlign w:val="center"/>
          </w:tcPr>
          <w:p w14:paraId="445230BB">
            <w:pPr>
              <w:keepNext w:val="0"/>
              <w:keepLines w:val="0"/>
              <w:pageBreakBefore w:val="0"/>
              <w:widowControl/>
              <w:suppressLineNumbers w:val="0"/>
              <w:kinsoku/>
              <w:wordWrap/>
              <w:overflowPunct/>
              <w:topLinePunct w:val="0"/>
              <w:autoSpaceDE w:val="0"/>
              <w:autoSpaceDN w:val="0"/>
              <w:bidi w:val="0"/>
              <w:adjustRightInd w:val="0"/>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202</w:t>
            </w:r>
            <w:r>
              <w:rPr>
                <w:rFonts w:hint="default" w:ascii="Times New Roman" w:hAnsi="Times New Roman" w:cs="Times New Roman"/>
                <w:b w:val="0"/>
                <w:bCs w:val="0"/>
                <w:color w:val="auto"/>
                <w:sz w:val="21"/>
                <w:szCs w:val="21"/>
                <w:highlight w:val="none"/>
                <w:lang w:val="en-US" w:eastAsia="zh-CN"/>
              </w:rPr>
              <w:t>5</w:t>
            </w:r>
            <w:r>
              <w:rPr>
                <w:rFonts w:hint="default" w:ascii="Times New Roman" w:hAnsi="Times New Roman" w:eastAsia="宋体" w:cs="Times New Roman"/>
                <w:b w:val="0"/>
                <w:bCs w:val="0"/>
                <w:color w:val="auto"/>
                <w:sz w:val="21"/>
                <w:szCs w:val="21"/>
                <w:highlight w:val="none"/>
                <w:lang w:val="en-US" w:eastAsia="zh-CN"/>
              </w:rPr>
              <w:t>年4月2日</w:t>
            </w:r>
          </w:p>
        </w:tc>
        <w:tc>
          <w:tcPr>
            <w:tcW w:w="679" w:type="pct"/>
            <w:tcBorders>
              <w:tl2br w:val="nil"/>
              <w:tr2bl w:val="nil"/>
            </w:tcBorders>
            <w:noWrap w:val="0"/>
            <w:vAlign w:val="center"/>
          </w:tcPr>
          <w:p w14:paraId="0260B8AE">
            <w:pPr>
              <w:keepNext w:val="0"/>
              <w:keepLines w:val="0"/>
              <w:pageBreakBefore w:val="0"/>
              <w:widowControl/>
              <w:suppressLineNumbers w:val="0"/>
              <w:kinsoku/>
              <w:wordWrap/>
              <w:overflowPunct/>
              <w:topLinePunct w:val="0"/>
              <w:autoSpaceDE w:val="0"/>
              <w:autoSpaceDN w:val="0"/>
              <w:bidi w:val="0"/>
              <w:adjustRightInd w:val="0"/>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158</w:t>
            </w:r>
          </w:p>
        </w:tc>
        <w:tc>
          <w:tcPr>
            <w:tcW w:w="746" w:type="pct"/>
            <w:vMerge w:val="continue"/>
            <w:tcBorders>
              <w:tl2br w:val="nil"/>
              <w:tr2bl w:val="nil"/>
            </w:tcBorders>
            <w:noWrap w:val="0"/>
            <w:vAlign w:val="center"/>
          </w:tcPr>
          <w:p w14:paraId="60E245F8">
            <w:pPr>
              <w:pStyle w:val="48"/>
              <w:keepNext w:val="0"/>
              <w:keepLines w:val="0"/>
              <w:pageBreakBefore w:val="0"/>
              <w:wordWrap/>
              <w:topLinePunct w:val="0"/>
              <w:autoSpaceDE w:val="0"/>
              <w:autoSpaceDN w:val="0"/>
              <w:bidi w:val="0"/>
              <w:adjustRightInd w:val="0"/>
              <w:snapToGrid/>
              <w:spacing w:beforeLines="0" w:afterLines="0" w:line="240" w:lineRule="auto"/>
              <w:ind w:firstLine="0" w:firstLineChars="0"/>
              <w:jc w:val="center"/>
              <w:rPr>
                <w:rFonts w:hint="default" w:ascii="Times New Roman" w:hAnsi="Times New Roman" w:cs="Times New Roman"/>
                <w:color w:val="auto"/>
                <w:sz w:val="21"/>
                <w:szCs w:val="21"/>
                <w:highlight w:val="none"/>
              </w:rPr>
            </w:pPr>
          </w:p>
        </w:tc>
        <w:tc>
          <w:tcPr>
            <w:tcW w:w="635" w:type="pct"/>
            <w:tcBorders>
              <w:tl2br w:val="nil"/>
              <w:tr2bl w:val="nil"/>
            </w:tcBorders>
            <w:noWrap w:val="0"/>
            <w:vAlign w:val="center"/>
          </w:tcPr>
          <w:p w14:paraId="44950285">
            <w:pPr>
              <w:keepNext w:val="0"/>
              <w:keepLines w:val="0"/>
              <w:pageBreakBefore w:val="0"/>
              <w:widowControl/>
              <w:suppressLineNumbers w:val="0"/>
              <w:wordWrap/>
              <w:topLinePunct w:val="0"/>
              <w:autoSpaceDE w:val="0"/>
              <w:autoSpaceDN w:val="0"/>
              <w:bidi w:val="0"/>
              <w:adjustRightInd w:val="0"/>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52.67</w:t>
            </w:r>
          </w:p>
        </w:tc>
        <w:tc>
          <w:tcPr>
            <w:tcW w:w="505" w:type="pct"/>
            <w:tcBorders>
              <w:tl2br w:val="nil"/>
              <w:tr2bl w:val="nil"/>
            </w:tcBorders>
            <w:noWrap w:val="0"/>
            <w:vAlign w:val="center"/>
          </w:tcPr>
          <w:p w14:paraId="25326E62">
            <w:pPr>
              <w:pStyle w:val="48"/>
              <w:keepNext w:val="0"/>
              <w:keepLines w:val="0"/>
              <w:pageBreakBefore w:val="0"/>
              <w:wordWrap/>
              <w:topLinePunct w:val="0"/>
              <w:autoSpaceDE w:val="0"/>
              <w:autoSpaceDN w:val="0"/>
              <w:bidi w:val="0"/>
              <w:adjustRightInd w:val="0"/>
              <w:snapToGrid/>
              <w:spacing w:beforeLines="0" w:afterLines="0"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bl>
    <w:p w14:paraId="5FC9F17A">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sz w:val="24"/>
          <w:szCs w:val="24"/>
          <w:highlight w:val="none"/>
        </w:rPr>
        <w:t>表 4.3-</w:t>
      </w:r>
      <w:r>
        <w:rPr>
          <w:rFonts w:hint="eastAsia"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ab/>
      </w:r>
      <w:r>
        <w:rPr>
          <w:rFonts w:hint="default" w:ascii="Times New Roman" w:hAnsi="Times New Roman" w:cs="Times New Roman"/>
          <w:color w:val="auto"/>
          <w:highlight w:val="none"/>
        </w:rPr>
        <w:t>由上表可知，评价范围内补充监测TSP未出现超标情况，符合《环境空气质量标准》（GB3095-2012）二级标准要求。</w:t>
      </w:r>
    </w:p>
    <w:p w14:paraId="587A12DE">
      <w:pPr>
        <w:pStyle w:val="4"/>
        <w:bidi w:val="0"/>
        <w:rPr>
          <w:rFonts w:hint="default"/>
        </w:rPr>
      </w:pPr>
      <w:bookmarkStart w:id="227" w:name="4.3.2水环境质量现状调查与评价"/>
      <w:bookmarkEnd w:id="227"/>
      <w:bookmarkStart w:id="228" w:name="_Toc28959"/>
      <w:r>
        <w:rPr>
          <w:rFonts w:hint="default"/>
        </w:rPr>
        <w:t>水环境质量现状调查与评价</w:t>
      </w:r>
      <w:bookmarkEnd w:id="228"/>
    </w:p>
    <w:p w14:paraId="7EE5BA47">
      <w:pPr>
        <w:pStyle w:val="5"/>
        <w:bidi w:val="0"/>
        <w:rPr>
          <w:rFonts w:hint="default"/>
        </w:rPr>
      </w:pPr>
      <w:bookmarkStart w:id="229" w:name="4.3.2.1地表水"/>
      <w:bookmarkEnd w:id="229"/>
      <w:r>
        <w:rPr>
          <w:rFonts w:hint="default"/>
        </w:rPr>
        <w:t>地表水</w:t>
      </w:r>
    </w:p>
    <w:p w14:paraId="3C518696">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本项目生活污水经</w:t>
      </w:r>
      <w:r>
        <w:rPr>
          <w:rFonts w:hint="default" w:ascii="Times New Roman" w:hAnsi="Times New Roman" w:cs="Times New Roman"/>
          <w:color w:val="auto"/>
          <w:sz w:val="24"/>
          <w:szCs w:val="24"/>
          <w:highlight w:val="none"/>
          <w:lang w:val="en-US" w:eastAsia="zh-CN"/>
        </w:rPr>
        <w:t>地埋式</w:t>
      </w:r>
      <w:r>
        <w:rPr>
          <w:rFonts w:hint="default" w:ascii="Times New Roman" w:hAnsi="Times New Roman" w:cs="Times New Roman"/>
          <w:color w:val="auto"/>
          <w:sz w:val="24"/>
          <w:szCs w:val="24"/>
          <w:highlight w:val="none"/>
        </w:rPr>
        <w:t>一体化污水处理设施处理后，用于矿区降尘用水；生产废水经沉淀</w:t>
      </w:r>
      <w:r>
        <w:rPr>
          <w:rFonts w:hint="default" w:ascii="Times New Roman" w:hAnsi="Times New Roman" w:cs="Times New Roman"/>
          <w:color w:val="auto"/>
          <w:sz w:val="24"/>
          <w:szCs w:val="24"/>
          <w:highlight w:val="none"/>
          <w:lang w:val="en-US" w:eastAsia="zh-CN"/>
        </w:rPr>
        <w:t>池</w:t>
      </w:r>
      <w:r>
        <w:rPr>
          <w:rFonts w:hint="default" w:ascii="Times New Roman" w:hAnsi="Times New Roman" w:cs="Times New Roman"/>
          <w:color w:val="auto"/>
          <w:sz w:val="24"/>
          <w:szCs w:val="24"/>
          <w:highlight w:val="none"/>
        </w:rPr>
        <w:t>沉淀处理后循环利用，无废水外排。矿区周边无地表水，本项目不与地表水体发生直接的水力联系。根据《环境影响评价技术导则地表水环境》（HJ2.3-2018）中评价工作分级原则，建设项目生产工艺中有废水产生，但作为回水利用，不排放到外环境的，按照三级B评价，故本次评价未开展区域地表水环境现状调查与评价。</w:t>
      </w:r>
    </w:p>
    <w:p w14:paraId="21CBB267">
      <w:pPr>
        <w:pStyle w:val="5"/>
        <w:bidi w:val="0"/>
        <w:rPr>
          <w:rFonts w:hint="default"/>
        </w:rPr>
      </w:pPr>
      <w:bookmarkStart w:id="230" w:name="4.3.2.2地下水"/>
      <w:bookmarkEnd w:id="230"/>
      <w:r>
        <w:rPr>
          <w:rFonts w:hint="default"/>
        </w:rPr>
        <w:t>地下水</w:t>
      </w:r>
    </w:p>
    <w:p w14:paraId="34DBE950">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根据《环境影响评价技术导则 地下水环境》（HJ610-2016）附录A，本项目属于“J非金属采选及制品制造”中的“54、土砂石开采”，为IV类项目，根据导则要求，IV类项目不开展地下水环境影响评价。根据《矿产资源开发利用与生态保护修复方案》，</w:t>
      </w:r>
      <w:r>
        <w:rPr>
          <w:rFonts w:hint="default" w:ascii="Times New Roman" w:hAnsi="Times New Roman" w:cs="Times New Roman"/>
          <w:color w:val="auto"/>
          <w:sz w:val="24"/>
          <w:szCs w:val="24"/>
          <w:highlight w:val="none"/>
          <w:lang w:eastAsia="zh-CN"/>
        </w:rPr>
        <w:t>矿区西南角最低海拔</w:t>
      </w:r>
      <w:r>
        <w:rPr>
          <w:rFonts w:hint="default" w:ascii="Times New Roman" w:hAnsi="Times New Roman" w:cs="Times New Roman"/>
          <w:color w:val="auto"/>
          <w:sz w:val="24"/>
          <w:szCs w:val="24"/>
          <w:highlight w:val="none"/>
        </w:rPr>
        <w:t>为</w:t>
      </w:r>
      <w:r>
        <w:rPr>
          <w:rFonts w:hint="default" w:ascii="Times New Roman" w:hAnsi="Times New Roman" w:cs="Times New Roman"/>
          <w:caps/>
          <w:color w:val="auto"/>
          <w:sz w:val="24"/>
          <w:szCs w:val="24"/>
          <w:highlight w:val="none"/>
          <w:lang w:val="en-US" w:eastAsia="zh-CN"/>
        </w:rPr>
        <w:t>573</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lang w:val="en-US" w:eastAsia="zh-CN"/>
        </w:rPr>
        <w:t>已施工浅井9-4坑底标高573.65m未见地下水，</w:t>
      </w:r>
      <w:r>
        <w:rPr>
          <w:rFonts w:hint="default" w:ascii="Times New Roman" w:hAnsi="Times New Roman" w:cs="Times New Roman"/>
          <w:color w:val="auto"/>
          <w:sz w:val="24"/>
          <w:szCs w:val="24"/>
          <w:highlight w:val="none"/>
        </w:rPr>
        <w:t>本矿山预设最低开采标高</w:t>
      </w:r>
      <w:r>
        <w:rPr>
          <w:rFonts w:hint="default" w:ascii="Times New Roman" w:hAnsi="Times New Roman" w:cs="Times New Roman"/>
          <w:color w:val="auto"/>
          <w:sz w:val="24"/>
          <w:szCs w:val="24"/>
          <w:highlight w:val="none"/>
          <w:lang w:eastAsia="zh-CN"/>
        </w:rPr>
        <w:t>585</w:t>
      </w:r>
      <w:r>
        <w:rPr>
          <w:rFonts w:hint="default" w:ascii="Times New Roman" w:hAnsi="Times New Roman" w:cs="Times New Roman"/>
          <w:color w:val="auto"/>
          <w:sz w:val="24"/>
          <w:szCs w:val="24"/>
          <w:highlight w:val="none"/>
        </w:rPr>
        <w:t>m，故开采标高范围内无含水层分布。矿区无地表水径流，潜水埋藏较深，据收集王才川等（2018）关于《准噶尔盆地古尔班通古特沙漠地区水文地质特征及对石油开发的建议》研究的区域水文资料显示，矿区所在彩南地区地下水埋深在271～283m以下，标高在+400m左右，因此矿山开采对区域地下水环境影响较小。故本次评价未开展区域地下水环境现状调查与评价。</w:t>
      </w:r>
    </w:p>
    <w:p w14:paraId="6F718DC3">
      <w:pPr>
        <w:pStyle w:val="4"/>
        <w:bidi w:val="0"/>
        <w:rPr>
          <w:rFonts w:hint="default"/>
        </w:rPr>
      </w:pPr>
      <w:bookmarkStart w:id="231" w:name="4.3.3声环境质量现状评价"/>
      <w:bookmarkEnd w:id="231"/>
      <w:bookmarkStart w:id="232" w:name="_Toc2065"/>
      <w:r>
        <w:rPr>
          <w:rFonts w:hint="default"/>
        </w:rPr>
        <w:t>声环境质量现状评价</w:t>
      </w:r>
      <w:bookmarkEnd w:id="232"/>
    </w:p>
    <w:p w14:paraId="5E0BAC18">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本次评价采用实测法说明项目区声环境质量状况，由</w:t>
      </w:r>
      <w:r>
        <w:rPr>
          <w:rFonts w:hint="default" w:ascii="Times New Roman" w:hAnsi="Times New Roman" w:cs="Times New Roman"/>
          <w:color w:val="auto"/>
          <w:highlight w:val="none"/>
          <w:lang w:eastAsia="zh-CN"/>
        </w:rPr>
        <w:t>新疆锡水金山环境科技有限公司</w:t>
      </w:r>
      <w:r>
        <w:rPr>
          <w:rFonts w:hint="default" w:ascii="Times New Roman" w:hAnsi="Times New Roman" w:cs="Times New Roman"/>
          <w:color w:val="auto"/>
          <w:highlight w:val="none"/>
        </w:rPr>
        <w:t>于</w:t>
      </w:r>
      <w:r>
        <w:rPr>
          <w:rFonts w:hint="default" w:ascii="Times New Roman" w:hAnsi="Times New Roman" w:cs="Times New Roman"/>
          <w:color w:val="auto"/>
          <w:highlight w:val="none"/>
          <w:lang w:val="en-US" w:eastAsia="zh-CN"/>
        </w:rPr>
        <w:t>2025</w:t>
      </w:r>
      <w:r>
        <w:rPr>
          <w:rFonts w:hint="default" w:ascii="Times New Roman" w:hAnsi="Times New Roman" w:cs="Times New Roman"/>
          <w:color w:val="auto"/>
          <w:highlight w:val="none"/>
        </w:rPr>
        <w:t>年</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月</w:t>
      </w:r>
      <w:r>
        <w:rPr>
          <w:rFonts w:hint="default" w:ascii="Times New Roman" w:hAnsi="Times New Roman" w:cs="Times New Roman"/>
          <w:color w:val="auto"/>
          <w:highlight w:val="none"/>
          <w:lang w:val="en-US" w:eastAsia="zh-CN"/>
        </w:rPr>
        <w:t>27</w:t>
      </w:r>
      <w:r>
        <w:rPr>
          <w:rFonts w:hint="default" w:ascii="Times New Roman" w:hAnsi="Times New Roman" w:cs="Times New Roman"/>
          <w:color w:val="auto"/>
          <w:highlight w:val="none"/>
        </w:rPr>
        <w:t>日对</w:t>
      </w:r>
      <w:r>
        <w:rPr>
          <w:rFonts w:hint="eastAsia" w:cs="Times New Roman"/>
          <w:color w:val="auto"/>
          <w:highlight w:val="none"/>
          <w:lang w:eastAsia="zh-CN"/>
        </w:rPr>
        <w:t>新疆采虹矿业投资有限公司新疆阜康市北部沙漠天然石英砂矿（压裂用）项目</w:t>
      </w:r>
      <w:r>
        <w:rPr>
          <w:rFonts w:hint="default" w:ascii="Times New Roman" w:hAnsi="Times New Roman" w:cs="Times New Roman"/>
          <w:color w:val="auto"/>
          <w:highlight w:val="none"/>
        </w:rPr>
        <w:t>进行</w:t>
      </w:r>
      <w:r>
        <w:rPr>
          <w:rFonts w:hint="default" w:ascii="Times New Roman" w:hAnsi="Times New Roman" w:cs="Times New Roman"/>
          <w:color w:val="auto"/>
          <w:highlight w:val="none"/>
          <w:lang w:val="en-US" w:eastAsia="zh-CN"/>
        </w:rPr>
        <w:t>昼夜监测</w:t>
      </w:r>
      <w:r>
        <w:rPr>
          <w:rFonts w:hint="default" w:ascii="Times New Roman" w:hAnsi="Times New Roman" w:cs="Times New Roman"/>
          <w:color w:val="auto"/>
          <w:highlight w:val="none"/>
        </w:rPr>
        <w:t>。</w:t>
      </w:r>
    </w:p>
    <w:p w14:paraId="0CA91DA9">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（1）监测布点</w:t>
      </w:r>
    </w:p>
    <w:p w14:paraId="09131F31">
      <w:pPr>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噪声监测点在矿区边界</w:t>
      </w:r>
      <w:r>
        <w:rPr>
          <w:rFonts w:hint="default" w:ascii="Times New Roman" w:hAnsi="Times New Roman" w:cs="Times New Roman"/>
          <w:color w:val="auto"/>
          <w:highlight w:val="none"/>
          <w:lang w:val="en-US" w:eastAsia="zh-CN"/>
        </w:rPr>
        <w:t>东南西北侧外</w:t>
      </w:r>
      <w:r>
        <w:rPr>
          <w:rFonts w:hint="default" w:ascii="Times New Roman" w:hAnsi="Times New Roman" w:cs="Times New Roman"/>
          <w:color w:val="auto"/>
          <w:highlight w:val="none"/>
        </w:rPr>
        <w:t>1m各布设</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个噪声监测点，共布设</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个监测点位。</w:t>
      </w:r>
      <w:r>
        <w:rPr>
          <w:rFonts w:hint="default" w:ascii="Times New Roman" w:hAnsi="Times New Roman" w:cs="Times New Roman"/>
          <w:color w:val="auto"/>
          <w:highlight w:val="none"/>
          <w:lang w:val="en-US" w:eastAsia="zh-CN"/>
        </w:rPr>
        <w:t>监测布点图示意图见下图。</w:t>
      </w:r>
    </w:p>
    <w:p w14:paraId="3F524A43">
      <w:pPr>
        <w:spacing w:beforeLines="0" w:afterLines="0"/>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5045710" cy="2915920"/>
            <wp:effectExtent l="0" t="0" r="8890" b="5080"/>
            <wp:docPr id="4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
                    <pic:cNvPicPr>
                      <a:picLocks noChangeAspect="1"/>
                    </pic:cNvPicPr>
                  </pic:nvPicPr>
                  <pic:blipFill>
                    <a:blip r:embed="rId21"/>
                    <a:stretch>
                      <a:fillRect/>
                    </a:stretch>
                  </pic:blipFill>
                  <pic:spPr>
                    <a:xfrm>
                      <a:off x="0" y="0"/>
                      <a:ext cx="5045710" cy="2915920"/>
                    </a:xfrm>
                    <a:prstGeom prst="rect">
                      <a:avLst/>
                    </a:prstGeom>
                    <a:noFill/>
                    <a:ln>
                      <a:noFill/>
                    </a:ln>
                  </pic:spPr>
                </pic:pic>
              </a:graphicData>
            </a:graphic>
          </wp:inline>
        </w:drawing>
      </w:r>
    </w:p>
    <w:p w14:paraId="068CD623">
      <w:pPr>
        <w:spacing w:beforeLines="0" w:afterLine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图4.3-1   噪声监测布点示意图</w:t>
      </w:r>
    </w:p>
    <w:p w14:paraId="22BCB82F">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（2）监测项目</w:t>
      </w:r>
    </w:p>
    <w:p w14:paraId="4A48790F">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等效连续A声级（Leq）。</w:t>
      </w:r>
    </w:p>
    <w:p w14:paraId="7AF4F4EB">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（3）监测时间及频率</w:t>
      </w:r>
    </w:p>
    <w:p w14:paraId="2436E0C0">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监测1天，分昼间（6：00～22：00）、夜间（22：00～6：00）进行。</w:t>
      </w:r>
    </w:p>
    <w:p w14:paraId="16C85057">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（4）监测方法</w:t>
      </w:r>
    </w:p>
    <w:p w14:paraId="57247B6E">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监测分析方法和测量仪器按《声环境质量标准》（GB/T14623-2008）中有关规定和《声学环境噪声的描述、测量与评价第1部分：基本参量与评价方法》（GB/T3222.1-2006）、《声学环境噪声的描述、测量与评价第2部分：环境噪声级的测定》（GB/T3222.2-2009）中要求的方法执行，监测同时记录周围环境特征和主要噪声源等相关信息。</w:t>
      </w:r>
    </w:p>
    <w:p w14:paraId="3AF09E56">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（5）评价标准</w:t>
      </w:r>
    </w:p>
    <w:p w14:paraId="44831176">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执行《声环境质量标准》（GB3096-2008）中2类区标准。</w:t>
      </w:r>
    </w:p>
    <w:p w14:paraId="16571761">
      <w:pPr>
        <w:numPr>
          <w:ilvl w:val="0"/>
          <w:numId w:val="0"/>
        </w:numPr>
        <w:bidi w:val="0"/>
        <w:ind w:leftChars="20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监测结果</w:t>
      </w:r>
    </w:p>
    <w:p w14:paraId="214C4C7D">
      <w:pPr>
        <w:numPr>
          <w:ilvl w:val="0"/>
          <w:numId w:val="0"/>
        </w:numPr>
        <w:bidi w:val="0"/>
        <w:ind w:leftChars="200" w:firstLine="240" w:firstLineChars="100"/>
        <w:rPr>
          <w:rFonts w:hint="default" w:ascii="Times New Roman" w:hAnsi="Times New Roman" w:cs="Times New Roman"/>
          <w:color w:val="auto"/>
          <w:highlight w:val="none"/>
        </w:rPr>
      </w:pPr>
      <w:r>
        <w:rPr>
          <w:rFonts w:hint="default" w:ascii="Times New Roman" w:hAnsi="Times New Roman" w:cs="Times New Roman"/>
          <w:color w:val="auto"/>
          <w:highlight w:val="none"/>
        </w:rPr>
        <w:t>噪声监测及评价结果见</w:t>
      </w:r>
      <w:r>
        <w:rPr>
          <w:rFonts w:hint="default" w:ascii="Times New Roman" w:hAnsi="Times New Roman" w:cs="Times New Roman"/>
          <w:color w:val="auto"/>
          <w:highlight w:val="none"/>
          <w:lang w:val="en-US" w:eastAsia="zh-CN"/>
        </w:rPr>
        <w:t>洗</w:t>
      </w:r>
      <w:r>
        <w:rPr>
          <w:rFonts w:hint="default" w:ascii="Times New Roman" w:hAnsi="Times New Roman" w:cs="Times New Roman"/>
          <w:color w:val="auto"/>
          <w:highlight w:val="none"/>
        </w:rPr>
        <w:t>表。</w:t>
      </w:r>
    </w:p>
    <w:p w14:paraId="1F97B9AC">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表 4.3-</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t>声环境现状监测与评价结果</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t>单位：dB（A）</w:t>
      </w:r>
    </w:p>
    <w:tbl>
      <w:tblPr>
        <w:tblStyle w:val="31"/>
        <w:tblW w:w="0" w:type="auto"/>
        <w:tblInd w:w="2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7"/>
        <w:gridCol w:w="1044"/>
        <w:gridCol w:w="1046"/>
        <w:gridCol w:w="1809"/>
        <w:gridCol w:w="1011"/>
        <w:gridCol w:w="1082"/>
        <w:gridCol w:w="1838"/>
      </w:tblGrid>
      <w:tr w14:paraId="4B177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3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324FA3B">
            <w:pPr>
              <w:pStyle w:val="48"/>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监测点</w:t>
            </w:r>
          </w:p>
        </w:tc>
        <w:tc>
          <w:tcPr>
            <w:tcW w:w="104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48D16B4">
            <w:pPr>
              <w:pStyle w:val="48"/>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监测</w:t>
            </w:r>
          </w:p>
          <w:p w14:paraId="5A87A763">
            <w:pPr>
              <w:pStyle w:val="48"/>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时间</w:t>
            </w:r>
          </w:p>
        </w:tc>
        <w:tc>
          <w:tcPr>
            <w:tcW w:w="104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ECF3E61">
            <w:pPr>
              <w:pStyle w:val="48"/>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标准</w:t>
            </w:r>
          </w:p>
        </w:tc>
        <w:tc>
          <w:tcPr>
            <w:tcW w:w="180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B881DD6">
            <w:pPr>
              <w:pStyle w:val="48"/>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监测结果</w:t>
            </w:r>
          </w:p>
        </w:tc>
        <w:tc>
          <w:tcPr>
            <w:tcW w:w="101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A9048EB">
            <w:pPr>
              <w:pStyle w:val="48"/>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监测</w:t>
            </w:r>
          </w:p>
          <w:p w14:paraId="1BB63508">
            <w:pPr>
              <w:pStyle w:val="48"/>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时间</w:t>
            </w:r>
          </w:p>
        </w:tc>
        <w:tc>
          <w:tcPr>
            <w:tcW w:w="108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6C3EFE6">
            <w:pPr>
              <w:pStyle w:val="48"/>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标准</w:t>
            </w:r>
          </w:p>
        </w:tc>
        <w:tc>
          <w:tcPr>
            <w:tcW w:w="183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F8BE19B">
            <w:pPr>
              <w:pStyle w:val="48"/>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监测结果</w:t>
            </w:r>
          </w:p>
        </w:tc>
      </w:tr>
      <w:tr w14:paraId="75A5D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3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9A46D5F">
            <w:pPr>
              <w:pStyle w:val="48"/>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c>
          <w:tcPr>
            <w:tcW w:w="1044"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7A9144A5">
            <w:pPr>
              <w:pStyle w:val="48"/>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昼间</w:t>
            </w:r>
          </w:p>
        </w:tc>
        <w:tc>
          <w:tcPr>
            <w:tcW w:w="1046"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26AF22AE">
            <w:pPr>
              <w:pStyle w:val="48"/>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60</w:t>
            </w:r>
          </w:p>
        </w:tc>
        <w:tc>
          <w:tcPr>
            <w:tcW w:w="180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73B5B15">
            <w:pPr>
              <w:pStyle w:val="48"/>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41</w:t>
            </w:r>
          </w:p>
        </w:tc>
        <w:tc>
          <w:tcPr>
            <w:tcW w:w="1011"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54D4FF00">
            <w:pPr>
              <w:pStyle w:val="48"/>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夜间</w:t>
            </w:r>
          </w:p>
        </w:tc>
        <w:tc>
          <w:tcPr>
            <w:tcW w:w="1082"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5209B942">
            <w:pPr>
              <w:pStyle w:val="48"/>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50</w:t>
            </w:r>
          </w:p>
        </w:tc>
        <w:tc>
          <w:tcPr>
            <w:tcW w:w="183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560DBAC">
            <w:pPr>
              <w:pStyle w:val="48"/>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39</w:t>
            </w:r>
          </w:p>
        </w:tc>
      </w:tr>
      <w:tr w14:paraId="57327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3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509A930">
            <w:pPr>
              <w:pStyle w:val="48"/>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2#</w:t>
            </w:r>
          </w:p>
        </w:tc>
        <w:tc>
          <w:tcPr>
            <w:tcW w:w="1044"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50B06335">
            <w:pPr>
              <w:pStyle w:val="48"/>
              <w:bidi w:val="0"/>
              <w:jc w:val="center"/>
              <w:rPr>
                <w:rFonts w:hint="default" w:ascii="Times New Roman" w:hAnsi="Times New Roman" w:cs="Times New Roman"/>
                <w:color w:val="auto"/>
                <w:highlight w:val="none"/>
              </w:rPr>
            </w:pPr>
          </w:p>
        </w:tc>
        <w:tc>
          <w:tcPr>
            <w:tcW w:w="1046"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1C5DED49">
            <w:pPr>
              <w:pStyle w:val="48"/>
              <w:bidi w:val="0"/>
              <w:jc w:val="center"/>
              <w:rPr>
                <w:rFonts w:hint="default" w:ascii="Times New Roman" w:hAnsi="Times New Roman" w:cs="Times New Roman"/>
                <w:color w:val="auto"/>
                <w:highlight w:val="none"/>
              </w:rPr>
            </w:pPr>
          </w:p>
        </w:tc>
        <w:tc>
          <w:tcPr>
            <w:tcW w:w="180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A1F3D2F">
            <w:pPr>
              <w:pStyle w:val="48"/>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41</w:t>
            </w:r>
          </w:p>
        </w:tc>
        <w:tc>
          <w:tcPr>
            <w:tcW w:w="101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7370716">
            <w:pPr>
              <w:pStyle w:val="48"/>
              <w:bidi w:val="0"/>
              <w:jc w:val="center"/>
              <w:rPr>
                <w:rFonts w:hint="default" w:ascii="Times New Roman" w:hAnsi="Times New Roman" w:cs="Times New Roman"/>
                <w:color w:val="auto"/>
                <w:highlight w:val="none"/>
              </w:rPr>
            </w:pPr>
          </w:p>
        </w:tc>
        <w:tc>
          <w:tcPr>
            <w:tcW w:w="108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34E8EFA">
            <w:pPr>
              <w:pStyle w:val="48"/>
              <w:bidi w:val="0"/>
              <w:jc w:val="center"/>
              <w:rPr>
                <w:rFonts w:hint="default" w:ascii="Times New Roman" w:hAnsi="Times New Roman" w:cs="Times New Roman"/>
                <w:color w:val="auto"/>
                <w:highlight w:val="none"/>
              </w:rPr>
            </w:pPr>
          </w:p>
        </w:tc>
        <w:tc>
          <w:tcPr>
            <w:tcW w:w="183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D24202B">
            <w:pPr>
              <w:pStyle w:val="48"/>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39</w:t>
            </w:r>
          </w:p>
        </w:tc>
      </w:tr>
      <w:tr w14:paraId="2BB85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3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229FDC3">
            <w:pPr>
              <w:pStyle w:val="48"/>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3#</w:t>
            </w:r>
          </w:p>
        </w:tc>
        <w:tc>
          <w:tcPr>
            <w:tcW w:w="1044"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5EC96A87">
            <w:pPr>
              <w:pStyle w:val="48"/>
              <w:bidi w:val="0"/>
              <w:jc w:val="center"/>
              <w:rPr>
                <w:rFonts w:hint="default" w:ascii="Times New Roman" w:hAnsi="Times New Roman" w:cs="Times New Roman"/>
                <w:color w:val="auto"/>
                <w:highlight w:val="none"/>
              </w:rPr>
            </w:pPr>
          </w:p>
        </w:tc>
        <w:tc>
          <w:tcPr>
            <w:tcW w:w="1046"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348FEED8">
            <w:pPr>
              <w:pStyle w:val="48"/>
              <w:bidi w:val="0"/>
              <w:jc w:val="center"/>
              <w:rPr>
                <w:rFonts w:hint="default" w:ascii="Times New Roman" w:hAnsi="Times New Roman" w:cs="Times New Roman"/>
                <w:color w:val="auto"/>
                <w:highlight w:val="none"/>
              </w:rPr>
            </w:pPr>
          </w:p>
        </w:tc>
        <w:tc>
          <w:tcPr>
            <w:tcW w:w="180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A9EF377">
            <w:pPr>
              <w:pStyle w:val="48"/>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42</w:t>
            </w:r>
          </w:p>
        </w:tc>
        <w:tc>
          <w:tcPr>
            <w:tcW w:w="101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3AEC2879">
            <w:pPr>
              <w:pStyle w:val="48"/>
              <w:bidi w:val="0"/>
              <w:jc w:val="center"/>
              <w:rPr>
                <w:rFonts w:hint="default" w:ascii="Times New Roman" w:hAnsi="Times New Roman" w:cs="Times New Roman"/>
                <w:color w:val="auto"/>
                <w:highlight w:val="none"/>
              </w:rPr>
            </w:pPr>
          </w:p>
        </w:tc>
        <w:tc>
          <w:tcPr>
            <w:tcW w:w="108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5012B256">
            <w:pPr>
              <w:pStyle w:val="48"/>
              <w:bidi w:val="0"/>
              <w:jc w:val="center"/>
              <w:rPr>
                <w:rFonts w:hint="default" w:ascii="Times New Roman" w:hAnsi="Times New Roman" w:cs="Times New Roman"/>
                <w:color w:val="auto"/>
                <w:highlight w:val="none"/>
              </w:rPr>
            </w:pPr>
          </w:p>
        </w:tc>
        <w:tc>
          <w:tcPr>
            <w:tcW w:w="183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01A5E98">
            <w:pPr>
              <w:pStyle w:val="48"/>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39</w:t>
            </w:r>
          </w:p>
        </w:tc>
      </w:tr>
      <w:tr w14:paraId="6302B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3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CD396B0">
            <w:pPr>
              <w:pStyle w:val="48"/>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4#</w:t>
            </w:r>
          </w:p>
        </w:tc>
        <w:tc>
          <w:tcPr>
            <w:tcW w:w="1044"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054DA1B8">
            <w:pPr>
              <w:pStyle w:val="48"/>
              <w:bidi w:val="0"/>
              <w:jc w:val="center"/>
              <w:rPr>
                <w:rFonts w:hint="default" w:ascii="Times New Roman" w:hAnsi="Times New Roman" w:cs="Times New Roman"/>
                <w:color w:val="auto"/>
                <w:highlight w:val="none"/>
              </w:rPr>
            </w:pPr>
          </w:p>
        </w:tc>
        <w:tc>
          <w:tcPr>
            <w:tcW w:w="1046"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0DE5D754">
            <w:pPr>
              <w:pStyle w:val="48"/>
              <w:bidi w:val="0"/>
              <w:jc w:val="center"/>
              <w:rPr>
                <w:rFonts w:hint="default" w:ascii="Times New Roman" w:hAnsi="Times New Roman" w:cs="Times New Roman"/>
                <w:color w:val="auto"/>
                <w:highlight w:val="none"/>
              </w:rPr>
            </w:pPr>
          </w:p>
        </w:tc>
        <w:tc>
          <w:tcPr>
            <w:tcW w:w="180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069E62E">
            <w:pPr>
              <w:pStyle w:val="48"/>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41</w:t>
            </w:r>
          </w:p>
        </w:tc>
        <w:tc>
          <w:tcPr>
            <w:tcW w:w="101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4F4253E">
            <w:pPr>
              <w:pStyle w:val="48"/>
              <w:bidi w:val="0"/>
              <w:jc w:val="center"/>
              <w:rPr>
                <w:rFonts w:hint="default" w:ascii="Times New Roman" w:hAnsi="Times New Roman" w:cs="Times New Roman"/>
                <w:color w:val="auto"/>
                <w:highlight w:val="none"/>
              </w:rPr>
            </w:pPr>
          </w:p>
        </w:tc>
        <w:tc>
          <w:tcPr>
            <w:tcW w:w="108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30619282">
            <w:pPr>
              <w:pStyle w:val="48"/>
              <w:bidi w:val="0"/>
              <w:jc w:val="center"/>
              <w:rPr>
                <w:rFonts w:hint="default" w:ascii="Times New Roman" w:hAnsi="Times New Roman" w:cs="Times New Roman"/>
                <w:color w:val="auto"/>
                <w:highlight w:val="none"/>
              </w:rPr>
            </w:pPr>
          </w:p>
        </w:tc>
        <w:tc>
          <w:tcPr>
            <w:tcW w:w="183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01E9BA5">
            <w:pPr>
              <w:pStyle w:val="48"/>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40</w:t>
            </w:r>
          </w:p>
        </w:tc>
      </w:tr>
    </w:tbl>
    <w:p w14:paraId="38A6B99C">
      <w:pPr>
        <w:pStyle w:val="14"/>
        <w:kinsoku w:val="0"/>
        <w:overflowPunct w:val="0"/>
        <w:spacing w:before="7" w:beforeLines="0" w:afterLines="0"/>
        <w:ind w:left="0"/>
        <w:rPr>
          <w:rFonts w:hint="default" w:ascii="Times New Roman" w:hAnsi="Times New Roman" w:cs="Times New Roman"/>
          <w:b/>
          <w:color w:val="auto"/>
          <w:sz w:val="8"/>
          <w:szCs w:val="24"/>
          <w:highlight w:val="none"/>
        </w:rPr>
      </w:pPr>
    </w:p>
    <w:p w14:paraId="0C25DAAE">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由监测结果表明，矿区边界昼间噪声值为</w:t>
      </w:r>
      <w:r>
        <w:rPr>
          <w:rFonts w:hint="default" w:ascii="Times New Roman" w:hAnsi="Times New Roman" w:cs="Times New Roman"/>
          <w:color w:val="auto"/>
          <w:highlight w:val="none"/>
          <w:lang w:val="en-US" w:eastAsia="zh-CN"/>
        </w:rPr>
        <w:t>41-42</w:t>
      </w:r>
      <w:r>
        <w:rPr>
          <w:rFonts w:hint="default" w:ascii="Times New Roman" w:hAnsi="Times New Roman" w:cs="Times New Roman"/>
          <w:color w:val="auto"/>
          <w:highlight w:val="none"/>
        </w:rPr>
        <w:t>dB（A），夜间噪声值为</w:t>
      </w:r>
      <w:r>
        <w:rPr>
          <w:rFonts w:hint="default" w:ascii="Times New Roman" w:hAnsi="Times New Roman" w:cs="Times New Roman"/>
          <w:color w:val="auto"/>
          <w:highlight w:val="none"/>
          <w:lang w:val="en-US" w:eastAsia="zh-CN"/>
        </w:rPr>
        <w:t>39-40</w:t>
      </w:r>
      <w:r>
        <w:rPr>
          <w:rFonts w:hint="default" w:ascii="Times New Roman" w:hAnsi="Times New Roman" w:cs="Times New Roman"/>
          <w:color w:val="auto"/>
          <w:highlight w:val="none"/>
        </w:rPr>
        <w:t>dB（A），均满足《声环境质量标准》（GB3096-2008）2类标准，声环境质量较好。</w:t>
      </w:r>
    </w:p>
    <w:p w14:paraId="0995BF73">
      <w:pPr>
        <w:pStyle w:val="4"/>
        <w:bidi w:val="0"/>
        <w:rPr>
          <w:rFonts w:hint="default"/>
        </w:rPr>
      </w:pPr>
      <w:bookmarkStart w:id="233" w:name="4.3.4生态环境质量现状调查与评价"/>
      <w:bookmarkEnd w:id="233"/>
      <w:bookmarkStart w:id="234" w:name="_Toc28040"/>
      <w:r>
        <w:rPr>
          <w:rFonts w:hint="default"/>
        </w:rPr>
        <w:t>生态环境质量现状调查与评价</w:t>
      </w:r>
      <w:bookmarkEnd w:id="234"/>
    </w:p>
    <w:p w14:paraId="5903576D">
      <w:pPr>
        <w:rPr>
          <w:rFonts w:hint="default" w:eastAsia="宋体"/>
          <w:color w:val="auto"/>
          <w:highlight w:val="none"/>
          <w:lang w:val="en-US" w:eastAsia="zh-CN"/>
        </w:rPr>
      </w:pPr>
      <w:r>
        <w:rPr>
          <w:rFonts w:hint="eastAsia"/>
          <w:color w:val="auto"/>
          <w:highlight w:val="none"/>
          <w:lang w:val="en-US" w:eastAsia="zh-CN"/>
        </w:rPr>
        <w:t>本项目生态系统类型属于草地生态系统，见附图4.3-6。</w:t>
      </w:r>
    </w:p>
    <w:p w14:paraId="6750E9A3">
      <w:pPr>
        <w:pStyle w:val="5"/>
        <w:bidi w:val="0"/>
        <w:rPr>
          <w:rFonts w:hint="default"/>
        </w:rPr>
      </w:pPr>
      <w:bookmarkStart w:id="235" w:name="4.3.4.1生态功能区划"/>
      <w:bookmarkEnd w:id="235"/>
      <w:r>
        <w:rPr>
          <w:rFonts w:hint="default"/>
        </w:rPr>
        <w:t>生态功能区划</w:t>
      </w:r>
    </w:p>
    <w:p w14:paraId="7FE49454">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位于阜康市行政区划内。根据《新疆生态功能区划》，新疆的生态功能区划分为生态区、生态亚区、生态功能区三级分区系统。本项目在新疆境内“Ⅱ准噶尔盆地温性荒漠与绿洲农业生态区，Ⅱ3准噶尔盆地中部固定、半固定沙漠生态亚区，23．古尔班通古特沙漠化敏感及植被保护生态功能区”。</w:t>
      </w:r>
    </w:p>
    <w:p w14:paraId="0736875C">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本项目在新疆生态功能区的位置见</w:t>
      </w:r>
      <w:r>
        <w:rPr>
          <w:rFonts w:hint="default" w:ascii="Times New Roman" w:hAnsi="Times New Roman" w:cs="Times New Roman"/>
          <w:color w:val="auto"/>
          <w:sz w:val="24"/>
          <w:szCs w:val="24"/>
          <w:highlight w:val="none"/>
          <w:lang w:val="en-US" w:eastAsia="zh-CN"/>
        </w:rPr>
        <w:t>附</w:t>
      </w:r>
      <w:r>
        <w:rPr>
          <w:rFonts w:hint="default" w:ascii="Times New Roman" w:hAnsi="Times New Roman" w:cs="Times New Roman"/>
          <w:color w:val="auto"/>
          <w:sz w:val="24"/>
          <w:szCs w:val="24"/>
          <w:highlight w:val="none"/>
        </w:rPr>
        <w:t>图4.3-2及表4.3-</w:t>
      </w:r>
      <w:r>
        <w:rPr>
          <w:rFonts w:hint="default"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w:t>
      </w:r>
    </w:p>
    <w:p w14:paraId="3E7DDCB7">
      <w:pPr>
        <w:pStyle w:val="45"/>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表4.3-</w:t>
      </w:r>
      <w:r>
        <w:rPr>
          <w:rFonts w:hint="default" w:ascii="Times New Roman" w:hAnsi="Times New Roman" w:cs="Times New Roman"/>
          <w:color w:val="auto"/>
          <w:sz w:val="24"/>
          <w:szCs w:val="24"/>
          <w:highlight w:val="none"/>
          <w:lang w:val="en-US" w:eastAsia="zh-CN"/>
        </w:rPr>
        <w:t xml:space="preserve">5   </w:t>
      </w:r>
      <w:r>
        <w:rPr>
          <w:rFonts w:hint="default" w:ascii="Times New Roman" w:hAnsi="Times New Roman" w:cs="Times New Roman"/>
          <w:color w:val="auto"/>
          <w:sz w:val="24"/>
          <w:szCs w:val="24"/>
          <w:highlight w:val="none"/>
        </w:rPr>
        <w:t>项目所在区域生态功能区划特征表</w:t>
      </w:r>
    </w:p>
    <w:tbl>
      <w:tblPr>
        <w:tblStyle w:val="31"/>
        <w:tblW w:w="0" w:type="auto"/>
        <w:tblInd w:w="2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84"/>
        <w:gridCol w:w="1491"/>
        <w:gridCol w:w="6308"/>
      </w:tblGrid>
      <w:tr w14:paraId="6D37F1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184"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DA36F5D">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生态功能分区单元</w:t>
            </w:r>
          </w:p>
        </w:tc>
        <w:tc>
          <w:tcPr>
            <w:tcW w:w="14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46B248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生态区</w:t>
            </w:r>
          </w:p>
        </w:tc>
        <w:tc>
          <w:tcPr>
            <w:tcW w:w="630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901B427">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Ⅱ准噶尔盆地温性荒漠与绿洲农业生态区</w:t>
            </w:r>
          </w:p>
        </w:tc>
      </w:tr>
      <w:tr w14:paraId="18DA9D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18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301920">
            <w:pPr>
              <w:pStyle w:val="48"/>
              <w:spacing w:beforeLines="0" w:afterLines="0"/>
              <w:rPr>
                <w:rFonts w:hint="default" w:ascii="Times New Roman" w:hAnsi="Times New Roman" w:cs="Times New Roman"/>
                <w:color w:val="auto"/>
                <w:sz w:val="24"/>
                <w:szCs w:val="24"/>
                <w:highlight w:val="none"/>
              </w:rPr>
            </w:pPr>
          </w:p>
        </w:tc>
        <w:tc>
          <w:tcPr>
            <w:tcW w:w="14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F8E007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生态亚区</w:t>
            </w:r>
          </w:p>
        </w:tc>
        <w:tc>
          <w:tcPr>
            <w:tcW w:w="630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816721E">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Ⅱ3 准噶尔盆地中部固定、半固定沙漠生态亚区</w:t>
            </w:r>
          </w:p>
        </w:tc>
      </w:tr>
      <w:tr w14:paraId="550F56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18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5749847E">
            <w:pPr>
              <w:pStyle w:val="48"/>
              <w:spacing w:beforeLines="0" w:afterLines="0"/>
              <w:rPr>
                <w:rFonts w:hint="default" w:ascii="Times New Roman" w:hAnsi="Times New Roman" w:cs="Times New Roman"/>
                <w:color w:val="auto"/>
                <w:sz w:val="24"/>
                <w:szCs w:val="24"/>
                <w:highlight w:val="none"/>
              </w:rPr>
            </w:pPr>
          </w:p>
        </w:tc>
        <w:tc>
          <w:tcPr>
            <w:tcW w:w="14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3A3F26B">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生态功能区</w:t>
            </w:r>
          </w:p>
        </w:tc>
        <w:tc>
          <w:tcPr>
            <w:tcW w:w="630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4E8588B">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23．古尔班通古特沙漠化敏感及植被保护生态功能区</w:t>
            </w:r>
          </w:p>
        </w:tc>
      </w:tr>
      <w:tr w14:paraId="33E1D0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267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9089075">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隶属行政区</w:t>
            </w:r>
          </w:p>
        </w:tc>
        <w:tc>
          <w:tcPr>
            <w:tcW w:w="630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C198B0E">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阜康市</w:t>
            </w:r>
          </w:p>
        </w:tc>
      </w:tr>
      <w:tr w14:paraId="57F284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267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8C3EAD4">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主要生态服务功能</w:t>
            </w:r>
          </w:p>
        </w:tc>
        <w:tc>
          <w:tcPr>
            <w:tcW w:w="630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637D58">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沙漠化控制、生物多样性维护</w:t>
            </w:r>
          </w:p>
        </w:tc>
      </w:tr>
      <w:tr w14:paraId="68866D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267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6DB43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主要生态环境问题</w:t>
            </w:r>
          </w:p>
        </w:tc>
        <w:tc>
          <w:tcPr>
            <w:tcW w:w="630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5AF48FC">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人为干扰范围扩大、工程建设引起沙漠植被破坏、鼠害严重、植被退化、沙漠化构成对南缘绿洲的威胁</w:t>
            </w:r>
          </w:p>
        </w:tc>
      </w:tr>
      <w:tr w14:paraId="0D2F57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267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0B37384">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主要生态敏感因子、敏感程度</w:t>
            </w:r>
          </w:p>
        </w:tc>
        <w:tc>
          <w:tcPr>
            <w:tcW w:w="630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71D067">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生物多样性及其生境高度敏感，土地沙漠化极度敏感，土壤侵蚀高度敏感、土壤盐渍化轻度敏感</w:t>
            </w:r>
          </w:p>
        </w:tc>
      </w:tr>
      <w:tr w14:paraId="7F025D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267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ED5E8A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主要保护目标</w:t>
            </w:r>
          </w:p>
        </w:tc>
        <w:tc>
          <w:tcPr>
            <w:tcW w:w="630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8502A3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保护沙漠植被、防止沙丘活化</w:t>
            </w:r>
          </w:p>
        </w:tc>
      </w:tr>
      <w:tr w14:paraId="3B7E25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267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9CE8F7">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主要保护措施</w:t>
            </w:r>
          </w:p>
        </w:tc>
        <w:tc>
          <w:tcPr>
            <w:tcW w:w="630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E97C66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对沙漠边缘流动沙丘、活化沙地进行封沙育林、退耕还林（草），禁止憔采和放牧，禁止开荒</w:t>
            </w:r>
          </w:p>
        </w:tc>
      </w:tr>
      <w:tr w14:paraId="15B3AB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267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A23093D">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适宜发展方向</w:t>
            </w:r>
          </w:p>
        </w:tc>
        <w:tc>
          <w:tcPr>
            <w:tcW w:w="630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EB14BE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维护固定、半固定沙漠景观与植被，治理活化沙丘，遏制蔓延</w:t>
            </w:r>
          </w:p>
        </w:tc>
      </w:tr>
    </w:tbl>
    <w:p w14:paraId="3B2F2D77">
      <w:pPr>
        <w:pStyle w:val="14"/>
        <w:kinsoku w:val="0"/>
        <w:overflowPunct w:val="0"/>
        <w:spacing w:before="7" w:beforeLines="0" w:afterLines="0"/>
        <w:ind w:left="0"/>
        <w:rPr>
          <w:rFonts w:hint="default" w:ascii="Times New Roman" w:hAnsi="Times New Roman" w:cs="Times New Roman"/>
          <w:b/>
          <w:color w:val="auto"/>
          <w:sz w:val="11"/>
          <w:szCs w:val="24"/>
          <w:highlight w:val="none"/>
        </w:rPr>
      </w:pPr>
    </w:p>
    <w:p w14:paraId="634B9BD2">
      <w:pPr>
        <w:pStyle w:val="5"/>
        <w:bidi w:val="0"/>
        <w:rPr>
          <w:rFonts w:hint="default"/>
        </w:rPr>
      </w:pPr>
      <w:bookmarkStart w:id="236" w:name="4.3.4.2土地利用类型"/>
      <w:bookmarkEnd w:id="236"/>
      <w:r>
        <w:rPr>
          <w:rFonts w:hint="default"/>
        </w:rPr>
        <w:t>土地利用类型</w:t>
      </w:r>
    </w:p>
    <w:p w14:paraId="6A5945DB">
      <w:pPr>
        <w:bidi w:val="0"/>
        <w:rPr>
          <w:rFonts w:hint="default" w:ascii="Times New Roman" w:hAnsi="Times New Roman" w:cs="Times New Roman"/>
          <w:color w:val="auto"/>
          <w:highlight w:val="none"/>
          <w:lang w:val="en-US"/>
        </w:rPr>
      </w:pPr>
      <w:r>
        <w:rPr>
          <w:rFonts w:hint="default" w:ascii="Times New Roman" w:hAnsi="Times New Roman" w:cs="Times New Roman"/>
          <w:color w:val="auto"/>
          <w:sz w:val="24"/>
          <w:szCs w:val="24"/>
          <w:highlight w:val="none"/>
        </w:rPr>
        <w:t>根据区域土地利用现状图及现场调查结果，矿区范围内土地为天然牧草地。</w:t>
      </w:r>
      <w:r>
        <w:rPr>
          <w:rFonts w:hint="eastAsia" w:cs="Times New Roman"/>
          <w:color w:val="auto"/>
          <w:sz w:val="24"/>
          <w:szCs w:val="24"/>
          <w:highlight w:val="none"/>
          <w:lang w:val="en-US" w:eastAsia="zh-CN"/>
        </w:rPr>
        <w:t>根据</w:t>
      </w:r>
      <w:r>
        <w:rPr>
          <w:rFonts w:hint="eastAsia" w:ascii="宋体" w:hAnsi="宋体" w:eastAsia="宋体" w:cs="宋体"/>
          <w:b w:val="0"/>
          <w:bCs w:val="0"/>
          <w:color w:val="FF0000"/>
          <w:kern w:val="0"/>
          <w:sz w:val="24"/>
          <w:szCs w:val="24"/>
          <w:highlight w:val="none"/>
          <w:lang w:val="en-US" w:eastAsia="zh-CN" w:bidi="ar-SA"/>
        </w:rPr>
        <w:t>《土地利用现状分类》（GB/T 21010-2017）</w:t>
      </w:r>
      <w:r>
        <w:rPr>
          <w:rFonts w:hint="eastAsia" w:ascii="宋体" w:hAnsi="宋体" w:cs="宋体"/>
          <w:b w:val="0"/>
          <w:bCs w:val="0"/>
          <w:color w:val="FF0000"/>
          <w:kern w:val="0"/>
          <w:sz w:val="24"/>
          <w:szCs w:val="24"/>
          <w:highlight w:val="none"/>
          <w:lang w:val="en-US" w:eastAsia="zh-CN" w:bidi="ar-SA"/>
        </w:rPr>
        <w:t>，本项目土地利用类型为0401 天然牧草地。</w:t>
      </w:r>
      <w:r>
        <w:rPr>
          <w:rFonts w:hint="default" w:ascii="Times New Roman" w:hAnsi="Times New Roman" w:cs="Times New Roman"/>
          <w:color w:val="auto"/>
          <w:sz w:val="24"/>
          <w:szCs w:val="24"/>
          <w:highlight w:val="none"/>
        </w:rPr>
        <w:t>本矿山为新建矿山，各设施均未建设。</w:t>
      </w:r>
      <w:r>
        <w:rPr>
          <w:rFonts w:hint="default" w:ascii="Times New Roman" w:hAnsi="Times New Roman" w:cs="Times New Roman"/>
          <w:color w:val="FF0000"/>
          <w:sz w:val="24"/>
          <w:szCs w:val="24"/>
          <w:highlight w:val="none"/>
        </w:rPr>
        <w:t>本项目划定矿区范围面积</w:t>
      </w:r>
      <w:r>
        <w:rPr>
          <w:rFonts w:hint="default" w:ascii="Times New Roman" w:hAnsi="Times New Roman" w:cs="Times New Roman"/>
          <w:color w:val="FF0000"/>
          <w:sz w:val="24"/>
          <w:szCs w:val="24"/>
          <w:highlight w:val="none"/>
          <w:lang w:eastAsia="zh-CN"/>
        </w:rPr>
        <w:t>1.0366km</w:t>
      </w:r>
      <w:r>
        <w:rPr>
          <w:rFonts w:hint="default" w:ascii="Times New Roman" w:hAnsi="Times New Roman" w:cs="Times New Roman"/>
          <w:color w:val="FF0000"/>
          <w:sz w:val="24"/>
          <w:szCs w:val="24"/>
          <w:highlight w:val="none"/>
          <w:vertAlign w:val="superscript"/>
          <w:lang w:eastAsia="zh-CN"/>
        </w:rPr>
        <w:t>2</w:t>
      </w:r>
      <w:r>
        <w:rPr>
          <w:rFonts w:hint="eastAsia" w:cs="Times New Roman"/>
          <w:color w:val="FF0000"/>
          <w:sz w:val="24"/>
          <w:szCs w:val="24"/>
          <w:highlight w:val="none"/>
          <w:vertAlign w:val="baseline"/>
          <w:lang w:eastAsia="zh-CN"/>
        </w:rPr>
        <w:t>，</w:t>
      </w:r>
      <w:r>
        <w:rPr>
          <w:rFonts w:hint="eastAsia" w:cs="Times New Roman"/>
          <w:color w:val="FF0000"/>
          <w:sz w:val="24"/>
          <w:szCs w:val="24"/>
          <w:highlight w:val="none"/>
          <w:vertAlign w:val="baseline"/>
          <w:lang w:val="en-US" w:eastAsia="zh-CN"/>
        </w:rPr>
        <w:t>目前建设单位正在办理草地占用手续，本环评要求建设单位完成草地占用补偿手续后，方可开工建设。</w:t>
      </w:r>
    </w:p>
    <w:p w14:paraId="0C127C4B">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矿区土地利用现状图4.3-3。</w:t>
      </w:r>
    </w:p>
    <w:p w14:paraId="49961E99">
      <w:pPr>
        <w:pStyle w:val="5"/>
        <w:bidi w:val="0"/>
        <w:rPr>
          <w:rFonts w:hint="default"/>
        </w:rPr>
      </w:pPr>
      <w:bookmarkStart w:id="237" w:name="4.3.4.3土壤类型"/>
      <w:bookmarkEnd w:id="237"/>
      <w:r>
        <w:rPr>
          <w:rFonts w:hint="default"/>
        </w:rPr>
        <w:t>土壤类型</w:t>
      </w:r>
    </w:p>
    <w:p w14:paraId="3A904C40">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矿区位于准噶尔盆地沙漠腹地，海拔</w:t>
      </w:r>
      <w:r>
        <w:rPr>
          <w:rFonts w:hint="default" w:ascii="Times New Roman" w:hAnsi="Times New Roman" w:cs="Times New Roman"/>
          <w:color w:val="auto"/>
          <w:highlight w:val="none"/>
          <w:lang w:val="en-US" w:eastAsia="zh-CN"/>
        </w:rPr>
        <w:t>573</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623</w:t>
      </w:r>
      <w:r>
        <w:rPr>
          <w:rFonts w:hint="default" w:ascii="Times New Roman" w:hAnsi="Times New Roman" w:cs="Times New Roman"/>
          <w:color w:val="auto"/>
          <w:highlight w:val="none"/>
        </w:rPr>
        <w:t>米，涉及二级地类为天然牧草地。矿区土壤是在北温带大陆性干旱条件下形成的荒漠化土壤，土壤类型为粉砂土，成土母质多为砂壤土，地表有耐旱植被生长。从土壤剖面上看，表层0.2m为腐殖层；其下部为钙积层，厚度约2m，粉砂状，偶见有白点状盐分和石膏小晶簇，碱性较大，含沙量高，有机质含量低，不适宜植物生长；最下部为风积砂层，与钙积层渐变过渡。土壤类型图见图4.3-</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w:t>
      </w:r>
    </w:p>
    <w:p w14:paraId="433591B1">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现场调查土层较厚，有效土层约0.20m，质地一般较细，</w:t>
      </w:r>
      <w:r>
        <w:rPr>
          <w:rFonts w:hint="default" w:ascii="Times New Roman" w:hAnsi="Times New Roman" w:cs="Times New Roman"/>
          <w:color w:val="auto"/>
          <w:sz w:val="24"/>
          <w:szCs w:val="24"/>
          <w:highlight w:val="none"/>
          <w:lang w:val="en-US" w:eastAsia="zh-CN"/>
        </w:rPr>
        <w:t>砂</w:t>
      </w:r>
      <w:r>
        <w:rPr>
          <w:rFonts w:hint="default" w:ascii="Times New Roman" w:hAnsi="Times New Roman" w:cs="Times New Roman"/>
          <w:color w:val="auto"/>
          <w:sz w:val="24"/>
          <w:szCs w:val="24"/>
          <w:highlight w:val="none"/>
        </w:rPr>
        <w:t>砾石含量</w:t>
      </w:r>
      <w:r>
        <w:rPr>
          <w:rFonts w:hint="default" w:ascii="Times New Roman" w:hAnsi="Times New Roman" w:cs="Times New Roman"/>
          <w:color w:val="auto"/>
          <w:sz w:val="24"/>
          <w:szCs w:val="24"/>
          <w:highlight w:val="none"/>
          <w:lang w:val="en-US" w:eastAsia="zh-CN"/>
        </w:rPr>
        <w:t>9</w:t>
      </w:r>
      <w:r>
        <w:rPr>
          <w:rFonts w:hint="default" w:ascii="Times New Roman" w:hAnsi="Times New Roman" w:cs="Times New Roman"/>
          <w:color w:val="auto"/>
          <w:sz w:val="24"/>
          <w:szCs w:val="24"/>
          <w:highlight w:val="none"/>
        </w:rPr>
        <w:t>0％，土壤容重</w:t>
      </w:r>
      <w:r>
        <w:rPr>
          <w:rFonts w:hint="default" w:ascii="Times New Roman" w:hAnsi="Times New Roman" w:cs="Times New Roman"/>
          <w:color w:val="auto"/>
          <w:sz w:val="24"/>
          <w:szCs w:val="24"/>
          <w:highlight w:val="none"/>
          <w:lang w:val="en-US" w:eastAsia="zh-CN"/>
        </w:rPr>
        <w:t>1.28</w:t>
      </w:r>
      <w:r>
        <w:rPr>
          <w:rFonts w:hint="default" w:ascii="Times New Roman" w:hAnsi="Times New Roman" w:cs="Times New Roman"/>
          <w:color w:val="auto"/>
          <w:sz w:val="24"/>
          <w:szCs w:val="24"/>
          <w:highlight w:val="none"/>
        </w:rPr>
        <w:t>g/cm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w:t>
      </w:r>
    </w:p>
    <w:p w14:paraId="7B9472F0">
      <w:pPr>
        <w:pStyle w:val="5"/>
        <w:bidi w:val="0"/>
        <w:rPr>
          <w:rFonts w:hint="default"/>
        </w:rPr>
      </w:pPr>
      <w:bookmarkStart w:id="238" w:name="4.3.4.4植被现状调查与评价"/>
      <w:bookmarkEnd w:id="238"/>
      <w:r>
        <w:rPr>
          <w:rFonts w:hint="default"/>
        </w:rPr>
        <w:t>植被现状调查与评价</w:t>
      </w:r>
    </w:p>
    <w:p w14:paraId="71AD5D50">
      <w:pPr>
        <w:numPr>
          <w:ilvl w:val="0"/>
          <w:numId w:val="33"/>
        </w:num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调查与评价方法</w:t>
      </w:r>
    </w:p>
    <w:p w14:paraId="20710E9F">
      <w:pPr>
        <w:numPr>
          <w:ilvl w:val="0"/>
          <w:numId w:val="0"/>
        </w:numPr>
        <w:spacing w:beforeLines="0" w:afterLines="0"/>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本次评价植被现状调查与评价采用实地调查与遥感影像解译相结合的方法。</w:t>
      </w:r>
    </w:p>
    <w:p w14:paraId="693AB919">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①调查方法</w:t>
      </w:r>
    </w:p>
    <w:p w14:paraId="2DFFAE7F">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根据《环境影响评价技术导则 生态影响》（HJ19</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2022）中附录B，本次评价采用资料收集法、现场调查法和遥感调查法相结合的方法，调查评价范围内植被生长分布状况及主要群落类型特征，包括植被高度、盖度、密度、物种数量等。</w:t>
      </w:r>
    </w:p>
    <w:p w14:paraId="19198ACA">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②生态制图</w:t>
      </w:r>
    </w:p>
    <w:p w14:paraId="0AA15E8B">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采用RS、GPS、GIS相结合的空间信息技术，利用ENVI对项目区域遥感影响进行植被类型的数字化判读，完成数字化的植被类型图，进行生态环境质量的定性和定量评价，植被类型见图4.3-</w:t>
      </w:r>
      <w:r>
        <w:rPr>
          <w:rFonts w:hint="default"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w:t>
      </w:r>
    </w:p>
    <w:p w14:paraId="3B21D315">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③样方设置</w:t>
      </w:r>
    </w:p>
    <w:p w14:paraId="4B856D4C">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根据《环境影响评价技术导则 生态影响》（HJ19</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rPr>
        <w:t>2022），二级评价每种群落类型的样方不少于3个，根据项目区植被类型图可知本项目评价范围内植被型为荒漠类草原，本项目样方设置以“典型性”和“整体性”为原则，共设置3个样方。</w:t>
      </w:r>
    </w:p>
    <w:p w14:paraId="27073C38">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④评价</w:t>
      </w:r>
    </w:p>
    <w:p w14:paraId="00421A25">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根据现场调查结合植被解译对评价区、项目区植被类型进行分析，对该区域植被特征进行整体评价。</w:t>
      </w:r>
    </w:p>
    <w:p w14:paraId="64F277E3">
      <w:pPr>
        <w:numPr>
          <w:ilvl w:val="0"/>
          <w:numId w:val="32"/>
        </w:numPr>
        <w:spacing w:beforeLines="0" w:afterLines="0"/>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区域植被类型及分布</w:t>
      </w:r>
    </w:p>
    <w:p w14:paraId="43845243">
      <w:pPr>
        <w:numPr>
          <w:ilvl w:val="0"/>
          <w:numId w:val="0"/>
        </w:numPr>
        <w:spacing w:beforeLines="0" w:afterLines="0"/>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位于古尔班通古特沙漠，古尔班通古特沙漠是欧亚大陆腹地接近于极旱荒漠的沙漠，植物区系上和植被上居于亚洲中部沙漠到哈萨克斯坦沙漠的过渡，但它本身具有一些独特的区系成分和群落，可以与准噶尔盆地的其它荒漠一道作为独立的植物地理区划分出来，而与亚洲中部荒漠、哈萨克斯坦荒漠、中亚荒漠等并列。如白梭梭群落在古尔班通古特沙漠最占优势，整个沙漠绝大部分为白梭梭群落所覆盖。梭梭群落仅分布于丘坡下部和具不同性质土壤的丘间地。此外，古尔班通古特沙漠尚有红杆沙拐枣、蛇麻黄、驼绒藜、地白蒿、沙蒿、短叶假木贼等群落和准噶尔无叶豆、羽毛三芒草、巨麦草等群聚，共9个主要群落和3个重要群聚。</w:t>
      </w:r>
    </w:p>
    <w:p w14:paraId="7992F3AB">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古尔班通古特沙漠本身并不均一，它分异成为三个主要部分：西南区、东南区和北部区。每一区各有自己的标志区系成分和代表的群落组合。沙拐枣的不同种类最可作为标志：西南区以艾比沙拐枣为标志，东南区以蒙古沙拐枣为标志，北部区以红杆沙拐枣为标志。</w:t>
      </w:r>
    </w:p>
    <w:p w14:paraId="296C406D">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古尔班通古特沙漠主要植物见表4.3-</w:t>
      </w:r>
      <w:r>
        <w:rPr>
          <w:rFonts w:hint="default" w:ascii="Times New Roman" w:hAnsi="Times New Roman" w:cs="Times New Roman"/>
          <w:color w:val="auto"/>
          <w:sz w:val="24"/>
          <w:szCs w:val="24"/>
          <w:highlight w:val="none"/>
          <w:lang w:val="en-US" w:eastAsia="zh-CN"/>
        </w:rPr>
        <w:t>6</w:t>
      </w:r>
      <w:r>
        <w:rPr>
          <w:rFonts w:hint="default" w:ascii="Times New Roman" w:hAnsi="Times New Roman" w:cs="Times New Roman"/>
          <w:color w:val="auto"/>
          <w:sz w:val="24"/>
          <w:szCs w:val="24"/>
          <w:highlight w:val="none"/>
        </w:rPr>
        <w:t>。</w:t>
      </w:r>
    </w:p>
    <w:p w14:paraId="71303A50">
      <w:pPr>
        <w:pStyle w:val="45"/>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表4.3-</w:t>
      </w:r>
      <w:r>
        <w:rPr>
          <w:rFonts w:hint="default" w:ascii="Times New Roman" w:hAnsi="Times New Roman" w:cs="Times New Roman"/>
          <w:color w:val="auto"/>
          <w:sz w:val="24"/>
          <w:szCs w:val="24"/>
          <w:highlight w:val="none"/>
          <w:lang w:val="en-US" w:eastAsia="zh-CN"/>
        </w:rPr>
        <w:t xml:space="preserve">6   </w:t>
      </w:r>
      <w:r>
        <w:rPr>
          <w:rFonts w:hint="default" w:ascii="Times New Roman" w:hAnsi="Times New Roman" w:cs="Times New Roman"/>
          <w:color w:val="auto"/>
          <w:sz w:val="24"/>
          <w:szCs w:val="24"/>
          <w:highlight w:val="none"/>
        </w:rPr>
        <w:t>古尔班通古特沙漠主要植物一览表</w:t>
      </w:r>
    </w:p>
    <w:tbl>
      <w:tblPr>
        <w:tblStyle w:val="31"/>
        <w:tblW w:w="0" w:type="auto"/>
        <w:tblInd w:w="2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10"/>
        <w:gridCol w:w="1826"/>
        <w:gridCol w:w="6136"/>
      </w:tblGrid>
      <w:tr w14:paraId="636F1B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3661256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序号</w:t>
            </w:r>
          </w:p>
        </w:tc>
        <w:tc>
          <w:tcPr>
            <w:tcW w:w="182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57643CC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中文名</w:t>
            </w:r>
          </w:p>
        </w:tc>
        <w:tc>
          <w:tcPr>
            <w:tcW w:w="613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1F5DF046">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拉丁学名</w:t>
            </w:r>
          </w:p>
        </w:tc>
      </w:tr>
      <w:tr w14:paraId="22F053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48A4796E">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一</w:t>
            </w:r>
          </w:p>
        </w:tc>
        <w:tc>
          <w:tcPr>
            <w:tcW w:w="7962" w:type="dxa"/>
            <w:gridSpan w:val="2"/>
            <w:tcBorders>
              <w:top w:val="single" w:color="000000" w:sz="4" w:space="0"/>
              <w:left w:val="single" w:color="000000" w:sz="4" w:space="0"/>
              <w:bottom w:val="single" w:color="000000" w:sz="4" w:space="0"/>
              <w:right w:val="single" w:color="000000" w:sz="4" w:space="0"/>
              <w:tl2br w:val="nil"/>
              <w:tr2bl w:val="nil"/>
            </w:tcBorders>
            <w:noWrap w:val="0"/>
            <w:vAlign w:val="top"/>
          </w:tcPr>
          <w:p w14:paraId="18A9C6E1">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藜科</w:t>
            </w:r>
          </w:p>
        </w:tc>
      </w:tr>
      <w:tr w14:paraId="11FF4C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2A9A02FA">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w:t>
            </w:r>
          </w:p>
        </w:tc>
        <w:tc>
          <w:tcPr>
            <w:tcW w:w="182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57AB2DA3">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心叶驼绒藜</w:t>
            </w:r>
          </w:p>
        </w:tc>
        <w:tc>
          <w:tcPr>
            <w:tcW w:w="613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3E817D81">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Ceratoides ewersmanniana</w:t>
            </w:r>
          </w:p>
        </w:tc>
      </w:tr>
      <w:tr w14:paraId="62E3CB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4F826E5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w:t>
            </w:r>
          </w:p>
        </w:tc>
        <w:tc>
          <w:tcPr>
            <w:tcW w:w="182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324EF8EB">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梭梭</w:t>
            </w:r>
          </w:p>
        </w:tc>
        <w:tc>
          <w:tcPr>
            <w:tcW w:w="613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452D3584">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Haloxylon ammodendron</w:t>
            </w:r>
          </w:p>
        </w:tc>
      </w:tr>
      <w:tr w14:paraId="4F831A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388DB6AB">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w:t>
            </w:r>
          </w:p>
        </w:tc>
        <w:tc>
          <w:tcPr>
            <w:tcW w:w="182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61CACA9E">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白梭梭</w:t>
            </w:r>
          </w:p>
        </w:tc>
        <w:tc>
          <w:tcPr>
            <w:tcW w:w="613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3DFED58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Haloxylon persicum</w:t>
            </w:r>
          </w:p>
        </w:tc>
      </w:tr>
      <w:tr w14:paraId="1C41A7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7B3BF995">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w:t>
            </w:r>
          </w:p>
        </w:tc>
        <w:tc>
          <w:tcPr>
            <w:tcW w:w="182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4BEBE7D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沙蓬</w:t>
            </w:r>
          </w:p>
        </w:tc>
        <w:tc>
          <w:tcPr>
            <w:tcW w:w="613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6DE5466A">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Agriophyllum squarrosum</w:t>
            </w:r>
          </w:p>
        </w:tc>
      </w:tr>
      <w:tr w14:paraId="336434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4DDB3B1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5</w:t>
            </w:r>
          </w:p>
        </w:tc>
        <w:tc>
          <w:tcPr>
            <w:tcW w:w="182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3016A70B">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钠猪毛菜</w:t>
            </w:r>
          </w:p>
        </w:tc>
        <w:tc>
          <w:tcPr>
            <w:tcW w:w="613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5B8913EE">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Salsola nitraria</w:t>
            </w:r>
          </w:p>
        </w:tc>
      </w:tr>
      <w:tr w14:paraId="550463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327FADE3">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6</w:t>
            </w:r>
          </w:p>
        </w:tc>
        <w:tc>
          <w:tcPr>
            <w:tcW w:w="182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1CCE6785">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长刺猪毛菜</w:t>
            </w:r>
          </w:p>
        </w:tc>
        <w:tc>
          <w:tcPr>
            <w:tcW w:w="613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63D8BB15">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Salsola paulsenii</w:t>
            </w:r>
          </w:p>
        </w:tc>
      </w:tr>
      <w:tr w14:paraId="01FB69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58A5ED7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7</w:t>
            </w:r>
          </w:p>
        </w:tc>
        <w:tc>
          <w:tcPr>
            <w:tcW w:w="182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6D1F6055">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早熟猪毛菜</w:t>
            </w:r>
          </w:p>
        </w:tc>
        <w:tc>
          <w:tcPr>
            <w:tcW w:w="613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0AEF308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Salsola praecox</w:t>
            </w:r>
          </w:p>
        </w:tc>
      </w:tr>
      <w:tr w14:paraId="04F28B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6BE2DD07">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8</w:t>
            </w:r>
          </w:p>
        </w:tc>
        <w:tc>
          <w:tcPr>
            <w:tcW w:w="182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29898293">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刺沙蓬</w:t>
            </w:r>
          </w:p>
        </w:tc>
        <w:tc>
          <w:tcPr>
            <w:tcW w:w="613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18AD6CC3">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Salsola ruthenica</w:t>
            </w:r>
          </w:p>
        </w:tc>
      </w:tr>
      <w:tr w14:paraId="321487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7F9192E8">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9</w:t>
            </w:r>
          </w:p>
        </w:tc>
        <w:tc>
          <w:tcPr>
            <w:tcW w:w="182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5618A726">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碱蓬</w:t>
            </w:r>
          </w:p>
        </w:tc>
        <w:tc>
          <w:tcPr>
            <w:tcW w:w="613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1F70CED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Suaeda glauca</w:t>
            </w:r>
          </w:p>
        </w:tc>
      </w:tr>
      <w:tr w14:paraId="787409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057B239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10</w:t>
            </w:r>
          </w:p>
        </w:tc>
        <w:tc>
          <w:tcPr>
            <w:tcW w:w="182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4182E97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小叶碱蓬</w:t>
            </w:r>
          </w:p>
        </w:tc>
        <w:tc>
          <w:tcPr>
            <w:tcW w:w="613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5212AC76">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Suaeda microphylla</w:t>
            </w:r>
          </w:p>
        </w:tc>
      </w:tr>
      <w:tr w14:paraId="5F108A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256F944C">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11</w:t>
            </w:r>
          </w:p>
        </w:tc>
        <w:tc>
          <w:tcPr>
            <w:tcW w:w="182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5F3021E6">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对节刺</w:t>
            </w:r>
          </w:p>
        </w:tc>
        <w:tc>
          <w:tcPr>
            <w:tcW w:w="613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09B95613">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Horaninowia ulicina</w:t>
            </w:r>
          </w:p>
        </w:tc>
      </w:tr>
      <w:tr w14:paraId="686F23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06651893">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12</w:t>
            </w:r>
          </w:p>
        </w:tc>
        <w:tc>
          <w:tcPr>
            <w:tcW w:w="182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7154B96E">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叉毛蓬</w:t>
            </w:r>
          </w:p>
        </w:tc>
        <w:tc>
          <w:tcPr>
            <w:tcW w:w="613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29F726B4">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Petrosimonia sibirica</w:t>
            </w:r>
          </w:p>
        </w:tc>
      </w:tr>
      <w:tr w14:paraId="4D5ACC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488042DC">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13</w:t>
            </w:r>
          </w:p>
        </w:tc>
        <w:tc>
          <w:tcPr>
            <w:tcW w:w="182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7DAFE3F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灰绿藜</w:t>
            </w:r>
          </w:p>
        </w:tc>
        <w:tc>
          <w:tcPr>
            <w:tcW w:w="613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2114391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Chenopodium glaucum</w:t>
            </w:r>
          </w:p>
        </w:tc>
      </w:tr>
      <w:tr w14:paraId="7EDAD6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48F6EFC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14</w:t>
            </w:r>
          </w:p>
        </w:tc>
        <w:tc>
          <w:tcPr>
            <w:tcW w:w="182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4518287A">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尖翅地肤</w:t>
            </w:r>
          </w:p>
        </w:tc>
        <w:tc>
          <w:tcPr>
            <w:tcW w:w="613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1744D96A">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Kochia odontoptera</w:t>
            </w:r>
          </w:p>
        </w:tc>
      </w:tr>
      <w:tr w14:paraId="4AEF51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5F2B401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15</w:t>
            </w:r>
          </w:p>
        </w:tc>
        <w:tc>
          <w:tcPr>
            <w:tcW w:w="182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5047A616">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伊朗地肤</w:t>
            </w:r>
          </w:p>
        </w:tc>
        <w:tc>
          <w:tcPr>
            <w:tcW w:w="613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7CE33A01">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Kochia iranica</w:t>
            </w:r>
          </w:p>
        </w:tc>
      </w:tr>
      <w:tr w14:paraId="4C13EB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52C1974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16</w:t>
            </w:r>
          </w:p>
        </w:tc>
        <w:tc>
          <w:tcPr>
            <w:tcW w:w="182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44E35224">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角果藜</w:t>
            </w:r>
          </w:p>
        </w:tc>
        <w:tc>
          <w:tcPr>
            <w:tcW w:w="613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209C7414">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Ceratocarpus arenarius</w:t>
            </w:r>
          </w:p>
        </w:tc>
      </w:tr>
      <w:tr w14:paraId="240201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0771826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17</w:t>
            </w:r>
          </w:p>
        </w:tc>
        <w:tc>
          <w:tcPr>
            <w:tcW w:w="182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3F3D2F36">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犁苞滨藜</w:t>
            </w:r>
          </w:p>
        </w:tc>
        <w:tc>
          <w:tcPr>
            <w:tcW w:w="613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3C9787C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Atriplex dimorphostegia</w:t>
            </w:r>
          </w:p>
        </w:tc>
      </w:tr>
      <w:tr w14:paraId="3D81F7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3B8F666E">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18</w:t>
            </w:r>
          </w:p>
        </w:tc>
        <w:tc>
          <w:tcPr>
            <w:tcW w:w="182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3560D36E">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雾冰藜</w:t>
            </w:r>
          </w:p>
        </w:tc>
        <w:tc>
          <w:tcPr>
            <w:tcW w:w="613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7092FCE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Bassia dasyphylla</w:t>
            </w:r>
          </w:p>
        </w:tc>
      </w:tr>
      <w:tr w14:paraId="5AC897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047BB6B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19</w:t>
            </w:r>
          </w:p>
        </w:tc>
        <w:tc>
          <w:tcPr>
            <w:tcW w:w="182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40E52DC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倒披针叶虫实</w:t>
            </w:r>
          </w:p>
        </w:tc>
        <w:tc>
          <w:tcPr>
            <w:tcW w:w="613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472D91F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Corispermum lehmannianum</w:t>
            </w:r>
          </w:p>
        </w:tc>
      </w:tr>
      <w:tr w14:paraId="22622E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5B53B1CB">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20</w:t>
            </w:r>
          </w:p>
        </w:tc>
        <w:tc>
          <w:tcPr>
            <w:tcW w:w="182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11495C4D">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无叶假木贼</w:t>
            </w:r>
          </w:p>
        </w:tc>
        <w:tc>
          <w:tcPr>
            <w:tcW w:w="613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4B75AB1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Anabasis aphylla</w:t>
            </w:r>
          </w:p>
        </w:tc>
      </w:tr>
      <w:tr w14:paraId="233BA7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2E54A27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二</w:t>
            </w:r>
          </w:p>
        </w:tc>
        <w:tc>
          <w:tcPr>
            <w:tcW w:w="7962" w:type="dxa"/>
            <w:gridSpan w:val="2"/>
            <w:tcBorders>
              <w:top w:val="single" w:color="000000" w:sz="4" w:space="0"/>
              <w:left w:val="single" w:color="000000" w:sz="4" w:space="0"/>
              <w:bottom w:val="single" w:color="000000" w:sz="4" w:space="0"/>
              <w:right w:val="single" w:color="000000" w:sz="4" w:space="0"/>
              <w:tl2br w:val="nil"/>
              <w:tr2bl w:val="nil"/>
            </w:tcBorders>
            <w:noWrap w:val="0"/>
            <w:vAlign w:val="top"/>
          </w:tcPr>
          <w:p w14:paraId="2616CDB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菊科</w:t>
            </w:r>
          </w:p>
        </w:tc>
      </w:tr>
      <w:tr w14:paraId="0672A7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2A7A78D6">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21</w:t>
            </w:r>
          </w:p>
        </w:tc>
        <w:tc>
          <w:tcPr>
            <w:tcW w:w="182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79011A5C">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白茎绢蒿</w:t>
            </w:r>
          </w:p>
        </w:tc>
        <w:tc>
          <w:tcPr>
            <w:tcW w:w="613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3314097A">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Seriphidium terraealbae</w:t>
            </w:r>
          </w:p>
        </w:tc>
      </w:tr>
      <w:tr w14:paraId="4B6B42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17EF9E9D">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22</w:t>
            </w:r>
          </w:p>
        </w:tc>
        <w:tc>
          <w:tcPr>
            <w:tcW w:w="182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0E24A41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顶毛鼠毛菊</w:t>
            </w:r>
          </w:p>
        </w:tc>
        <w:tc>
          <w:tcPr>
            <w:tcW w:w="613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5F8D8A96">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Epilasia acrolasia</w:t>
            </w:r>
          </w:p>
        </w:tc>
      </w:tr>
      <w:tr w14:paraId="5149D5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6097FBAE">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23</w:t>
            </w:r>
          </w:p>
        </w:tc>
        <w:tc>
          <w:tcPr>
            <w:tcW w:w="182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794014CC">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黄花珀菊</w:t>
            </w:r>
          </w:p>
        </w:tc>
        <w:tc>
          <w:tcPr>
            <w:tcW w:w="613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58565398">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Amberboa turanica</w:t>
            </w:r>
          </w:p>
        </w:tc>
      </w:tr>
      <w:tr w14:paraId="4E88FF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3BA56783">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24</w:t>
            </w:r>
          </w:p>
        </w:tc>
        <w:tc>
          <w:tcPr>
            <w:tcW w:w="182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58C0FDD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蓝刺头</w:t>
            </w:r>
          </w:p>
        </w:tc>
        <w:tc>
          <w:tcPr>
            <w:tcW w:w="613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75C625B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Echinops sphaerocephalus</w:t>
            </w:r>
          </w:p>
        </w:tc>
      </w:tr>
      <w:tr w14:paraId="2A4274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0572DF97">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25</w:t>
            </w:r>
          </w:p>
        </w:tc>
        <w:tc>
          <w:tcPr>
            <w:tcW w:w="182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052F008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琉苞菊</w:t>
            </w:r>
          </w:p>
        </w:tc>
        <w:tc>
          <w:tcPr>
            <w:tcW w:w="613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22EC138A">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Hyalea pulchella</w:t>
            </w:r>
          </w:p>
        </w:tc>
      </w:tr>
      <w:tr w14:paraId="744D51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05952318">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26</w:t>
            </w:r>
          </w:p>
        </w:tc>
        <w:tc>
          <w:tcPr>
            <w:tcW w:w="182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715EA80B">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飘带莴苣</w:t>
            </w:r>
          </w:p>
        </w:tc>
        <w:tc>
          <w:tcPr>
            <w:tcW w:w="613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2317EB0D">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Lactuca undulate</w:t>
            </w:r>
          </w:p>
        </w:tc>
      </w:tr>
      <w:tr w14:paraId="6A3E52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126CF39B">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27</w:t>
            </w:r>
          </w:p>
        </w:tc>
        <w:tc>
          <w:tcPr>
            <w:tcW w:w="182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32CD0488">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沙地粉苞菊</w:t>
            </w:r>
          </w:p>
        </w:tc>
        <w:tc>
          <w:tcPr>
            <w:tcW w:w="613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03D0CD06">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Chondrilla ambigua</w:t>
            </w:r>
          </w:p>
        </w:tc>
      </w:tr>
      <w:tr w14:paraId="30ECA7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60177CC7">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28</w:t>
            </w:r>
          </w:p>
        </w:tc>
        <w:tc>
          <w:tcPr>
            <w:tcW w:w="182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4B9A9DED">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沙蒿</w:t>
            </w:r>
          </w:p>
        </w:tc>
        <w:tc>
          <w:tcPr>
            <w:tcW w:w="613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4775965E">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Artemisia desertorum</w:t>
            </w:r>
          </w:p>
        </w:tc>
      </w:tr>
      <w:tr w14:paraId="1FB17E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2A18B9D3">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29</w:t>
            </w:r>
          </w:p>
        </w:tc>
        <w:tc>
          <w:tcPr>
            <w:tcW w:w="182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0A77204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准噶尔沙蒿</w:t>
            </w:r>
          </w:p>
        </w:tc>
        <w:tc>
          <w:tcPr>
            <w:tcW w:w="613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0F8234E8">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Artemisia songarica</w:t>
            </w:r>
          </w:p>
        </w:tc>
      </w:tr>
      <w:tr w14:paraId="4D4470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7DCA69F1">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30</w:t>
            </w:r>
          </w:p>
        </w:tc>
        <w:tc>
          <w:tcPr>
            <w:tcW w:w="182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0335FEB8">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疏齿千里光</w:t>
            </w:r>
          </w:p>
        </w:tc>
        <w:tc>
          <w:tcPr>
            <w:tcW w:w="613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0B13DCA3">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Senecio subdentatus</w:t>
            </w:r>
          </w:p>
        </w:tc>
      </w:tr>
      <w:tr w14:paraId="5BC654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1115D34D">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31</w:t>
            </w:r>
          </w:p>
        </w:tc>
        <w:tc>
          <w:tcPr>
            <w:tcW w:w="182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025F4A1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小甘菊</w:t>
            </w:r>
          </w:p>
        </w:tc>
        <w:tc>
          <w:tcPr>
            <w:tcW w:w="613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797B369D">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Cancrinia discoidea</w:t>
            </w:r>
          </w:p>
        </w:tc>
      </w:tr>
      <w:tr w14:paraId="751314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2D6D3EF5">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32</w:t>
            </w:r>
          </w:p>
        </w:tc>
        <w:tc>
          <w:tcPr>
            <w:tcW w:w="182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56685EDC">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蝎尾菊</w:t>
            </w:r>
          </w:p>
        </w:tc>
        <w:tc>
          <w:tcPr>
            <w:tcW w:w="613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5AC5346E">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Koelpinia linearis</w:t>
            </w:r>
          </w:p>
        </w:tc>
      </w:tr>
      <w:tr w14:paraId="331486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0FD74B07">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33</w:t>
            </w:r>
          </w:p>
        </w:tc>
        <w:tc>
          <w:tcPr>
            <w:tcW w:w="182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7FD347AA">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紫婆罗门参</w:t>
            </w:r>
          </w:p>
        </w:tc>
        <w:tc>
          <w:tcPr>
            <w:tcW w:w="613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1553FC1C">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Tragopogon ruber</w:t>
            </w:r>
          </w:p>
        </w:tc>
      </w:tr>
      <w:tr w14:paraId="6E56BF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3DDFC7DA">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34</w:t>
            </w:r>
          </w:p>
        </w:tc>
        <w:tc>
          <w:tcPr>
            <w:tcW w:w="182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70332B5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细叶鸦葱</w:t>
            </w:r>
          </w:p>
        </w:tc>
        <w:tc>
          <w:tcPr>
            <w:tcW w:w="613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6BB079B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Scorzonera pusilla</w:t>
            </w:r>
          </w:p>
        </w:tc>
      </w:tr>
      <w:tr w14:paraId="333B16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262F22A3">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35</w:t>
            </w:r>
          </w:p>
        </w:tc>
        <w:tc>
          <w:tcPr>
            <w:tcW w:w="182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51CC7061">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刺苞菊</w:t>
            </w:r>
          </w:p>
        </w:tc>
        <w:tc>
          <w:tcPr>
            <w:tcW w:w="613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415331AE">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Carlina biebersteinii</w:t>
            </w:r>
          </w:p>
        </w:tc>
      </w:tr>
      <w:tr w14:paraId="4837A4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4914900D">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三</w:t>
            </w:r>
          </w:p>
        </w:tc>
        <w:tc>
          <w:tcPr>
            <w:tcW w:w="7962" w:type="dxa"/>
            <w:gridSpan w:val="2"/>
            <w:tcBorders>
              <w:top w:val="single" w:color="000000" w:sz="4" w:space="0"/>
              <w:left w:val="single" w:color="000000" w:sz="4" w:space="0"/>
              <w:bottom w:val="single" w:color="000000" w:sz="4" w:space="0"/>
              <w:right w:val="single" w:color="000000" w:sz="4" w:space="0"/>
              <w:tl2br w:val="nil"/>
              <w:tr2bl w:val="nil"/>
            </w:tcBorders>
            <w:noWrap w:val="0"/>
            <w:vAlign w:val="top"/>
          </w:tcPr>
          <w:p w14:paraId="590C768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十字花科</w:t>
            </w:r>
          </w:p>
        </w:tc>
      </w:tr>
      <w:tr w14:paraId="0FB8B2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64E1E228">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36</w:t>
            </w:r>
          </w:p>
        </w:tc>
        <w:tc>
          <w:tcPr>
            <w:tcW w:w="182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7D57F62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卷果涩荠</w:t>
            </w:r>
          </w:p>
        </w:tc>
        <w:tc>
          <w:tcPr>
            <w:tcW w:w="613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09CED06C">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Malcolmia scorpioides</w:t>
            </w:r>
          </w:p>
        </w:tc>
      </w:tr>
      <w:tr w14:paraId="392F2B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3FC8670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37</w:t>
            </w:r>
          </w:p>
        </w:tc>
        <w:tc>
          <w:tcPr>
            <w:tcW w:w="182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068AEEE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涩荠</w:t>
            </w:r>
          </w:p>
        </w:tc>
        <w:tc>
          <w:tcPr>
            <w:tcW w:w="613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10CF1CA7">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Malcolmia africana</w:t>
            </w:r>
          </w:p>
        </w:tc>
      </w:tr>
      <w:tr w14:paraId="733004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64BFE6C4">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38</w:t>
            </w:r>
          </w:p>
        </w:tc>
        <w:tc>
          <w:tcPr>
            <w:tcW w:w="182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128C8933">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宽翅菘蓝</w:t>
            </w:r>
          </w:p>
        </w:tc>
        <w:tc>
          <w:tcPr>
            <w:tcW w:w="613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7D083381">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Isatis violascens</w:t>
            </w:r>
          </w:p>
        </w:tc>
      </w:tr>
      <w:tr w14:paraId="4C4761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3EA3D28E">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39</w:t>
            </w:r>
          </w:p>
        </w:tc>
        <w:tc>
          <w:tcPr>
            <w:tcW w:w="182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66E115D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小果菘蓝</w:t>
            </w:r>
          </w:p>
        </w:tc>
        <w:tc>
          <w:tcPr>
            <w:tcW w:w="613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4A382386">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Isatis minima</w:t>
            </w:r>
          </w:p>
        </w:tc>
      </w:tr>
      <w:tr w14:paraId="00BC6E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04FB845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40</w:t>
            </w:r>
          </w:p>
        </w:tc>
        <w:tc>
          <w:tcPr>
            <w:tcW w:w="182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7706B78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螺喙荠</w:t>
            </w:r>
          </w:p>
        </w:tc>
        <w:tc>
          <w:tcPr>
            <w:tcW w:w="613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0909D86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Spirorhynchus sabulosus</w:t>
            </w:r>
          </w:p>
        </w:tc>
      </w:tr>
      <w:tr w14:paraId="041650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50A1C1F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41</w:t>
            </w:r>
          </w:p>
        </w:tc>
        <w:tc>
          <w:tcPr>
            <w:tcW w:w="182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30D730D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庭荠</w:t>
            </w:r>
          </w:p>
        </w:tc>
        <w:tc>
          <w:tcPr>
            <w:tcW w:w="613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34A57C5A">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Alyssum desertorum</w:t>
            </w:r>
          </w:p>
        </w:tc>
      </w:tr>
      <w:tr w14:paraId="3F5EB9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627A0E2C">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42</w:t>
            </w:r>
          </w:p>
        </w:tc>
        <w:tc>
          <w:tcPr>
            <w:tcW w:w="182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208F51E3">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条叶庭荠</w:t>
            </w:r>
          </w:p>
        </w:tc>
        <w:tc>
          <w:tcPr>
            <w:tcW w:w="613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6840CEE4">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Alyssum linifolium</w:t>
            </w:r>
          </w:p>
        </w:tc>
      </w:tr>
      <w:tr w14:paraId="172931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05E72B1D">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43</w:t>
            </w:r>
          </w:p>
        </w:tc>
        <w:tc>
          <w:tcPr>
            <w:tcW w:w="182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1C03ED44">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新疆紫罗兰</w:t>
            </w:r>
          </w:p>
        </w:tc>
        <w:tc>
          <w:tcPr>
            <w:tcW w:w="613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727E5887">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Matthiola stoddarti</w:t>
            </w:r>
          </w:p>
        </w:tc>
      </w:tr>
      <w:tr w14:paraId="2D56E6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16323BB6">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44</w:t>
            </w:r>
          </w:p>
        </w:tc>
        <w:tc>
          <w:tcPr>
            <w:tcW w:w="182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223A508A">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四棱荠</w:t>
            </w:r>
          </w:p>
        </w:tc>
        <w:tc>
          <w:tcPr>
            <w:tcW w:w="613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725EE928">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Goldbachia laevigata</w:t>
            </w:r>
          </w:p>
        </w:tc>
      </w:tr>
      <w:tr w14:paraId="14009B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47B709D7">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45</w:t>
            </w:r>
          </w:p>
        </w:tc>
        <w:tc>
          <w:tcPr>
            <w:tcW w:w="182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7ABD5263">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弯曲四齿芥</w:t>
            </w:r>
          </w:p>
        </w:tc>
        <w:tc>
          <w:tcPr>
            <w:tcW w:w="613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2E184C68">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Tetracme recurvata</w:t>
            </w:r>
          </w:p>
        </w:tc>
      </w:tr>
      <w:tr w14:paraId="4D0CCF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59B5856A">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四</w:t>
            </w:r>
          </w:p>
        </w:tc>
        <w:tc>
          <w:tcPr>
            <w:tcW w:w="7962" w:type="dxa"/>
            <w:gridSpan w:val="2"/>
            <w:tcBorders>
              <w:top w:val="single" w:color="000000" w:sz="4" w:space="0"/>
              <w:left w:val="single" w:color="000000" w:sz="4" w:space="0"/>
              <w:bottom w:val="single" w:color="000000" w:sz="4" w:space="0"/>
              <w:right w:val="single" w:color="000000" w:sz="4" w:space="0"/>
              <w:tl2br w:val="nil"/>
              <w:tr2bl w:val="nil"/>
            </w:tcBorders>
            <w:noWrap w:val="0"/>
            <w:vAlign w:val="top"/>
          </w:tcPr>
          <w:p w14:paraId="5A2EE11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豆科</w:t>
            </w:r>
          </w:p>
        </w:tc>
      </w:tr>
      <w:tr w14:paraId="37FA3B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489E36A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46</w:t>
            </w:r>
          </w:p>
        </w:tc>
        <w:tc>
          <w:tcPr>
            <w:tcW w:w="182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0683B87E">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尖舌黄耆</w:t>
            </w:r>
          </w:p>
        </w:tc>
        <w:tc>
          <w:tcPr>
            <w:tcW w:w="613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4DF7081C">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Astragalus oxyglottis</w:t>
            </w:r>
          </w:p>
        </w:tc>
      </w:tr>
      <w:tr w14:paraId="6C8980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685EAAAD">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47</w:t>
            </w:r>
          </w:p>
        </w:tc>
        <w:tc>
          <w:tcPr>
            <w:tcW w:w="182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3BB8435C">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茧荚黄耆</w:t>
            </w:r>
          </w:p>
        </w:tc>
        <w:tc>
          <w:tcPr>
            <w:tcW w:w="613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6DFD1BBA">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Astragalus lehmannianus</w:t>
            </w:r>
          </w:p>
        </w:tc>
      </w:tr>
      <w:tr w14:paraId="2F42F0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04A5D03B">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48</w:t>
            </w:r>
          </w:p>
        </w:tc>
        <w:tc>
          <w:tcPr>
            <w:tcW w:w="182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604142C7">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沙丘黄耆</w:t>
            </w:r>
          </w:p>
        </w:tc>
        <w:tc>
          <w:tcPr>
            <w:tcW w:w="613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374BB875">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Astragalus cognatus</w:t>
            </w:r>
          </w:p>
        </w:tc>
      </w:tr>
      <w:tr w14:paraId="6A79E7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20F648A3">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49</w:t>
            </w:r>
          </w:p>
        </w:tc>
        <w:tc>
          <w:tcPr>
            <w:tcW w:w="182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1E4992A4">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弯花黄耆</w:t>
            </w:r>
          </w:p>
        </w:tc>
        <w:tc>
          <w:tcPr>
            <w:tcW w:w="613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2CD7766E">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Astragalus flexus</w:t>
            </w:r>
          </w:p>
        </w:tc>
      </w:tr>
      <w:tr w14:paraId="0E1C5D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204F3CC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50</w:t>
            </w:r>
          </w:p>
        </w:tc>
        <w:tc>
          <w:tcPr>
            <w:tcW w:w="182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3E2F65F1">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喜沙黄耆</w:t>
            </w:r>
          </w:p>
        </w:tc>
        <w:tc>
          <w:tcPr>
            <w:tcW w:w="613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6D26B595">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Astragalus ammodytes</w:t>
            </w:r>
          </w:p>
        </w:tc>
      </w:tr>
      <w:tr w14:paraId="49856B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51B53D3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51</w:t>
            </w:r>
          </w:p>
        </w:tc>
        <w:tc>
          <w:tcPr>
            <w:tcW w:w="182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5BF913AD">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镰荚黄耆</w:t>
            </w:r>
          </w:p>
        </w:tc>
        <w:tc>
          <w:tcPr>
            <w:tcW w:w="613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34E4BE9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Astragalus arpilobus</w:t>
            </w:r>
          </w:p>
        </w:tc>
      </w:tr>
      <w:tr w14:paraId="39790F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5E098BB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52</w:t>
            </w:r>
          </w:p>
        </w:tc>
        <w:tc>
          <w:tcPr>
            <w:tcW w:w="182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5C112306">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准噶尔无叶豆</w:t>
            </w:r>
          </w:p>
        </w:tc>
        <w:tc>
          <w:tcPr>
            <w:tcW w:w="613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75E11915">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Eremosparton songoricum</w:t>
            </w:r>
          </w:p>
        </w:tc>
      </w:tr>
      <w:tr w14:paraId="7F9852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18F14B83">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53</w:t>
            </w:r>
          </w:p>
        </w:tc>
        <w:tc>
          <w:tcPr>
            <w:tcW w:w="182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48FF684A">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弯果胡卢巴</w:t>
            </w:r>
          </w:p>
        </w:tc>
        <w:tc>
          <w:tcPr>
            <w:tcW w:w="613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0E7E39C8">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Trigonella arcuata</w:t>
            </w:r>
          </w:p>
        </w:tc>
      </w:tr>
      <w:tr w14:paraId="37D303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30C6778A">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54</w:t>
            </w:r>
          </w:p>
        </w:tc>
        <w:tc>
          <w:tcPr>
            <w:tcW w:w="182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1872566B">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骆驼刺</w:t>
            </w:r>
          </w:p>
        </w:tc>
        <w:tc>
          <w:tcPr>
            <w:tcW w:w="613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4F18A025">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Alhagi sparsifolia</w:t>
            </w:r>
          </w:p>
        </w:tc>
      </w:tr>
      <w:tr w14:paraId="71ED01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65F4EA61">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五</w:t>
            </w:r>
          </w:p>
        </w:tc>
        <w:tc>
          <w:tcPr>
            <w:tcW w:w="7962" w:type="dxa"/>
            <w:gridSpan w:val="2"/>
            <w:tcBorders>
              <w:top w:val="single" w:color="000000" w:sz="4" w:space="0"/>
              <w:left w:val="single" w:color="000000" w:sz="4" w:space="0"/>
              <w:bottom w:val="single" w:color="000000" w:sz="4" w:space="0"/>
              <w:right w:val="single" w:color="000000" w:sz="4" w:space="0"/>
              <w:tl2br w:val="nil"/>
              <w:tr2bl w:val="nil"/>
            </w:tcBorders>
            <w:noWrap w:val="0"/>
            <w:vAlign w:val="top"/>
          </w:tcPr>
          <w:p w14:paraId="5217590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禾本科</w:t>
            </w:r>
          </w:p>
        </w:tc>
      </w:tr>
      <w:tr w14:paraId="29EEDD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3958CED8">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55</w:t>
            </w:r>
          </w:p>
        </w:tc>
        <w:tc>
          <w:tcPr>
            <w:tcW w:w="182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713CFB51">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早雀麦</w:t>
            </w:r>
          </w:p>
        </w:tc>
        <w:tc>
          <w:tcPr>
            <w:tcW w:w="613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035EE717">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Bromus tectorum</w:t>
            </w:r>
          </w:p>
        </w:tc>
      </w:tr>
      <w:tr w14:paraId="5CB721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6ACE3F8C">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56</w:t>
            </w:r>
          </w:p>
        </w:tc>
        <w:tc>
          <w:tcPr>
            <w:tcW w:w="182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43CDAC06">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齿稃草</w:t>
            </w:r>
          </w:p>
        </w:tc>
        <w:tc>
          <w:tcPr>
            <w:tcW w:w="613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26967A77">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Schismus arabicus</w:t>
            </w:r>
          </w:p>
        </w:tc>
      </w:tr>
      <w:tr w14:paraId="6789FD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16567911">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57</w:t>
            </w:r>
          </w:p>
        </w:tc>
        <w:tc>
          <w:tcPr>
            <w:tcW w:w="182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197B0BED">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小獐茅</w:t>
            </w:r>
          </w:p>
        </w:tc>
        <w:tc>
          <w:tcPr>
            <w:tcW w:w="613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7AE9D084">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Aeluropus pungens</w:t>
            </w:r>
          </w:p>
        </w:tc>
      </w:tr>
      <w:tr w14:paraId="048078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78E4D61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58</w:t>
            </w:r>
          </w:p>
        </w:tc>
        <w:tc>
          <w:tcPr>
            <w:tcW w:w="182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5E151BC3">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羽毛针禾</w:t>
            </w:r>
          </w:p>
        </w:tc>
        <w:tc>
          <w:tcPr>
            <w:tcW w:w="613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769788C5">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Stipagrostis pennata</w:t>
            </w:r>
          </w:p>
        </w:tc>
      </w:tr>
      <w:tr w14:paraId="600B35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5EA386E6">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59</w:t>
            </w:r>
          </w:p>
        </w:tc>
        <w:tc>
          <w:tcPr>
            <w:tcW w:w="182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5221055C">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东方旱麦草</w:t>
            </w:r>
          </w:p>
        </w:tc>
        <w:tc>
          <w:tcPr>
            <w:tcW w:w="613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63398027">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Eremopyrum orientale</w:t>
            </w:r>
          </w:p>
        </w:tc>
      </w:tr>
      <w:tr w14:paraId="5C1F43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29C82CA6">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六</w:t>
            </w:r>
          </w:p>
        </w:tc>
        <w:tc>
          <w:tcPr>
            <w:tcW w:w="7962" w:type="dxa"/>
            <w:gridSpan w:val="2"/>
            <w:tcBorders>
              <w:top w:val="single" w:color="000000" w:sz="4" w:space="0"/>
              <w:left w:val="single" w:color="000000" w:sz="4" w:space="0"/>
              <w:bottom w:val="single" w:color="000000" w:sz="4" w:space="0"/>
              <w:right w:val="single" w:color="000000" w:sz="4" w:space="0"/>
              <w:tl2br w:val="nil"/>
              <w:tr2bl w:val="nil"/>
            </w:tcBorders>
            <w:noWrap w:val="0"/>
            <w:vAlign w:val="top"/>
          </w:tcPr>
          <w:p w14:paraId="355A507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紫草科</w:t>
            </w:r>
          </w:p>
        </w:tc>
      </w:tr>
      <w:tr w14:paraId="75AC7B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2FFC2613">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60</w:t>
            </w:r>
          </w:p>
        </w:tc>
        <w:tc>
          <w:tcPr>
            <w:tcW w:w="182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1DDAE3CB">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翅鹤虱</w:t>
            </w:r>
          </w:p>
        </w:tc>
        <w:tc>
          <w:tcPr>
            <w:tcW w:w="613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4BC6BE34">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Lepechiniella lasiocarpa</w:t>
            </w:r>
          </w:p>
        </w:tc>
      </w:tr>
      <w:tr w14:paraId="5832CB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58B85928">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61</w:t>
            </w:r>
          </w:p>
        </w:tc>
        <w:tc>
          <w:tcPr>
            <w:tcW w:w="182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66ABE8F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假狼紫草</w:t>
            </w:r>
          </w:p>
        </w:tc>
        <w:tc>
          <w:tcPr>
            <w:tcW w:w="613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4353625E">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Nnoea caspica</w:t>
            </w:r>
          </w:p>
        </w:tc>
      </w:tr>
      <w:tr w14:paraId="2D4004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0ABC50C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62</w:t>
            </w:r>
          </w:p>
        </w:tc>
        <w:tc>
          <w:tcPr>
            <w:tcW w:w="182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0323DD5E">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尖花天芥菜</w:t>
            </w:r>
          </w:p>
        </w:tc>
        <w:tc>
          <w:tcPr>
            <w:tcW w:w="613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552DDCDA">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Heliotropium acutiflorum</w:t>
            </w:r>
          </w:p>
        </w:tc>
      </w:tr>
      <w:tr w14:paraId="0ED90B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2072638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63</w:t>
            </w:r>
          </w:p>
        </w:tc>
        <w:tc>
          <w:tcPr>
            <w:tcW w:w="182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35729F3D">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桶圆叶天芥菜</w:t>
            </w:r>
          </w:p>
        </w:tc>
        <w:tc>
          <w:tcPr>
            <w:tcW w:w="613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1EA1A24B">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Heliotropium ellipticum</w:t>
            </w:r>
          </w:p>
        </w:tc>
      </w:tr>
      <w:tr w14:paraId="2702A5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6C19952E">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64</w:t>
            </w:r>
          </w:p>
        </w:tc>
        <w:tc>
          <w:tcPr>
            <w:tcW w:w="182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5BA965E5">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硬萼软紫草</w:t>
            </w:r>
          </w:p>
        </w:tc>
        <w:tc>
          <w:tcPr>
            <w:tcW w:w="613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0160A1C4">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Arnebia decumbens</w:t>
            </w:r>
          </w:p>
        </w:tc>
      </w:tr>
      <w:tr w14:paraId="5E28B9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1E412746">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65</w:t>
            </w:r>
          </w:p>
        </w:tc>
        <w:tc>
          <w:tcPr>
            <w:tcW w:w="182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23639097">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狭果鹤虱</w:t>
            </w:r>
          </w:p>
        </w:tc>
        <w:tc>
          <w:tcPr>
            <w:tcW w:w="613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7FACE696">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Lappula semiglabra</w:t>
            </w:r>
          </w:p>
        </w:tc>
      </w:tr>
      <w:tr w14:paraId="28EE94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61C59BE5">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七</w:t>
            </w:r>
          </w:p>
        </w:tc>
        <w:tc>
          <w:tcPr>
            <w:tcW w:w="7962" w:type="dxa"/>
            <w:gridSpan w:val="2"/>
            <w:tcBorders>
              <w:top w:val="single" w:color="000000" w:sz="4" w:space="0"/>
              <w:left w:val="single" w:color="000000" w:sz="4" w:space="0"/>
              <w:bottom w:val="single" w:color="000000" w:sz="4" w:space="0"/>
              <w:right w:val="single" w:color="000000" w:sz="4" w:space="0"/>
              <w:tl2br w:val="nil"/>
              <w:tr2bl w:val="nil"/>
            </w:tcBorders>
            <w:noWrap w:val="0"/>
            <w:vAlign w:val="top"/>
          </w:tcPr>
          <w:p w14:paraId="7B2F2FF8">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唇形科</w:t>
            </w:r>
          </w:p>
        </w:tc>
      </w:tr>
      <w:tr w14:paraId="196136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78AF0077">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66</w:t>
            </w:r>
          </w:p>
        </w:tc>
        <w:tc>
          <w:tcPr>
            <w:tcW w:w="182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54C1B20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矮刺苏</w:t>
            </w:r>
          </w:p>
        </w:tc>
        <w:tc>
          <w:tcPr>
            <w:tcW w:w="613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7257778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Chamaesphacos ilicifolius</w:t>
            </w:r>
          </w:p>
        </w:tc>
      </w:tr>
      <w:tr w14:paraId="3846A8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5996C9A4">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67</w:t>
            </w:r>
          </w:p>
        </w:tc>
        <w:tc>
          <w:tcPr>
            <w:tcW w:w="182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284C743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小花荆荞</w:t>
            </w:r>
          </w:p>
        </w:tc>
        <w:tc>
          <w:tcPr>
            <w:tcW w:w="613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472716F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Nepeta micrantha</w:t>
            </w:r>
          </w:p>
        </w:tc>
      </w:tr>
      <w:tr w14:paraId="531394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42D820F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八</w:t>
            </w:r>
          </w:p>
        </w:tc>
        <w:tc>
          <w:tcPr>
            <w:tcW w:w="7962" w:type="dxa"/>
            <w:gridSpan w:val="2"/>
            <w:tcBorders>
              <w:top w:val="single" w:color="000000" w:sz="4" w:space="0"/>
              <w:left w:val="single" w:color="000000" w:sz="4" w:space="0"/>
              <w:bottom w:val="single" w:color="000000" w:sz="4" w:space="0"/>
              <w:right w:val="single" w:color="000000" w:sz="4" w:space="0"/>
              <w:tl2br w:val="nil"/>
              <w:tr2bl w:val="nil"/>
            </w:tcBorders>
            <w:noWrap w:val="0"/>
            <w:vAlign w:val="top"/>
          </w:tcPr>
          <w:p w14:paraId="104469A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石竹科</w:t>
            </w:r>
          </w:p>
        </w:tc>
      </w:tr>
      <w:tr w14:paraId="7C86DC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16700538">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68</w:t>
            </w:r>
          </w:p>
        </w:tc>
        <w:tc>
          <w:tcPr>
            <w:tcW w:w="182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45FA5ED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矮蝇子草</w:t>
            </w:r>
          </w:p>
        </w:tc>
        <w:tc>
          <w:tcPr>
            <w:tcW w:w="613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54B4EBE6">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Silene nana</w:t>
            </w:r>
          </w:p>
        </w:tc>
      </w:tr>
      <w:tr w14:paraId="3E22F1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204CCBFD">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69</w:t>
            </w:r>
          </w:p>
        </w:tc>
        <w:tc>
          <w:tcPr>
            <w:tcW w:w="182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0706378A">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沙生蝇子草</w:t>
            </w:r>
          </w:p>
        </w:tc>
        <w:tc>
          <w:tcPr>
            <w:tcW w:w="613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7F50461D">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Silene olgiana</w:t>
            </w:r>
          </w:p>
        </w:tc>
      </w:tr>
      <w:tr w14:paraId="0B545F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3ECA6AB3">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九</w:t>
            </w:r>
          </w:p>
        </w:tc>
        <w:tc>
          <w:tcPr>
            <w:tcW w:w="7962" w:type="dxa"/>
            <w:gridSpan w:val="2"/>
            <w:tcBorders>
              <w:top w:val="single" w:color="000000" w:sz="4" w:space="0"/>
              <w:left w:val="single" w:color="000000" w:sz="4" w:space="0"/>
              <w:bottom w:val="single" w:color="000000" w:sz="4" w:space="0"/>
              <w:right w:val="single" w:color="000000" w:sz="4" w:space="0"/>
              <w:tl2br w:val="nil"/>
              <w:tr2bl w:val="nil"/>
            </w:tcBorders>
            <w:noWrap w:val="0"/>
            <w:vAlign w:val="top"/>
          </w:tcPr>
          <w:p w14:paraId="19E7A8EE">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百合科</w:t>
            </w:r>
          </w:p>
        </w:tc>
      </w:tr>
      <w:tr w14:paraId="72C56E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2218643A">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70</w:t>
            </w:r>
          </w:p>
        </w:tc>
        <w:tc>
          <w:tcPr>
            <w:tcW w:w="182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3344C194">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分枝顶冰花</w:t>
            </w:r>
          </w:p>
        </w:tc>
        <w:tc>
          <w:tcPr>
            <w:tcW w:w="613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5E12515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Gagea divaricata</w:t>
            </w:r>
          </w:p>
        </w:tc>
      </w:tr>
      <w:tr w14:paraId="30700B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52A0FDEA">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71</w:t>
            </w:r>
          </w:p>
        </w:tc>
        <w:tc>
          <w:tcPr>
            <w:tcW w:w="182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61E3E58A">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粗柄独尾草</w:t>
            </w:r>
          </w:p>
        </w:tc>
        <w:tc>
          <w:tcPr>
            <w:tcW w:w="613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47D3415D">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Eremurus inderiensis</w:t>
            </w:r>
          </w:p>
        </w:tc>
      </w:tr>
      <w:tr w14:paraId="2DE5BD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5144298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72</w:t>
            </w:r>
          </w:p>
        </w:tc>
        <w:tc>
          <w:tcPr>
            <w:tcW w:w="182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194E3211">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异翅独尾草</w:t>
            </w:r>
          </w:p>
        </w:tc>
        <w:tc>
          <w:tcPr>
            <w:tcW w:w="613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1FD1353A">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Eremurus anisopterus</w:t>
            </w:r>
          </w:p>
        </w:tc>
      </w:tr>
      <w:tr w14:paraId="517D85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674D7CFC">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73</w:t>
            </w:r>
          </w:p>
        </w:tc>
        <w:tc>
          <w:tcPr>
            <w:tcW w:w="182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187DDC68">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碱韭</w:t>
            </w:r>
          </w:p>
        </w:tc>
        <w:tc>
          <w:tcPr>
            <w:tcW w:w="613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7B07CE24">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Allium polyrhizum</w:t>
            </w:r>
          </w:p>
        </w:tc>
      </w:tr>
      <w:tr w14:paraId="130832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60762757">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十</w:t>
            </w:r>
          </w:p>
        </w:tc>
        <w:tc>
          <w:tcPr>
            <w:tcW w:w="7962" w:type="dxa"/>
            <w:gridSpan w:val="2"/>
            <w:tcBorders>
              <w:top w:val="single" w:color="000000" w:sz="4" w:space="0"/>
              <w:left w:val="single" w:color="000000" w:sz="4" w:space="0"/>
              <w:bottom w:val="single" w:color="000000" w:sz="4" w:space="0"/>
              <w:right w:val="single" w:color="000000" w:sz="4" w:space="0"/>
              <w:tl2br w:val="nil"/>
              <w:tr2bl w:val="nil"/>
            </w:tcBorders>
            <w:noWrap w:val="0"/>
            <w:vAlign w:val="top"/>
          </w:tcPr>
          <w:p w14:paraId="7B352FC1">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柽柳科</w:t>
            </w:r>
          </w:p>
        </w:tc>
      </w:tr>
      <w:tr w14:paraId="3F1BAC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3599295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74</w:t>
            </w:r>
          </w:p>
        </w:tc>
        <w:tc>
          <w:tcPr>
            <w:tcW w:w="182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2E1EFDA1">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柽柳</w:t>
            </w:r>
          </w:p>
        </w:tc>
        <w:tc>
          <w:tcPr>
            <w:tcW w:w="613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6814D035">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Tamarix chinensis</w:t>
            </w:r>
          </w:p>
        </w:tc>
      </w:tr>
      <w:tr w14:paraId="4F8879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13FA50CE">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75</w:t>
            </w:r>
          </w:p>
        </w:tc>
        <w:tc>
          <w:tcPr>
            <w:tcW w:w="182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2F107C4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枇杷柴</w:t>
            </w:r>
          </w:p>
        </w:tc>
        <w:tc>
          <w:tcPr>
            <w:tcW w:w="613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6F87462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Reaumuria songarica</w:t>
            </w:r>
          </w:p>
        </w:tc>
      </w:tr>
      <w:tr w14:paraId="1C208B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6C4C510D">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十一</w:t>
            </w:r>
          </w:p>
        </w:tc>
        <w:tc>
          <w:tcPr>
            <w:tcW w:w="7962" w:type="dxa"/>
            <w:gridSpan w:val="2"/>
            <w:tcBorders>
              <w:top w:val="single" w:color="000000" w:sz="4" w:space="0"/>
              <w:left w:val="single" w:color="000000" w:sz="4" w:space="0"/>
              <w:bottom w:val="single" w:color="000000" w:sz="4" w:space="0"/>
              <w:right w:val="single" w:color="000000" w:sz="4" w:space="0"/>
              <w:tl2br w:val="nil"/>
              <w:tr2bl w:val="nil"/>
            </w:tcBorders>
            <w:noWrap w:val="0"/>
            <w:vAlign w:val="top"/>
          </w:tcPr>
          <w:p w14:paraId="6EA8F554">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蒺藜科</w:t>
            </w:r>
          </w:p>
        </w:tc>
      </w:tr>
      <w:tr w14:paraId="1AE508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3BC9BFC4">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76</w:t>
            </w:r>
          </w:p>
        </w:tc>
        <w:tc>
          <w:tcPr>
            <w:tcW w:w="182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2C1C2C4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白刺</w:t>
            </w:r>
          </w:p>
        </w:tc>
        <w:tc>
          <w:tcPr>
            <w:tcW w:w="613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4599B18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Nitraria tangutorum</w:t>
            </w:r>
          </w:p>
        </w:tc>
      </w:tr>
      <w:tr w14:paraId="249623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537FB656">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77</w:t>
            </w:r>
          </w:p>
        </w:tc>
        <w:tc>
          <w:tcPr>
            <w:tcW w:w="182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0031E313">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泡泡刺</w:t>
            </w:r>
          </w:p>
        </w:tc>
        <w:tc>
          <w:tcPr>
            <w:tcW w:w="613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3C11CF95">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Nitraria sphaerocarpa</w:t>
            </w:r>
          </w:p>
        </w:tc>
      </w:tr>
      <w:tr w14:paraId="6D3C0E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4F390A9D">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78</w:t>
            </w:r>
          </w:p>
        </w:tc>
        <w:tc>
          <w:tcPr>
            <w:tcW w:w="182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1930952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驼蹄瓣</w:t>
            </w:r>
          </w:p>
        </w:tc>
        <w:tc>
          <w:tcPr>
            <w:tcW w:w="613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2F7F125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Zygophyllum fabago</w:t>
            </w:r>
          </w:p>
        </w:tc>
      </w:tr>
      <w:tr w14:paraId="0150D8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41DA2FB4">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十二</w:t>
            </w:r>
          </w:p>
        </w:tc>
        <w:tc>
          <w:tcPr>
            <w:tcW w:w="7962" w:type="dxa"/>
            <w:gridSpan w:val="2"/>
            <w:tcBorders>
              <w:top w:val="single" w:color="000000" w:sz="4" w:space="0"/>
              <w:left w:val="single" w:color="000000" w:sz="4" w:space="0"/>
              <w:bottom w:val="single" w:color="000000" w:sz="4" w:space="0"/>
              <w:right w:val="single" w:color="000000" w:sz="4" w:space="0"/>
              <w:tl2br w:val="nil"/>
              <w:tr2bl w:val="nil"/>
            </w:tcBorders>
            <w:noWrap w:val="0"/>
            <w:vAlign w:val="top"/>
          </w:tcPr>
          <w:p w14:paraId="25FB37F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大戟科</w:t>
            </w:r>
          </w:p>
        </w:tc>
      </w:tr>
      <w:tr w14:paraId="776301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00875C75">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79</w:t>
            </w:r>
          </w:p>
        </w:tc>
        <w:tc>
          <w:tcPr>
            <w:tcW w:w="182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7F71DAA6">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土大戟</w:t>
            </w:r>
          </w:p>
        </w:tc>
        <w:tc>
          <w:tcPr>
            <w:tcW w:w="613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5BE70B77">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Euphorbia turczaninowii</w:t>
            </w:r>
          </w:p>
        </w:tc>
      </w:tr>
      <w:tr w14:paraId="6D1153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4C47D1E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80</w:t>
            </w:r>
          </w:p>
        </w:tc>
        <w:tc>
          <w:tcPr>
            <w:tcW w:w="182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0C30A7ED">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沙大戟</w:t>
            </w:r>
          </w:p>
        </w:tc>
        <w:tc>
          <w:tcPr>
            <w:tcW w:w="613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3F4F9D7D">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Chrozophora sabulosa</w:t>
            </w:r>
          </w:p>
        </w:tc>
      </w:tr>
      <w:tr w14:paraId="73330C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1106C021">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十三</w:t>
            </w:r>
          </w:p>
        </w:tc>
        <w:tc>
          <w:tcPr>
            <w:tcW w:w="7962" w:type="dxa"/>
            <w:gridSpan w:val="2"/>
            <w:tcBorders>
              <w:top w:val="single" w:color="000000" w:sz="4" w:space="0"/>
              <w:left w:val="single" w:color="000000" w:sz="4" w:space="0"/>
              <w:bottom w:val="single" w:color="000000" w:sz="4" w:space="0"/>
              <w:right w:val="single" w:color="000000" w:sz="4" w:space="0"/>
              <w:tl2br w:val="nil"/>
              <w:tr2bl w:val="nil"/>
            </w:tcBorders>
            <w:noWrap w:val="0"/>
            <w:vAlign w:val="top"/>
          </w:tcPr>
          <w:p w14:paraId="6913477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蓼科</w:t>
            </w:r>
          </w:p>
        </w:tc>
      </w:tr>
      <w:tr w14:paraId="276C25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71805B3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81</w:t>
            </w:r>
          </w:p>
        </w:tc>
        <w:tc>
          <w:tcPr>
            <w:tcW w:w="182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0F3BAF33">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锐枝木蓼</w:t>
            </w:r>
          </w:p>
        </w:tc>
        <w:tc>
          <w:tcPr>
            <w:tcW w:w="613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00080A27">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Atraphaxis pungens</w:t>
            </w:r>
          </w:p>
        </w:tc>
      </w:tr>
      <w:tr w14:paraId="251982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2AF6F5A4">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82</w:t>
            </w:r>
          </w:p>
        </w:tc>
        <w:tc>
          <w:tcPr>
            <w:tcW w:w="182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46BA5954">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泡果沙拐枣</w:t>
            </w:r>
          </w:p>
        </w:tc>
        <w:tc>
          <w:tcPr>
            <w:tcW w:w="613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763468D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Calligonum junceum</w:t>
            </w:r>
          </w:p>
        </w:tc>
      </w:tr>
      <w:tr w14:paraId="179722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59344E45">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83</w:t>
            </w:r>
          </w:p>
        </w:tc>
        <w:tc>
          <w:tcPr>
            <w:tcW w:w="182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3AC13E9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淡枝沙拐枣</w:t>
            </w:r>
          </w:p>
        </w:tc>
        <w:tc>
          <w:tcPr>
            <w:tcW w:w="613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5E660673">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Calligonum leucocladum</w:t>
            </w:r>
          </w:p>
        </w:tc>
      </w:tr>
      <w:tr w14:paraId="6BC90B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1B5824D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十四</w:t>
            </w:r>
          </w:p>
        </w:tc>
        <w:tc>
          <w:tcPr>
            <w:tcW w:w="7962" w:type="dxa"/>
            <w:gridSpan w:val="2"/>
            <w:tcBorders>
              <w:top w:val="single" w:color="000000" w:sz="4" w:space="0"/>
              <w:left w:val="single" w:color="000000" w:sz="4" w:space="0"/>
              <w:bottom w:val="single" w:color="000000" w:sz="4" w:space="0"/>
              <w:right w:val="single" w:color="000000" w:sz="4" w:space="0"/>
              <w:tl2br w:val="nil"/>
              <w:tr2bl w:val="nil"/>
            </w:tcBorders>
            <w:noWrap w:val="0"/>
            <w:vAlign w:val="top"/>
          </w:tcPr>
          <w:p w14:paraId="1E46031E">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麻黄科</w:t>
            </w:r>
          </w:p>
        </w:tc>
      </w:tr>
      <w:tr w14:paraId="54F0A3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25B66AB4">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84</w:t>
            </w:r>
          </w:p>
        </w:tc>
        <w:tc>
          <w:tcPr>
            <w:tcW w:w="182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2D75A2B4">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蛇麻黄</w:t>
            </w:r>
          </w:p>
        </w:tc>
        <w:tc>
          <w:tcPr>
            <w:tcW w:w="613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2EFB9536">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Ephedra distachya</w:t>
            </w:r>
          </w:p>
        </w:tc>
      </w:tr>
      <w:tr w14:paraId="1B1C12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66A4FEA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十五</w:t>
            </w:r>
          </w:p>
        </w:tc>
        <w:tc>
          <w:tcPr>
            <w:tcW w:w="7962" w:type="dxa"/>
            <w:gridSpan w:val="2"/>
            <w:tcBorders>
              <w:top w:val="single" w:color="000000" w:sz="4" w:space="0"/>
              <w:left w:val="single" w:color="000000" w:sz="4" w:space="0"/>
              <w:bottom w:val="single" w:color="000000" w:sz="4" w:space="0"/>
              <w:right w:val="single" w:color="000000" w:sz="4" w:space="0"/>
              <w:tl2br w:val="nil"/>
              <w:tr2bl w:val="nil"/>
            </w:tcBorders>
            <w:noWrap w:val="0"/>
            <w:vAlign w:val="top"/>
          </w:tcPr>
          <w:p w14:paraId="5CB14A5C">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罂粟科</w:t>
            </w:r>
          </w:p>
        </w:tc>
      </w:tr>
      <w:tr w14:paraId="3A67EF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361D30D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85</w:t>
            </w:r>
          </w:p>
        </w:tc>
        <w:tc>
          <w:tcPr>
            <w:tcW w:w="182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54060C9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小花角茴香</w:t>
            </w:r>
          </w:p>
        </w:tc>
        <w:tc>
          <w:tcPr>
            <w:tcW w:w="613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434D74A8">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Hypecoum parviflorum</w:t>
            </w:r>
          </w:p>
        </w:tc>
      </w:tr>
      <w:tr w14:paraId="405EEA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3D693063">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十六</w:t>
            </w:r>
          </w:p>
        </w:tc>
        <w:tc>
          <w:tcPr>
            <w:tcW w:w="7962" w:type="dxa"/>
            <w:gridSpan w:val="2"/>
            <w:tcBorders>
              <w:top w:val="single" w:color="000000" w:sz="4" w:space="0"/>
              <w:left w:val="single" w:color="000000" w:sz="4" w:space="0"/>
              <w:bottom w:val="single" w:color="000000" w:sz="4" w:space="0"/>
              <w:right w:val="single" w:color="000000" w:sz="4" w:space="0"/>
              <w:tl2br w:val="nil"/>
              <w:tr2bl w:val="nil"/>
            </w:tcBorders>
            <w:noWrap w:val="0"/>
            <w:vAlign w:val="top"/>
          </w:tcPr>
          <w:p w14:paraId="5DCD23D4">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莎草科</w:t>
            </w:r>
          </w:p>
        </w:tc>
      </w:tr>
      <w:tr w14:paraId="6AE313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2F2CBD4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86</w:t>
            </w:r>
          </w:p>
        </w:tc>
        <w:tc>
          <w:tcPr>
            <w:tcW w:w="182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337DF53B">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囊果苔草</w:t>
            </w:r>
          </w:p>
        </w:tc>
        <w:tc>
          <w:tcPr>
            <w:tcW w:w="613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4C79D96C">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Carex physodes</w:t>
            </w:r>
          </w:p>
        </w:tc>
      </w:tr>
      <w:tr w14:paraId="440681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1F0C317B">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十七</w:t>
            </w:r>
          </w:p>
        </w:tc>
        <w:tc>
          <w:tcPr>
            <w:tcW w:w="7962" w:type="dxa"/>
            <w:gridSpan w:val="2"/>
            <w:tcBorders>
              <w:top w:val="single" w:color="000000" w:sz="4" w:space="0"/>
              <w:left w:val="single" w:color="000000" w:sz="4" w:space="0"/>
              <w:bottom w:val="single" w:color="000000" w:sz="4" w:space="0"/>
              <w:right w:val="single" w:color="000000" w:sz="4" w:space="0"/>
              <w:tl2br w:val="nil"/>
              <w:tr2bl w:val="nil"/>
            </w:tcBorders>
            <w:noWrap w:val="0"/>
            <w:vAlign w:val="top"/>
          </w:tcPr>
          <w:p w14:paraId="047E3C8A">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鸢尾科</w:t>
            </w:r>
          </w:p>
        </w:tc>
      </w:tr>
      <w:tr w14:paraId="2B2BF9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3A7B44C5">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87</w:t>
            </w:r>
          </w:p>
        </w:tc>
        <w:tc>
          <w:tcPr>
            <w:tcW w:w="182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5027BBBB">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细叶鸢尾</w:t>
            </w:r>
          </w:p>
        </w:tc>
        <w:tc>
          <w:tcPr>
            <w:tcW w:w="613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2548A27E">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Iris tenuifolia</w:t>
            </w:r>
          </w:p>
        </w:tc>
      </w:tr>
      <w:tr w14:paraId="17B209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2873F09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十八</w:t>
            </w:r>
          </w:p>
        </w:tc>
        <w:tc>
          <w:tcPr>
            <w:tcW w:w="7962" w:type="dxa"/>
            <w:gridSpan w:val="2"/>
            <w:tcBorders>
              <w:top w:val="single" w:color="000000" w:sz="4" w:space="0"/>
              <w:left w:val="single" w:color="000000" w:sz="4" w:space="0"/>
              <w:bottom w:val="single" w:color="000000" w:sz="4" w:space="0"/>
              <w:right w:val="single" w:color="000000" w:sz="4" w:space="0"/>
              <w:tl2br w:val="nil"/>
              <w:tr2bl w:val="nil"/>
            </w:tcBorders>
            <w:noWrap w:val="0"/>
            <w:vAlign w:val="top"/>
          </w:tcPr>
          <w:p w14:paraId="178B1D0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伞形科</w:t>
            </w:r>
          </w:p>
        </w:tc>
      </w:tr>
      <w:tr w14:paraId="5A7D9F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7A74116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88</w:t>
            </w:r>
          </w:p>
        </w:tc>
        <w:tc>
          <w:tcPr>
            <w:tcW w:w="182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3708D61B">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簇花芹</w:t>
            </w:r>
          </w:p>
        </w:tc>
        <w:tc>
          <w:tcPr>
            <w:tcW w:w="613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2580DA1E">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Soranthus meveri</w:t>
            </w:r>
          </w:p>
        </w:tc>
      </w:tr>
      <w:tr w14:paraId="0B308F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3968943C">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十九</w:t>
            </w:r>
          </w:p>
        </w:tc>
        <w:tc>
          <w:tcPr>
            <w:tcW w:w="7962" w:type="dxa"/>
            <w:gridSpan w:val="2"/>
            <w:tcBorders>
              <w:top w:val="single" w:color="000000" w:sz="4" w:space="0"/>
              <w:left w:val="single" w:color="000000" w:sz="4" w:space="0"/>
              <w:bottom w:val="single" w:color="000000" w:sz="4" w:space="0"/>
              <w:right w:val="single" w:color="000000" w:sz="4" w:space="0"/>
              <w:tl2br w:val="nil"/>
              <w:tr2bl w:val="nil"/>
            </w:tcBorders>
            <w:noWrap w:val="0"/>
            <w:vAlign w:val="top"/>
          </w:tcPr>
          <w:p w14:paraId="7C4826B1">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白花丹科</w:t>
            </w:r>
          </w:p>
        </w:tc>
      </w:tr>
      <w:tr w14:paraId="5C7CF3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13D1ADCE">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89</w:t>
            </w:r>
          </w:p>
        </w:tc>
        <w:tc>
          <w:tcPr>
            <w:tcW w:w="182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394FBCD3">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补血草</w:t>
            </w:r>
          </w:p>
        </w:tc>
        <w:tc>
          <w:tcPr>
            <w:tcW w:w="613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64A5F7F6">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Limonium sinense</w:t>
            </w:r>
          </w:p>
        </w:tc>
      </w:tr>
      <w:tr w14:paraId="0C24CA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4EA0A9C5">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二十</w:t>
            </w:r>
          </w:p>
        </w:tc>
        <w:tc>
          <w:tcPr>
            <w:tcW w:w="7962" w:type="dxa"/>
            <w:gridSpan w:val="2"/>
            <w:tcBorders>
              <w:top w:val="single" w:color="000000" w:sz="4" w:space="0"/>
              <w:left w:val="single" w:color="000000" w:sz="4" w:space="0"/>
              <w:bottom w:val="single" w:color="000000" w:sz="4" w:space="0"/>
              <w:right w:val="single" w:color="000000" w:sz="4" w:space="0"/>
              <w:tl2br w:val="nil"/>
              <w:tr2bl w:val="nil"/>
            </w:tcBorders>
            <w:noWrap w:val="0"/>
            <w:vAlign w:val="top"/>
          </w:tcPr>
          <w:p w14:paraId="705E0DF5">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牻牛儿苗科</w:t>
            </w:r>
          </w:p>
        </w:tc>
      </w:tr>
      <w:tr w14:paraId="0DB4DA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4941BD94">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90</w:t>
            </w:r>
          </w:p>
        </w:tc>
        <w:tc>
          <w:tcPr>
            <w:tcW w:w="182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64FEAD2C">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尖喙牻牛儿苗</w:t>
            </w:r>
          </w:p>
        </w:tc>
        <w:tc>
          <w:tcPr>
            <w:tcW w:w="613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7BAED86A">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Erodium oxyrrhynchum</w:t>
            </w:r>
          </w:p>
        </w:tc>
      </w:tr>
      <w:tr w14:paraId="105868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56B1E0E6">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二十一</w:t>
            </w:r>
          </w:p>
        </w:tc>
        <w:tc>
          <w:tcPr>
            <w:tcW w:w="7962" w:type="dxa"/>
            <w:gridSpan w:val="2"/>
            <w:tcBorders>
              <w:top w:val="single" w:color="000000" w:sz="4" w:space="0"/>
              <w:left w:val="single" w:color="000000" w:sz="4" w:space="0"/>
              <w:bottom w:val="single" w:color="000000" w:sz="4" w:space="0"/>
              <w:right w:val="single" w:color="000000" w:sz="4" w:space="0"/>
              <w:tl2br w:val="nil"/>
              <w:tr2bl w:val="nil"/>
            </w:tcBorders>
            <w:noWrap w:val="0"/>
            <w:vAlign w:val="top"/>
          </w:tcPr>
          <w:p w14:paraId="2DB07CE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车前科</w:t>
            </w:r>
          </w:p>
        </w:tc>
      </w:tr>
      <w:tr w14:paraId="6E64E1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179366D1">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91</w:t>
            </w:r>
          </w:p>
        </w:tc>
        <w:tc>
          <w:tcPr>
            <w:tcW w:w="182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2D2D77BE">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小车前</w:t>
            </w:r>
          </w:p>
        </w:tc>
        <w:tc>
          <w:tcPr>
            <w:tcW w:w="613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6A98AD3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Plantago minuta</w:t>
            </w:r>
          </w:p>
        </w:tc>
      </w:tr>
      <w:tr w14:paraId="17BD16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008219C1">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二十二</w:t>
            </w:r>
          </w:p>
        </w:tc>
        <w:tc>
          <w:tcPr>
            <w:tcW w:w="7962" w:type="dxa"/>
            <w:gridSpan w:val="2"/>
            <w:tcBorders>
              <w:top w:val="single" w:color="000000" w:sz="4" w:space="0"/>
              <w:left w:val="single" w:color="000000" w:sz="4" w:space="0"/>
              <w:bottom w:val="single" w:color="000000" w:sz="4" w:space="0"/>
              <w:right w:val="single" w:color="000000" w:sz="4" w:space="0"/>
              <w:tl2br w:val="nil"/>
              <w:tr2bl w:val="nil"/>
            </w:tcBorders>
            <w:noWrap w:val="0"/>
            <w:vAlign w:val="top"/>
          </w:tcPr>
          <w:p w14:paraId="3E6CD1F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列当科</w:t>
            </w:r>
          </w:p>
        </w:tc>
      </w:tr>
      <w:tr w14:paraId="7D93F7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36CA0463">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92</w:t>
            </w:r>
          </w:p>
        </w:tc>
        <w:tc>
          <w:tcPr>
            <w:tcW w:w="182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548E62B1">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列当</w:t>
            </w:r>
          </w:p>
        </w:tc>
        <w:tc>
          <w:tcPr>
            <w:tcW w:w="6136"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62DC27B3">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Orobanche coerulescens</w:t>
            </w:r>
          </w:p>
        </w:tc>
      </w:tr>
    </w:tbl>
    <w:p w14:paraId="35B52F2E">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（3）评价区植被现状调查</w:t>
      </w:r>
    </w:p>
    <w:p w14:paraId="0E107614">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本次评价在生态评价范围内选取植被现状调查样方3个，调查日期为202</w:t>
      </w:r>
      <w:r>
        <w:rPr>
          <w:rFonts w:hint="default"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年</w:t>
      </w:r>
      <w:r>
        <w:rPr>
          <w:rFonts w:hint="default"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rPr>
        <w:t>月</w:t>
      </w:r>
      <w:r>
        <w:rPr>
          <w:rFonts w:hint="default" w:ascii="Times New Roman" w:hAnsi="Times New Roman" w:cs="Times New Roman"/>
          <w:color w:val="auto"/>
          <w:sz w:val="24"/>
          <w:szCs w:val="24"/>
          <w:highlight w:val="none"/>
          <w:lang w:val="en-US" w:eastAsia="zh-CN"/>
        </w:rPr>
        <w:t>24</w:t>
      </w:r>
      <w:r>
        <w:rPr>
          <w:rFonts w:hint="default" w:ascii="Times New Roman" w:hAnsi="Times New Roman" w:cs="Times New Roman"/>
          <w:color w:val="auto"/>
          <w:sz w:val="24"/>
          <w:szCs w:val="24"/>
          <w:highlight w:val="none"/>
        </w:rPr>
        <w:t>日，样方面积1×1m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，调查样方内所有物种的高度、多度、投影盖度等植物群落学特征，样方调查分析表见表4.3-</w:t>
      </w:r>
      <w:r>
        <w:rPr>
          <w:rFonts w:hint="eastAsia" w:ascii="Times New Roman" w:hAnsi="Times New Roman" w:cs="Times New Roman"/>
          <w:color w:val="auto"/>
          <w:sz w:val="24"/>
          <w:szCs w:val="24"/>
          <w:highlight w:val="none"/>
          <w:lang w:val="en-US" w:eastAsia="zh-CN"/>
        </w:rPr>
        <w:t>7</w:t>
      </w:r>
      <w:r>
        <w:rPr>
          <w:rFonts w:hint="default" w:ascii="Times New Roman" w:hAnsi="Times New Roman" w:cs="Times New Roman"/>
          <w:color w:val="auto"/>
          <w:sz w:val="24"/>
          <w:szCs w:val="24"/>
          <w:highlight w:val="none"/>
        </w:rPr>
        <w:t>、4.3-</w:t>
      </w:r>
      <w:r>
        <w:rPr>
          <w:rFonts w:hint="eastAsia" w:ascii="Times New Roman" w:hAnsi="Times New Roman" w:cs="Times New Roman"/>
          <w:color w:val="auto"/>
          <w:sz w:val="24"/>
          <w:szCs w:val="24"/>
          <w:highlight w:val="none"/>
          <w:lang w:val="en-US" w:eastAsia="zh-CN"/>
        </w:rPr>
        <w:t>8</w:t>
      </w:r>
      <w:r>
        <w:rPr>
          <w:rFonts w:hint="default" w:ascii="Times New Roman" w:hAnsi="Times New Roman" w:cs="Times New Roman"/>
          <w:color w:val="auto"/>
          <w:sz w:val="24"/>
          <w:szCs w:val="24"/>
          <w:highlight w:val="none"/>
        </w:rPr>
        <w:t>、4.3-</w:t>
      </w:r>
      <w:r>
        <w:rPr>
          <w:rFonts w:hint="eastAsia" w:ascii="Times New Roman" w:hAnsi="Times New Roman" w:cs="Times New Roman"/>
          <w:color w:val="auto"/>
          <w:sz w:val="24"/>
          <w:szCs w:val="24"/>
          <w:highlight w:val="none"/>
          <w:lang w:val="en-US" w:eastAsia="zh-CN"/>
        </w:rPr>
        <w:t>9</w:t>
      </w:r>
      <w:r>
        <w:rPr>
          <w:rFonts w:hint="default" w:ascii="Times New Roman" w:hAnsi="Times New Roman" w:cs="Times New Roman"/>
          <w:color w:val="auto"/>
          <w:sz w:val="24"/>
          <w:szCs w:val="24"/>
          <w:highlight w:val="none"/>
        </w:rPr>
        <w:t>。</w:t>
      </w:r>
    </w:p>
    <w:p w14:paraId="6A3E9288">
      <w:pPr>
        <w:pStyle w:val="45"/>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表4.3-7    样方1</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7"/>
        <w:gridCol w:w="8039"/>
      </w:tblGrid>
      <w:tr w14:paraId="2E81A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5" w:type="dxa"/>
            <w:tcBorders>
              <w:top w:val="single" w:color="auto" w:sz="4" w:space="0"/>
              <w:left w:val="single" w:color="auto" w:sz="4" w:space="0"/>
              <w:bottom w:val="single" w:color="auto" w:sz="4" w:space="0"/>
              <w:right w:val="single" w:color="auto" w:sz="4" w:space="0"/>
              <w:tl2br w:val="nil"/>
              <w:tr2bl w:val="nil"/>
            </w:tcBorders>
            <w:noWrap w:val="0"/>
            <w:vAlign w:val="top"/>
          </w:tcPr>
          <w:p w14:paraId="51F7C665">
            <w:pPr>
              <w:pStyle w:val="5"/>
              <w:numPr>
                <w:ilvl w:val="0"/>
                <w:numId w:val="0"/>
              </w:numPr>
              <w:spacing w:beforeLines="0" w:afterLines="0" w:line="240" w:lineRule="auto"/>
              <w:ind w:left="0" w:firstLine="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样方图片</w:t>
            </w:r>
          </w:p>
        </w:tc>
        <w:tc>
          <w:tcPr>
            <w:tcW w:w="8201" w:type="dxa"/>
            <w:tcBorders>
              <w:top w:val="single" w:color="auto" w:sz="4" w:space="0"/>
              <w:left w:val="single" w:color="auto" w:sz="4" w:space="0"/>
              <w:bottom w:val="single" w:color="auto" w:sz="4" w:space="0"/>
              <w:right w:val="single" w:color="auto" w:sz="4" w:space="0"/>
              <w:tl2br w:val="nil"/>
              <w:tr2bl w:val="nil"/>
            </w:tcBorders>
            <w:noWrap w:val="0"/>
            <w:vAlign w:val="top"/>
          </w:tcPr>
          <w:p w14:paraId="074B0504">
            <w:pPr>
              <w:pStyle w:val="5"/>
              <w:numPr>
                <w:ilvl w:val="0"/>
                <w:numId w:val="0"/>
              </w:numPr>
              <w:spacing w:beforeLines="0" w:afterLines="0" w:line="240" w:lineRule="auto"/>
              <w:ind w:left="0" w:firstLine="0"/>
              <w:outlineLvl w:val="9"/>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drawing>
                <wp:inline distT="0" distB="0" distL="114300" distR="114300">
                  <wp:extent cx="4549775" cy="3410585"/>
                  <wp:effectExtent l="0" t="0" r="9525" b="5715"/>
                  <wp:docPr id="143" name="图片 41" descr="样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41" descr="样方1"/>
                          <pic:cNvPicPr>
                            <a:picLocks noChangeAspect="1"/>
                          </pic:cNvPicPr>
                        </pic:nvPicPr>
                        <pic:blipFill>
                          <a:blip r:embed="rId22"/>
                          <a:stretch>
                            <a:fillRect/>
                          </a:stretch>
                        </pic:blipFill>
                        <pic:spPr>
                          <a:xfrm>
                            <a:off x="0" y="0"/>
                            <a:ext cx="4549775" cy="3410585"/>
                          </a:xfrm>
                          <a:prstGeom prst="rect">
                            <a:avLst/>
                          </a:prstGeom>
                          <a:noFill/>
                          <a:ln>
                            <a:noFill/>
                          </a:ln>
                        </pic:spPr>
                      </pic:pic>
                    </a:graphicData>
                  </a:graphic>
                </wp:inline>
              </w:drawing>
            </w:r>
          </w:p>
        </w:tc>
      </w:tr>
      <w:tr w14:paraId="7BCF3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5" w:type="dxa"/>
            <w:tcBorders>
              <w:top w:val="single" w:color="auto" w:sz="4" w:space="0"/>
              <w:left w:val="single" w:color="auto" w:sz="4" w:space="0"/>
              <w:bottom w:val="single" w:color="auto" w:sz="4" w:space="0"/>
              <w:right w:val="single" w:color="auto" w:sz="4" w:space="0"/>
              <w:tl2br w:val="nil"/>
              <w:tr2bl w:val="nil"/>
            </w:tcBorders>
            <w:noWrap w:val="0"/>
            <w:vAlign w:val="top"/>
          </w:tcPr>
          <w:p w14:paraId="2117D3A3">
            <w:pPr>
              <w:pStyle w:val="5"/>
              <w:numPr>
                <w:ilvl w:val="0"/>
                <w:numId w:val="0"/>
              </w:numPr>
              <w:spacing w:beforeLines="0" w:afterLines="0" w:line="240" w:lineRule="auto"/>
              <w:ind w:left="0" w:firstLine="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调查地点</w:t>
            </w:r>
          </w:p>
        </w:tc>
        <w:tc>
          <w:tcPr>
            <w:tcW w:w="8201" w:type="dxa"/>
            <w:tcBorders>
              <w:top w:val="single" w:color="auto" w:sz="4" w:space="0"/>
              <w:left w:val="single" w:color="auto" w:sz="4" w:space="0"/>
              <w:bottom w:val="single" w:color="auto" w:sz="4" w:space="0"/>
              <w:right w:val="single" w:color="auto" w:sz="4" w:space="0"/>
              <w:tl2br w:val="nil"/>
              <w:tr2bl w:val="nil"/>
            </w:tcBorders>
            <w:noWrap w:val="0"/>
            <w:vAlign w:val="top"/>
          </w:tcPr>
          <w:p w14:paraId="07346D2D">
            <w:pPr>
              <w:pStyle w:val="5"/>
              <w:numPr>
                <w:ilvl w:val="0"/>
                <w:numId w:val="0"/>
              </w:numPr>
              <w:spacing w:beforeLines="0" w:afterLines="0" w:line="240" w:lineRule="auto"/>
              <w:ind w:left="0" w:firstLine="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项目区内</w:t>
            </w:r>
          </w:p>
        </w:tc>
      </w:tr>
      <w:tr w14:paraId="276CB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5" w:type="dxa"/>
            <w:tcBorders>
              <w:top w:val="single" w:color="auto" w:sz="4" w:space="0"/>
              <w:left w:val="single" w:color="auto" w:sz="4" w:space="0"/>
              <w:bottom w:val="single" w:color="auto" w:sz="4" w:space="0"/>
              <w:right w:val="single" w:color="auto" w:sz="4" w:space="0"/>
              <w:tl2br w:val="nil"/>
              <w:tr2bl w:val="nil"/>
            </w:tcBorders>
            <w:noWrap w:val="0"/>
            <w:vAlign w:val="top"/>
          </w:tcPr>
          <w:p w14:paraId="2E819331">
            <w:pPr>
              <w:pStyle w:val="5"/>
              <w:numPr>
                <w:ilvl w:val="0"/>
                <w:numId w:val="0"/>
              </w:numPr>
              <w:spacing w:beforeLines="0" w:afterLines="0" w:line="240" w:lineRule="auto"/>
              <w:ind w:left="0" w:firstLine="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海拔高度</w:t>
            </w:r>
          </w:p>
        </w:tc>
        <w:tc>
          <w:tcPr>
            <w:tcW w:w="8201" w:type="dxa"/>
            <w:tcBorders>
              <w:top w:val="single" w:color="auto" w:sz="4" w:space="0"/>
              <w:left w:val="single" w:color="auto" w:sz="4" w:space="0"/>
              <w:bottom w:val="single" w:color="auto" w:sz="4" w:space="0"/>
              <w:right w:val="single" w:color="auto" w:sz="4" w:space="0"/>
              <w:tl2br w:val="nil"/>
              <w:tr2bl w:val="nil"/>
            </w:tcBorders>
            <w:noWrap w:val="0"/>
            <w:vAlign w:val="top"/>
          </w:tcPr>
          <w:p w14:paraId="316C1AD6">
            <w:pPr>
              <w:pStyle w:val="5"/>
              <w:numPr>
                <w:ilvl w:val="0"/>
                <w:numId w:val="0"/>
              </w:numPr>
              <w:spacing w:beforeLines="0" w:afterLines="0" w:line="240" w:lineRule="auto"/>
              <w:ind w:left="0" w:firstLine="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598m</w:t>
            </w:r>
          </w:p>
        </w:tc>
      </w:tr>
      <w:tr w14:paraId="3E74C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5" w:type="dxa"/>
            <w:tcBorders>
              <w:top w:val="single" w:color="auto" w:sz="4" w:space="0"/>
              <w:left w:val="single" w:color="auto" w:sz="4" w:space="0"/>
              <w:bottom w:val="single" w:color="auto" w:sz="4" w:space="0"/>
              <w:right w:val="single" w:color="auto" w:sz="4" w:space="0"/>
              <w:tl2br w:val="nil"/>
              <w:tr2bl w:val="nil"/>
            </w:tcBorders>
            <w:noWrap w:val="0"/>
            <w:vAlign w:val="top"/>
          </w:tcPr>
          <w:p w14:paraId="34C4EEED">
            <w:pPr>
              <w:pStyle w:val="5"/>
              <w:numPr>
                <w:ilvl w:val="3"/>
                <w:numId w:val="0"/>
              </w:numPr>
              <w:spacing w:beforeLines="0" w:afterLines="0" w:line="240" w:lineRule="auto"/>
              <w:ind w:left="0" w:firstLine="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调查时间</w:t>
            </w:r>
          </w:p>
        </w:tc>
        <w:tc>
          <w:tcPr>
            <w:tcW w:w="8201" w:type="dxa"/>
            <w:tcBorders>
              <w:top w:val="single" w:color="auto" w:sz="4" w:space="0"/>
              <w:left w:val="single" w:color="auto" w:sz="4" w:space="0"/>
              <w:bottom w:val="single" w:color="auto" w:sz="4" w:space="0"/>
              <w:right w:val="single" w:color="auto" w:sz="4" w:space="0"/>
              <w:tl2br w:val="nil"/>
              <w:tr2bl w:val="nil"/>
            </w:tcBorders>
            <w:noWrap w:val="0"/>
            <w:vAlign w:val="top"/>
          </w:tcPr>
          <w:p w14:paraId="6A6E5E59">
            <w:pPr>
              <w:pStyle w:val="5"/>
              <w:numPr>
                <w:ilvl w:val="0"/>
                <w:numId w:val="0"/>
              </w:numPr>
              <w:spacing w:beforeLines="0" w:afterLines="0" w:line="240" w:lineRule="auto"/>
              <w:ind w:left="0" w:firstLine="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2025年3月24日</w:t>
            </w:r>
          </w:p>
        </w:tc>
      </w:tr>
      <w:tr w14:paraId="3FE7E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5" w:type="dxa"/>
            <w:tcBorders>
              <w:top w:val="single" w:color="auto" w:sz="4" w:space="0"/>
              <w:left w:val="single" w:color="auto" w:sz="4" w:space="0"/>
              <w:bottom w:val="single" w:color="auto" w:sz="4" w:space="0"/>
              <w:right w:val="single" w:color="auto" w:sz="4" w:space="0"/>
              <w:tl2br w:val="nil"/>
              <w:tr2bl w:val="nil"/>
            </w:tcBorders>
            <w:noWrap w:val="0"/>
            <w:vAlign w:val="top"/>
          </w:tcPr>
          <w:p w14:paraId="3B5291CC">
            <w:pPr>
              <w:pStyle w:val="5"/>
              <w:numPr>
                <w:ilvl w:val="3"/>
                <w:numId w:val="0"/>
              </w:numPr>
              <w:spacing w:beforeLines="0" w:afterLines="0" w:line="240" w:lineRule="auto"/>
              <w:ind w:left="0" w:firstLine="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样方尺寸</w:t>
            </w:r>
          </w:p>
        </w:tc>
        <w:tc>
          <w:tcPr>
            <w:tcW w:w="8201" w:type="dxa"/>
            <w:tcBorders>
              <w:top w:val="single" w:color="auto" w:sz="4" w:space="0"/>
              <w:left w:val="single" w:color="auto" w:sz="4" w:space="0"/>
              <w:bottom w:val="single" w:color="auto" w:sz="4" w:space="0"/>
              <w:right w:val="single" w:color="auto" w:sz="4" w:space="0"/>
              <w:tl2br w:val="nil"/>
              <w:tr2bl w:val="nil"/>
            </w:tcBorders>
            <w:noWrap w:val="0"/>
            <w:vAlign w:val="top"/>
          </w:tcPr>
          <w:p w14:paraId="461A6162">
            <w:pPr>
              <w:pStyle w:val="5"/>
              <w:numPr>
                <w:ilvl w:val="0"/>
                <w:numId w:val="0"/>
              </w:numPr>
              <w:spacing w:beforeLines="0" w:afterLines="0" w:line="240" w:lineRule="auto"/>
              <w:ind w:left="0" w:firstLine="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1×1m</w:t>
            </w:r>
          </w:p>
        </w:tc>
      </w:tr>
      <w:tr w14:paraId="27A7E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5" w:type="dxa"/>
            <w:tcBorders>
              <w:top w:val="single" w:color="auto" w:sz="4" w:space="0"/>
              <w:left w:val="single" w:color="auto" w:sz="4" w:space="0"/>
              <w:bottom w:val="single" w:color="auto" w:sz="4" w:space="0"/>
              <w:right w:val="single" w:color="auto" w:sz="4" w:space="0"/>
              <w:tl2br w:val="nil"/>
              <w:tr2bl w:val="nil"/>
            </w:tcBorders>
            <w:noWrap w:val="0"/>
            <w:vAlign w:val="top"/>
          </w:tcPr>
          <w:p w14:paraId="1E5FE64B">
            <w:pPr>
              <w:pStyle w:val="5"/>
              <w:numPr>
                <w:ilvl w:val="0"/>
                <w:numId w:val="0"/>
              </w:numPr>
              <w:spacing w:beforeLines="0" w:afterLines="0" w:line="240" w:lineRule="auto"/>
              <w:ind w:left="0" w:firstLine="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植物</w:t>
            </w:r>
          </w:p>
        </w:tc>
        <w:tc>
          <w:tcPr>
            <w:tcW w:w="8201" w:type="dxa"/>
            <w:tcBorders>
              <w:top w:val="single" w:color="auto" w:sz="4" w:space="0"/>
              <w:left w:val="single" w:color="auto" w:sz="4" w:space="0"/>
              <w:bottom w:val="single" w:color="auto" w:sz="4" w:space="0"/>
              <w:right w:val="single" w:color="auto" w:sz="4" w:space="0"/>
              <w:tl2br w:val="nil"/>
              <w:tr2bl w:val="nil"/>
            </w:tcBorders>
            <w:noWrap w:val="0"/>
            <w:vAlign w:val="top"/>
          </w:tcPr>
          <w:p w14:paraId="0825B02B">
            <w:pPr>
              <w:pStyle w:val="5"/>
              <w:numPr>
                <w:ilvl w:val="0"/>
                <w:numId w:val="0"/>
              </w:numPr>
              <w:spacing w:beforeLines="0" w:afterLines="0" w:line="240" w:lineRule="auto"/>
              <w:ind w:left="0" w:firstLine="0"/>
              <w:outlineLvl w:val="9"/>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drawing>
                <wp:inline distT="0" distB="0" distL="114300" distR="114300">
                  <wp:extent cx="4356100" cy="3208020"/>
                  <wp:effectExtent l="0" t="0" r="0" b="5080"/>
                  <wp:docPr id="144" name="图片 42" descr="样方1植物（膜果麻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42" descr="样方1植物（膜果麻黄）"/>
                          <pic:cNvPicPr>
                            <a:picLocks noChangeAspect="1"/>
                          </pic:cNvPicPr>
                        </pic:nvPicPr>
                        <pic:blipFill>
                          <a:blip r:embed="rId23"/>
                          <a:srcRect l="1352" t="22946" r="1094" b="23169"/>
                          <a:stretch>
                            <a:fillRect/>
                          </a:stretch>
                        </pic:blipFill>
                        <pic:spPr>
                          <a:xfrm>
                            <a:off x="0" y="0"/>
                            <a:ext cx="4356100" cy="3208020"/>
                          </a:xfrm>
                          <a:prstGeom prst="rect">
                            <a:avLst/>
                          </a:prstGeom>
                          <a:noFill/>
                          <a:ln>
                            <a:noFill/>
                          </a:ln>
                        </pic:spPr>
                      </pic:pic>
                    </a:graphicData>
                  </a:graphic>
                </wp:inline>
              </w:drawing>
            </w:r>
          </w:p>
        </w:tc>
      </w:tr>
      <w:tr w14:paraId="2E17A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5" w:type="dxa"/>
            <w:tcBorders>
              <w:top w:val="single" w:color="auto" w:sz="4" w:space="0"/>
              <w:left w:val="single" w:color="auto" w:sz="4" w:space="0"/>
              <w:bottom w:val="single" w:color="auto" w:sz="4" w:space="0"/>
              <w:right w:val="single" w:color="auto" w:sz="4" w:space="0"/>
              <w:tl2br w:val="nil"/>
              <w:tr2bl w:val="nil"/>
            </w:tcBorders>
            <w:noWrap w:val="0"/>
            <w:vAlign w:val="top"/>
          </w:tcPr>
          <w:p w14:paraId="67FC058B">
            <w:pPr>
              <w:pStyle w:val="5"/>
              <w:numPr>
                <w:ilvl w:val="0"/>
                <w:numId w:val="0"/>
              </w:numPr>
              <w:spacing w:beforeLines="0" w:afterLines="0" w:line="240" w:lineRule="auto"/>
              <w:ind w:left="0" w:firstLine="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植物名称及</w:t>
            </w:r>
          </w:p>
        </w:tc>
        <w:tc>
          <w:tcPr>
            <w:tcW w:w="8201" w:type="dxa"/>
            <w:tcBorders>
              <w:top w:val="single" w:color="auto" w:sz="4" w:space="0"/>
              <w:left w:val="single" w:color="auto" w:sz="4" w:space="0"/>
              <w:bottom w:val="single" w:color="auto" w:sz="4" w:space="0"/>
              <w:right w:val="single" w:color="auto" w:sz="4" w:space="0"/>
              <w:tl2br w:val="nil"/>
              <w:tr2bl w:val="nil"/>
            </w:tcBorders>
            <w:noWrap w:val="0"/>
            <w:vAlign w:val="top"/>
          </w:tcPr>
          <w:p w14:paraId="336A0CBA">
            <w:pPr>
              <w:bidi w:val="0"/>
              <w:spacing w:line="240" w:lineRule="auto"/>
              <w:ind w:left="0" w:leftChars="0" w:firstLine="0" w:firstLineChars="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highlight w:val="none"/>
                <w:lang w:val="en-US" w:eastAsia="zh-CN"/>
              </w:rPr>
              <w:t>膜果麻黄：学名：Ephedra przewalskii Stapf，是麻黄科麻黄属植物。多年生低矮灌木。</w:t>
            </w:r>
            <w:r>
              <w:rPr>
                <w:rFonts w:hint="default" w:ascii="Times New Roman" w:hAnsi="Times New Roman" w:eastAsia="宋体" w:cs="Times New Roman"/>
                <w:color w:val="auto"/>
                <w:highlight w:val="none"/>
              </w:rPr>
              <w:t>强旱生植物，具有抗寒、耐热、耐旱、耐盐碱及耐土壤瘠薄的特点</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与梭梭、柽柳、沙拐枣等旱生植物混生</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分布于中国内蒙古、宁夏、甘肃、青海、新疆等地</w:t>
            </w:r>
            <w:r>
              <w:rPr>
                <w:rFonts w:hint="default" w:ascii="Times New Roman" w:hAnsi="Times New Roman" w:eastAsia="宋体" w:cs="Times New Roman"/>
                <w:color w:val="auto"/>
                <w:highlight w:val="none"/>
                <w:lang w:eastAsia="zh-CN"/>
              </w:rPr>
              <w:t>。</w:t>
            </w:r>
          </w:p>
        </w:tc>
      </w:tr>
    </w:tbl>
    <w:p w14:paraId="2637102C">
      <w:pPr>
        <w:pStyle w:val="14"/>
        <w:kinsoku w:val="0"/>
        <w:overflowPunct w:val="0"/>
        <w:spacing w:beforeLines="0" w:afterLines="0"/>
        <w:ind w:left="0"/>
        <w:rPr>
          <w:rFonts w:hint="default" w:ascii="Times New Roman" w:hAnsi="Times New Roman" w:cs="Times New Roman"/>
          <w:b/>
          <w:color w:val="auto"/>
          <w:sz w:val="20"/>
          <w:szCs w:val="24"/>
          <w:highlight w:val="none"/>
        </w:rPr>
      </w:pPr>
    </w:p>
    <w:p w14:paraId="53864FD3">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表4.3-8   样方2  </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5"/>
        <w:gridCol w:w="7961"/>
      </w:tblGrid>
      <w:tr w14:paraId="18B85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5" w:type="dxa"/>
            <w:tcBorders>
              <w:top w:val="single" w:color="auto" w:sz="4" w:space="0"/>
              <w:left w:val="single" w:color="auto" w:sz="4" w:space="0"/>
              <w:bottom w:val="single" w:color="auto" w:sz="4" w:space="0"/>
              <w:right w:val="single" w:color="auto" w:sz="4" w:space="0"/>
              <w:tl2br w:val="nil"/>
              <w:tr2bl w:val="nil"/>
            </w:tcBorders>
            <w:noWrap w:val="0"/>
            <w:vAlign w:val="top"/>
          </w:tcPr>
          <w:p w14:paraId="17EFEF15">
            <w:pPr>
              <w:pStyle w:val="5"/>
              <w:numPr>
                <w:ilvl w:val="3"/>
                <w:numId w:val="0"/>
              </w:numPr>
              <w:spacing w:beforeLines="0" w:afterLines="0"/>
              <w:ind w:left="0" w:firstLine="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样方图片</w:t>
            </w:r>
          </w:p>
        </w:tc>
        <w:tc>
          <w:tcPr>
            <w:tcW w:w="8201" w:type="dxa"/>
            <w:tcBorders>
              <w:top w:val="single" w:color="auto" w:sz="4" w:space="0"/>
              <w:left w:val="single" w:color="auto" w:sz="4" w:space="0"/>
              <w:bottom w:val="single" w:color="auto" w:sz="4" w:space="0"/>
              <w:right w:val="single" w:color="auto" w:sz="4" w:space="0"/>
              <w:tl2br w:val="nil"/>
              <w:tr2bl w:val="nil"/>
            </w:tcBorders>
            <w:noWrap w:val="0"/>
            <w:vAlign w:val="top"/>
          </w:tcPr>
          <w:p w14:paraId="3E597F62">
            <w:pPr>
              <w:pStyle w:val="5"/>
              <w:numPr>
                <w:ilvl w:val="3"/>
                <w:numId w:val="0"/>
              </w:numPr>
              <w:spacing w:beforeLines="0" w:afterLines="0"/>
              <w:ind w:left="0" w:firstLine="0"/>
              <w:outlineLvl w:val="9"/>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drawing>
                <wp:inline distT="0" distB="0" distL="114300" distR="114300">
                  <wp:extent cx="3815715" cy="2860675"/>
                  <wp:effectExtent l="0" t="0" r="6985" b="9525"/>
                  <wp:docPr id="170" name="图片 170" descr="样方3（梭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descr="样方3（梭梭）"/>
                          <pic:cNvPicPr>
                            <a:picLocks noChangeAspect="1"/>
                          </pic:cNvPicPr>
                        </pic:nvPicPr>
                        <pic:blipFill>
                          <a:blip r:embed="rId24"/>
                          <a:stretch>
                            <a:fillRect/>
                          </a:stretch>
                        </pic:blipFill>
                        <pic:spPr>
                          <a:xfrm>
                            <a:off x="0" y="0"/>
                            <a:ext cx="3815715" cy="2860675"/>
                          </a:xfrm>
                          <a:prstGeom prst="rect">
                            <a:avLst/>
                          </a:prstGeom>
                        </pic:spPr>
                      </pic:pic>
                    </a:graphicData>
                  </a:graphic>
                </wp:inline>
              </w:drawing>
            </w:r>
          </w:p>
        </w:tc>
      </w:tr>
      <w:tr w14:paraId="2075E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5" w:type="dxa"/>
            <w:tcBorders>
              <w:top w:val="single" w:color="auto" w:sz="4" w:space="0"/>
              <w:left w:val="single" w:color="auto" w:sz="4" w:space="0"/>
              <w:bottom w:val="single" w:color="auto" w:sz="4" w:space="0"/>
              <w:right w:val="single" w:color="auto" w:sz="4" w:space="0"/>
              <w:tl2br w:val="nil"/>
              <w:tr2bl w:val="nil"/>
            </w:tcBorders>
            <w:noWrap w:val="0"/>
            <w:vAlign w:val="top"/>
          </w:tcPr>
          <w:p w14:paraId="6F30DFA7">
            <w:pPr>
              <w:pStyle w:val="5"/>
              <w:numPr>
                <w:ilvl w:val="3"/>
                <w:numId w:val="0"/>
              </w:numPr>
              <w:spacing w:beforeLines="0" w:afterLines="0"/>
              <w:ind w:left="0" w:firstLine="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调查地点</w:t>
            </w:r>
          </w:p>
        </w:tc>
        <w:tc>
          <w:tcPr>
            <w:tcW w:w="8201" w:type="dxa"/>
            <w:tcBorders>
              <w:top w:val="single" w:color="auto" w:sz="4" w:space="0"/>
              <w:left w:val="single" w:color="auto" w:sz="4" w:space="0"/>
              <w:bottom w:val="single" w:color="auto" w:sz="4" w:space="0"/>
              <w:right w:val="single" w:color="auto" w:sz="4" w:space="0"/>
              <w:tl2br w:val="nil"/>
              <w:tr2bl w:val="nil"/>
            </w:tcBorders>
            <w:noWrap w:val="0"/>
            <w:vAlign w:val="top"/>
          </w:tcPr>
          <w:p w14:paraId="0A4F3CA4">
            <w:pPr>
              <w:pStyle w:val="5"/>
              <w:numPr>
                <w:ilvl w:val="3"/>
                <w:numId w:val="0"/>
              </w:numPr>
              <w:spacing w:beforeLines="0" w:afterLines="0"/>
              <w:ind w:left="0" w:firstLine="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项目区内</w:t>
            </w:r>
          </w:p>
        </w:tc>
      </w:tr>
      <w:tr w14:paraId="220A6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5" w:type="dxa"/>
            <w:tcBorders>
              <w:top w:val="single" w:color="auto" w:sz="4" w:space="0"/>
              <w:left w:val="single" w:color="auto" w:sz="4" w:space="0"/>
              <w:bottom w:val="single" w:color="auto" w:sz="4" w:space="0"/>
              <w:right w:val="single" w:color="auto" w:sz="4" w:space="0"/>
              <w:tl2br w:val="nil"/>
              <w:tr2bl w:val="nil"/>
            </w:tcBorders>
            <w:noWrap w:val="0"/>
            <w:vAlign w:val="top"/>
          </w:tcPr>
          <w:p w14:paraId="16A9A71D">
            <w:pPr>
              <w:pStyle w:val="5"/>
              <w:numPr>
                <w:ilvl w:val="3"/>
                <w:numId w:val="0"/>
              </w:numPr>
              <w:spacing w:beforeLines="0" w:afterLines="0"/>
              <w:ind w:left="0" w:firstLine="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海拔高度</w:t>
            </w:r>
          </w:p>
        </w:tc>
        <w:tc>
          <w:tcPr>
            <w:tcW w:w="8201" w:type="dxa"/>
            <w:tcBorders>
              <w:top w:val="single" w:color="auto" w:sz="4" w:space="0"/>
              <w:left w:val="single" w:color="auto" w:sz="4" w:space="0"/>
              <w:bottom w:val="single" w:color="auto" w:sz="4" w:space="0"/>
              <w:right w:val="single" w:color="auto" w:sz="4" w:space="0"/>
              <w:tl2br w:val="nil"/>
              <w:tr2bl w:val="nil"/>
            </w:tcBorders>
            <w:noWrap w:val="0"/>
            <w:vAlign w:val="top"/>
          </w:tcPr>
          <w:p w14:paraId="1586399A">
            <w:pPr>
              <w:pStyle w:val="5"/>
              <w:numPr>
                <w:ilvl w:val="3"/>
                <w:numId w:val="0"/>
              </w:numPr>
              <w:spacing w:beforeLines="0" w:afterLines="0"/>
              <w:ind w:left="0" w:firstLine="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605m</w:t>
            </w:r>
          </w:p>
        </w:tc>
      </w:tr>
      <w:tr w14:paraId="6F7B8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5" w:type="dxa"/>
            <w:tcBorders>
              <w:top w:val="single" w:color="auto" w:sz="4" w:space="0"/>
              <w:left w:val="single" w:color="auto" w:sz="4" w:space="0"/>
              <w:bottom w:val="single" w:color="auto" w:sz="4" w:space="0"/>
              <w:right w:val="single" w:color="auto" w:sz="4" w:space="0"/>
              <w:tl2br w:val="nil"/>
              <w:tr2bl w:val="nil"/>
            </w:tcBorders>
            <w:noWrap w:val="0"/>
            <w:vAlign w:val="top"/>
          </w:tcPr>
          <w:p w14:paraId="5A75DC85">
            <w:pPr>
              <w:pStyle w:val="5"/>
              <w:numPr>
                <w:ilvl w:val="3"/>
                <w:numId w:val="0"/>
              </w:numPr>
              <w:spacing w:beforeLines="0" w:afterLines="0"/>
              <w:ind w:left="0" w:firstLine="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调查时间</w:t>
            </w:r>
          </w:p>
        </w:tc>
        <w:tc>
          <w:tcPr>
            <w:tcW w:w="8201" w:type="dxa"/>
            <w:tcBorders>
              <w:top w:val="single" w:color="auto" w:sz="4" w:space="0"/>
              <w:left w:val="single" w:color="auto" w:sz="4" w:space="0"/>
              <w:bottom w:val="single" w:color="auto" w:sz="4" w:space="0"/>
              <w:right w:val="single" w:color="auto" w:sz="4" w:space="0"/>
              <w:tl2br w:val="nil"/>
              <w:tr2bl w:val="nil"/>
            </w:tcBorders>
            <w:noWrap w:val="0"/>
            <w:vAlign w:val="top"/>
          </w:tcPr>
          <w:p w14:paraId="63CB0DBA">
            <w:pPr>
              <w:pStyle w:val="5"/>
              <w:numPr>
                <w:ilvl w:val="3"/>
                <w:numId w:val="0"/>
              </w:numPr>
              <w:spacing w:beforeLines="0" w:afterLines="0"/>
              <w:ind w:left="0" w:firstLine="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2025年3月24日</w:t>
            </w:r>
          </w:p>
        </w:tc>
      </w:tr>
      <w:tr w14:paraId="0D8B3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5" w:type="dxa"/>
            <w:tcBorders>
              <w:top w:val="single" w:color="auto" w:sz="4" w:space="0"/>
              <w:left w:val="single" w:color="auto" w:sz="4" w:space="0"/>
              <w:bottom w:val="single" w:color="auto" w:sz="4" w:space="0"/>
              <w:right w:val="single" w:color="auto" w:sz="4" w:space="0"/>
              <w:tl2br w:val="nil"/>
              <w:tr2bl w:val="nil"/>
            </w:tcBorders>
            <w:noWrap w:val="0"/>
            <w:vAlign w:val="top"/>
          </w:tcPr>
          <w:p w14:paraId="72210AA5">
            <w:pPr>
              <w:pStyle w:val="5"/>
              <w:numPr>
                <w:ilvl w:val="3"/>
                <w:numId w:val="0"/>
              </w:numPr>
              <w:spacing w:beforeLines="0" w:afterLines="0"/>
              <w:ind w:left="0" w:firstLine="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样方尺寸</w:t>
            </w:r>
          </w:p>
        </w:tc>
        <w:tc>
          <w:tcPr>
            <w:tcW w:w="8201" w:type="dxa"/>
            <w:tcBorders>
              <w:top w:val="single" w:color="auto" w:sz="4" w:space="0"/>
              <w:left w:val="single" w:color="auto" w:sz="4" w:space="0"/>
              <w:bottom w:val="single" w:color="auto" w:sz="4" w:space="0"/>
              <w:right w:val="single" w:color="auto" w:sz="4" w:space="0"/>
              <w:tl2br w:val="nil"/>
              <w:tr2bl w:val="nil"/>
            </w:tcBorders>
            <w:noWrap w:val="0"/>
            <w:vAlign w:val="top"/>
          </w:tcPr>
          <w:p w14:paraId="38559DAD">
            <w:pPr>
              <w:pStyle w:val="5"/>
              <w:numPr>
                <w:ilvl w:val="3"/>
                <w:numId w:val="0"/>
              </w:numPr>
              <w:spacing w:beforeLines="0" w:afterLines="0"/>
              <w:ind w:left="0" w:firstLine="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1×1m</w:t>
            </w:r>
          </w:p>
        </w:tc>
      </w:tr>
      <w:tr w14:paraId="27A7F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5" w:type="dxa"/>
            <w:tcBorders>
              <w:top w:val="single" w:color="auto" w:sz="4" w:space="0"/>
              <w:left w:val="single" w:color="auto" w:sz="4" w:space="0"/>
              <w:bottom w:val="single" w:color="auto" w:sz="4" w:space="0"/>
              <w:right w:val="single" w:color="auto" w:sz="4" w:space="0"/>
              <w:tl2br w:val="nil"/>
              <w:tr2bl w:val="nil"/>
            </w:tcBorders>
            <w:noWrap w:val="0"/>
            <w:vAlign w:val="top"/>
          </w:tcPr>
          <w:p w14:paraId="78013191">
            <w:pPr>
              <w:pStyle w:val="5"/>
              <w:numPr>
                <w:ilvl w:val="3"/>
                <w:numId w:val="0"/>
              </w:numPr>
              <w:spacing w:beforeLines="0" w:afterLines="0"/>
              <w:ind w:left="0" w:firstLine="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植物</w:t>
            </w:r>
          </w:p>
        </w:tc>
        <w:tc>
          <w:tcPr>
            <w:tcW w:w="8201" w:type="dxa"/>
            <w:tcBorders>
              <w:top w:val="single" w:color="auto" w:sz="4" w:space="0"/>
              <w:left w:val="single" w:color="auto" w:sz="4" w:space="0"/>
              <w:bottom w:val="single" w:color="auto" w:sz="4" w:space="0"/>
              <w:right w:val="single" w:color="auto" w:sz="4" w:space="0"/>
              <w:tl2br w:val="nil"/>
              <w:tr2bl w:val="nil"/>
            </w:tcBorders>
            <w:noWrap w:val="0"/>
            <w:vAlign w:val="top"/>
          </w:tcPr>
          <w:p w14:paraId="28AD7E2E">
            <w:pPr>
              <w:pStyle w:val="5"/>
              <w:numPr>
                <w:ilvl w:val="3"/>
                <w:numId w:val="0"/>
              </w:numPr>
              <w:spacing w:beforeLines="0" w:afterLines="0"/>
              <w:ind w:left="0" w:firstLine="0"/>
              <w:jc w:val="center"/>
              <w:outlineLvl w:val="9"/>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drawing>
                <wp:inline distT="0" distB="0" distL="114300" distR="114300">
                  <wp:extent cx="3226435" cy="3669665"/>
                  <wp:effectExtent l="0" t="0" r="12065" b="635"/>
                  <wp:docPr id="171" name="图片 171" descr="梭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descr="梭梭"/>
                          <pic:cNvPicPr>
                            <a:picLocks noChangeAspect="1"/>
                          </pic:cNvPicPr>
                        </pic:nvPicPr>
                        <pic:blipFill>
                          <a:blip r:embed="rId25"/>
                          <a:srcRect l="721" b="15367"/>
                          <a:stretch>
                            <a:fillRect/>
                          </a:stretch>
                        </pic:blipFill>
                        <pic:spPr>
                          <a:xfrm>
                            <a:off x="0" y="0"/>
                            <a:ext cx="3226435" cy="3669665"/>
                          </a:xfrm>
                          <a:prstGeom prst="rect">
                            <a:avLst/>
                          </a:prstGeom>
                        </pic:spPr>
                      </pic:pic>
                    </a:graphicData>
                  </a:graphic>
                </wp:inline>
              </w:drawing>
            </w:r>
          </w:p>
        </w:tc>
      </w:tr>
      <w:tr w14:paraId="117DC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5" w:type="dxa"/>
            <w:tcBorders>
              <w:top w:val="single" w:color="auto" w:sz="4" w:space="0"/>
              <w:left w:val="single" w:color="auto" w:sz="4" w:space="0"/>
              <w:bottom w:val="single" w:color="auto" w:sz="4" w:space="0"/>
              <w:right w:val="single" w:color="auto" w:sz="4" w:space="0"/>
              <w:tl2br w:val="nil"/>
              <w:tr2bl w:val="nil"/>
            </w:tcBorders>
            <w:noWrap w:val="0"/>
            <w:vAlign w:val="top"/>
          </w:tcPr>
          <w:p w14:paraId="0106928A">
            <w:pPr>
              <w:pStyle w:val="5"/>
              <w:numPr>
                <w:ilvl w:val="3"/>
                <w:numId w:val="0"/>
              </w:numPr>
              <w:spacing w:beforeLines="0" w:afterLines="0"/>
              <w:ind w:left="0" w:firstLine="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植物名称及</w:t>
            </w:r>
          </w:p>
        </w:tc>
        <w:tc>
          <w:tcPr>
            <w:tcW w:w="8201" w:type="dxa"/>
            <w:tcBorders>
              <w:top w:val="single" w:color="auto" w:sz="4" w:space="0"/>
              <w:left w:val="single" w:color="auto" w:sz="4" w:space="0"/>
              <w:bottom w:val="single" w:color="auto" w:sz="4" w:space="0"/>
              <w:right w:val="single" w:color="auto" w:sz="4" w:space="0"/>
              <w:tl2br w:val="nil"/>
              <w:tr2bl w:val="nil"/>
            </w:tcBorders>
            <w:noWrap w:val="0"/>
            <w:vAlign w:val="top"/>
          </w:tcPr>
          <w:p w14:paraId="1637D996">
            <w:pPr>
              <w:bidi w:val="0"/>
              <w:spacing w:line="240" w:lineRule="auto"/>
              <w:ind w:left="0" w:leftChars="0" w:firstLine="0" w:firstLineChars="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highlight w:val="none"/>
                <w:lang w:val="en-US" w:eastAsia="zh-CN"/>
              </w:rPr>
              <w:t>白梭梭：</w:t>
            </w:r>
            <w:r>
              <w:rPr>
                <w:rFonts w:hint="default" w:ascii="Times New Roman" w:hAnsi="Times New Roman" w:eastAsia="宋体" w:cs="Times New Roman"/>
                <w:color w:val="auto"/>
                <w:highlight w:val="none"/>
              </w:rPr>
              <w:t>学名：Haloxylon persicum Bunge ex Boiss. et Buhse</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是藜科梭梭属的小半乔木</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是适中温超旱生沙生夏绿小半乔木，能在含水量 0.5% 的沙土中正常生长</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分布于新疆准噶尔盆地</w:t>
            </w:r>
            <w:r>
              <w:rPr>
                <w:rFonts w:hint="default" w:ascii="Times New Roman" w:hAnsi="Times New Roman" w:eastAsia="宋体" w:cs="Times New Roman"/>
                <w:color w:val="auto"/>
                <w:highlight w:val="none"/>
                <w:lang w:eastAsia="zh-CN"/>
              </w:rPr>
              <w:t>。</w:t>
            </w:r>
          </w:p>
        </w:tc>
      </w:tr>
    </w:tbl>
    <w:p w14:paraId="518CF9CA">
      <w:pPr>
        <w:pStyle w:val="45"/>
        <w:bidi w:val="0"/>
        <w:rPr>
          <w:rFonts w:hint="default" w:ascii="Times New Roman" w:hAnsi="Times New Roman" w:eastAsia="宋体" w:cs="Times New Roman"/>
          <w:color w:val="auto"/>
          <w:highlight w:val="none"/>
          <w:lang w:val="en-US" w:eastAsia="zh-CN"/>
        </w:rPr>
      </w:pPr>
    </w:p>
    <w:p w14:paraId="4C582490">
      <w:pPr>
        <w:pStyle w:val="45"/>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表4.3-9   样方3</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5"/>
        <w:gridCol w:w="3992"/>
        <w:gridCol w:w="4079"/>
      </w:tblGrid>
      <w:tr w14:paraId="06ABB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C3B5E75">
            <w:pPr>
              <w:pStyle w:val="5"/>
              <w:numPr>
                <w:ilvl w:val="3"/>
                <w:numId w:val="0"/>
              </w:numPr>
              <w:spacing w:beforeLines="0" w:afterLines="0"/>
              <w:ind w:left="0" w:firstLine="0"/>
              <w:jc w:val="center"/>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样方图片</w:t>
            </w:r>
          </w:p>
        </w:tc>
        <w:tc>
          <w:tcPr>
            <w:tcW w:w="8071" w:type="dxa"/>
            <w:gridSpan w:val="2"/>
            <w:tcBorders>
              <w:top w:val="single" w:color="auto" w:sz="4" w:space="0"/>
              <w:left w:val="single" w:color="auto" w:sz="4" w:space="0"/>
              <w:bottom w:val="single" w:color="auto" w:sz="4" w:space="0"/>
              <w:right w:val="single" w:color="auto" w:sz="4" w:space="0"/>
              <w:tl2br w:val="nil"/>
              <w:tr2bl w:val="nil"/>
            </w:tcBorders>
            <w:noWrap w:val="0"/>
            <w:vAlign w:val="top"/>
          </w:tcPr>
          <w:p w14:paraId="1BEC4363">
            <w:pPr>
              <w:pStyle w:val="5"/>
              <w:numPr>
                <w:ilvl w:val="3"/>
                <w:numId w:val="0"/>
              </w:numPr>
              <w:spacing w:beforeLines="0" w:afterLines="0"/>
              <w:ind w:left="0" w:firstLine="0"/>
              <w:outlineLvl w:val="9"/>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drawing>
                <wp:inline distT="0" distB="0" distL="114300" distR="114300">
                  <wp:extent cx="4062095" cy="3046095"/>
                  <wp:effectExtent l="0" t="0" r="1905" b="1905"/>
                  <wp:docPr id="185" name="图片 185" descr="样方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descr="样方5"/>
                          <pic:cNvPicPr>
                            <a:picLocks noChangeAspect="1"/>
                          </pic:cNvPicPr>
                        </pic:nvPicPr>
                        <pic:blipFill>
                          <a:blip r:embed="rId26"/>
                          <a:stretch>
                            <a:fillRect/>
                          </a:stretch>
                        </pic:blipFill>
                        <pic:spPr>
                          <a:xfrm>
                            <a:off x="0" y="0"/>
                            <a:ext cx="4062095" cy="3046095"/>
                          </a:xfrm>
                          <a:prstGeom prst="rect">
                            <a:avLst/>
                          </a:prstGeom>
                        </pic:spPr>
                      </pic:pic>
                    </a:graphicData>
                  </a:graphic>
                </wp:inline>
              </w:drawing>
            </w:r>
          </w:p>
        </w:tc>
      </w:tr>
      <w:tr w14:paraId="523EA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C9D2CD1">
            <w:pPr>
              <w:pStyle w:val="5"/>
              <w:numPr>
                <w:ilvl w:val="3"/>
                <w:numId w:val="0"/>
              </w:numPr>
              <w:spacing w:beforeLines="0" w:afterLines="0" w:line="240" w:lineRule="auto"/>
              <w:ind w:left="0" w:firstLine="0"/>
              <w:jc w:val="center"/>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调查地点</w:t>
            </w:r>
          </w:p>
        </w:tc>
        <w:tc>
          <w:tcPr>
            <w:tcW w:w="8071"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2D63EED9">
            <w:pPr>
              <w:pStyle w:val="5"/>
              <w:numPr>
                <w:ilvl w:val="3"/>
                <w:numId w:val="0"/>
              </w:numPr>
              <w:spacing w:beforeLines="0" w:afterLines="0" w:line="240" w:lineRule="auto"/>
              <w:ind w:left="0" w:firstLine="0"/>
              <w:jc w:val="left"/>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项目区内</w:t>
            </w:r>
          </w:p>
        </w:tc>
      </w:tr>
      <w:tr w14:paraId="4072D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607092B">
            <w:pPr>
              <w:pStyle w:val="5"/>
              <w:numPr>
                <w:ilvl w:val="3"/>
                <w:numId w:val="0"/>
              </w:numPr>
              <w:spacing w:beforeLines="0" w:afterLines="0" w:line="240" w:lineRule="auto"/>
              <w:ind w:left="0" w:firstLine="0"/>
              <w:jc w:val="center"/>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海拔高度</w:t>
            </w:r>
          </w:p>
        </w:tc>
        <w:tc>
          <w:tcPr>
            <w:tcW w:w="8071"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52C1377E">
            <w:pPr>
              <w:pStyle w:val="5"/>
              <w:numPr>
                <w:ilvl w:val="3"/>
                <w:numId w:val="0"/>
              </w:numPr>
              <w:spacing w:beforeLines="0" w:afterLines="0" w:line="240" w:lineRule="auto"/>
              <w:ind w:left="0" w:firstLine="0"/>
              <w:jc w:val="left"/>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602m</w:t>
            </w:r>
          </w:p>
        </w:tc>
      </w:tr>
      <w:tr w14:paraId="3CD68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3A6AF03">
            <w:pPr>
              <w:pStyle w:val="5"/>
              <w:numPr>
                <w:ilvl w:val="3"/>
                <w:numId w:val="0"/>
              </w:numPr>
              <w:spacing w:beforeLines="0" w:afterLines="0" w:line="240" w:lineRule="auto"/>
              <w:ind w:left="0" w:firstLine="0"/>
              <w:jc w:val="center"/>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调查时间</w:t>
            </w:r>
          </w:p>
        </w:tc>
        <w:tc>
          <w:tcPr>
            <w:tcW w:w="8071"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64F689EF">
            <w:pPr>
              <w:pStyle w:val="5"/>
              <w:numPr>
                <w:ilvl w:val="3"/>
                <w:numId w:val="0"/>
              </w:numPr>
              <w:spacing w:beforeLines="0" w:afterLines="0" w:line="240" w:lineRule="auto"/>
              <w:ind w:left="0" w:firstLine="0"/>
              <w:jc w:val="left"/>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2025年3月24日</w:t>
            </w:r>
          </w:p>
        </w:tc>
      </w:tr>
      <w:tr w14:paraId="7D256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9BE80F8">
            <w:pPr>
              <w:pStyle w:val="5"/>
              <w:numPr>
                <w:ilvl w:val="3"/>
                <w:numId w:val="0"/>
              </w:numPr>
              <w:spacing w:beforeLines="0" w:afterLines="0" w:line="240" w:lineRule="auto"/>
              <w:ind w:left="0" w:firstLine="0"/>
              <w:jc w:val="center"/>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样方尺寸</w:t>
            </w:r>
          </w:p>
        </w:tc>
        <w:tc>
          <w:tcPr>
            <w:tcW w:w="8071"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3393F89A">
            <w:pPr>
              <w:pStyle w:val="5"/>
              <w:numPr>
                <w:ilvl w:val="3"/>
                <w:numId w:val="0"/>
              </w:numPr>
              <w:spacing w:beforeLines="0" w:afterLines="0" w:line="240" w:lineRule="auto"/>
              <w:ind w:left="0" w:firstLine="0"/>
              <w:jc w:val="left"/>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1×1m</w:t>
            </w:r>
          </w:p>
        </w:tc>
      </w:tr>
      <w:tr w14:paraId="59F87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B9956F8">
            <w:pPr>
              <w:pStyle w:val="5"/>
              <w:numPr>
                <w:ilvl w:val="3"/>
                <w:numId w:val="0"/>
              </w:numPr>
              <w:spacing w:beforeLines="0" w:afterLines="0"/>
              <w:ind w:left="0" w:firstLine="0"/>
              <w:jc w:val="center"/>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植物</w:t>
            </w:r>
          </w:p>
        </w:tc>
        <w:tc>
          <w:tcPr>
            <w:tcW w:w="3992" w:type="dxa"/>
            <w:tcBorders>
              <w:top w:val="single" w:color="auto" w:sz="4" w:space="0"/>
              <w:left w:val="single" w:color="auto" w:sz="4" w:space="0"/>
              <w:bottom w:val="single" w:color="auto" w:sz="4" w:space="0"/>
              <w:right w:val="single" w:color="auto" w:sz="4" w:space="0"/>
              <w:tl2br w:val="nil"/>
              <w:tr2bl w:val="nil"/>
            </w:tcBorders>
            <w:noWrap w:val="0"/>
            <w:vAlign w:val="top"/>
          </w:tcPr>
          <w:p w14:paraId="344BCCB9">
            <w:pPr>
              <w:pStyle w:val="5"/>
              <w:numPr>
                <w:ilvl w:val="3"/>
                <w:numId w:val="0"/>
              </w:numPr>
              <w:spacing w:beforeLines="0" w:afterLines="0"/>
              <w:ind w:left="0" w:firstLine="0"/>
              <w:outlineLvl w:val="9"/>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drawing>
                <wp:inline distT="0" distB="0" distL="114300" distR="114300">
                  <wp:extent cx="2444750" cy="3260725"/>
                  <wp:effectExtent l="0" t="0" r="6350" b="3175"/>
                  <wp:docPr id="186" name="图片 186" descr="样方5植物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descr="样方5植物1"/>
                          <pic:cNvPicPr>
                            <a:picLocks noChangeAspect="1"/>
                          </pic:cNvPicPr>
                        </pic:nvPicPr>
                        <pic:blipFill>
                          <a:blip r:embed="rId27"/>
                          <a:stretch>
                            <a:fillRect/>
                          </a:stretch>
                        </pic:blipFill>
                        <pic:spPr>
                          <a:xfrm>
                            <a:off x="0" y="0"/>
                            <a:ext cx="2444750" cy="3260725"/>
                          </a:xfrm>
                          <a:prstGeom prst="rect">
                            <a:avLst/>
                          </a:prstGeom>
                        </pic:spPr>
                      </pic:pic>
                    </a:graphicData>
                  </a:graphic>
                </wp:inline>
              </w:drawing>
            </w:r>
          </w:p>
        </w:tc>
        <w:tc>
          <w:tcPr>
            <w:tcW w:w="4079" w:type="dxa"/>
            <w:tcBorders>
              <w:top w:val="single" w:color="auto" w:sz="4" w:space="0"/>
              <w:left w:val="single" w:color="auto" w:sz="4" w:space="0"/>
              <w:bottom w:val="single" w:color="auto" w:sz="4" w:space="0"/>
              <w:right w:val="single" w:color="auto" w:sz="4" w:space="0"/>
              <w:tl2br w:val="nil"/>
              <w:tr2bl w:val="nil"/>
            </w:tcBorders>
            <w:noWrap w:val="0"/>
            <w:vAlign w:val="top"/>
          </w:tcPr>
          <w:p w14:paraId="2DFA551A">
            <w:pPr>
              <w:pStyle w:val="5"/>
              <w:numPr>
                <w:ilvl w:val="3"/>
                <w:numId w:val="0"/>
              </w:numPr>
              <w:spacing w:beforeLines="0" w:afterLines="0"/>
              <w:ind w:left="0" w:firstLine="0"/>
              <w:outlineLvl w:val="9"/>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drawing>
                <wp:inline distT="0" distB="0" distL="114300" distR="114300">
                  <wp:extent cx="2446655" cy="3263265"/>
                  <wp:effectExtent l="0" t="0" r="4445" b="635"/>
                  <wp:docPr id="187" name="图片 187" descr="样方5植物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descr="样方5植物2"/>
                          <pic:cNvPicPr>
                            <a:picLocks noChangeAspect="1"/>
                          </pic:cNvPicPr>
                        </pic:nvPicPr>
                        <pic:blipFill>
                          <a:blip r:embed="rId28"/>
                          <a:stretch>
                            <a:fillRect/>
                          </a:stretch>
                        </pic:blipFill>
                        <pic:spPr>
                          <a:xfrm>
                            <a:off x="0" y="0"/>
                            <a:ext cx="2446655" cy="3263265"/>
                          </a:xfrm>
                          <a:prstGeom prst="rect">
                            <a:avLst/>
                          </a:prstGeom>
                        </pic:spPr>
                      </pic:pic>
                    </a:graphicData>
                  </a:graphic>
                </wp:inline>
              </w:drawing>
            </w:r>
          </w:p>
        </w:tc>
      </w:tr>
      <w:tr w14:paraId="3E35B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DACF22A">
            <w:pPr>
              <w:pStyle w:val="5"/>
              <w:numPr>
                <w:ilvl w:val="3"/>
                <w:numId w:val="0"/>
              </w:numPr>
              <w:spacing w:beforeLines="0" w:afterLines="0"/>
              <w:ind w:left="0" w:firstLine="0"/>
              <w:jc w:val="center"/>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植物名称及</w:t>
            </w:r>
          </w:p>
        </w:tc>
        <w:tc>
          <w:tcPr>
            <w:tcW w:w="3992" w:type="dxa"/>
            <w:tcBorders>
              <w:top w:val="single" w:color="auto" w:sz="4" w:space="0"/>
              <w:left w:val="single" w:color="auto" w:sz="4" w:space="0"/>
              <w:bottom w:val="single" w:color="auto" w:sz="4" w:space="0"/>
              <w:right w:val="single" w:color="auto" w:sz="4" w:space="0"/>
              <w:tl2br w:val="nil"/>
              <w:tr2bl w:val="nil"/>
            </w:tcBorders>
            <w:noWrap w:val="0"/>
            <w:vAlign w:val="top"/>
          </w:tcPr>
          <w:p w14:paraId="280B1880">
            <w:pPr>
              <w:bidi w:val="0"/>
              <w:spacing w:line="240" w:lineRule="auto"/>
              <w:ind w:left="0" w:leftChars="0" w:firstLine="0" w:firstLineChars="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highlight w:val="none"/>
              </w:rPr>
              <w:t>异翅独尾草（学名：Eremurus anisopterus）为独尾草科独尾草属的植物</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一般生于半固定沙丘</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是沙漠中的短命植物</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分布在</w:t>
            </w:r>
            <w:r>
              <w:rPr>
                <w:rFonts w:hint="default" w:ascii="Times New Roman" w:hAnsi="Times New Roman" w:eastAsia="宋体" w:cs="Times New Roman"/>
                <w:color w:val="auto"/>
                <w:highlight w:val="none"/>
              </w:rPr>
              <w:t>中国的新疆</w:t>
            </w:r>
          </w:p>
        </w:tc>
        <w:tc>
          <w:tcPr>
            <w:tcW w:w="4079" w:type="dxa"/>
            <w:tcBorders>
              <w:top w:val="single" w:color="auto" w:sz="4" w:space="0"/>
              <w:left w:val="single" w:color="auto" w:sz="4" w:space="0"/>
              <w:bottom w:val="single" w:color="auto" w:sz="4" w:space="0"/>
              <w:right w:val="single" w:color="auto" w:sz="4" w:space="0"/>
              <w:tl2br w:val="nil"/>
              <w:tr2bl w:val="nil"/>
            </w:tcBorders>
            <w:noWrap w:val="0"/>
            <w:vAlign w:val="top"/>
          </w:tcPr>
          <w:p w14:paraId="6A1560AB">
            <w:pPr>
              <w:bidi w:val="0"/>
              <w:spacing w:line="240" w:lineRule="auto"/>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翅鹤虱：（学名：</w:t>
            </w:r>
            <w:r>
              <w:rPr>
                <w:rFonts w:hint="default" w:ascii="Times New Roman" w:hAnsi="Times New Roman" w:cs="Times New Roman"/>
                <w:color w:val="auto"/>
                <w:highlight w:val="none"/>
              </w:rPr>
              <w:t>Lepechiniella lasiocarpa</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rPr>
              <w:t>为紫草科翅鹤虱属的植物</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主要生长在沙漠边缘及半固定沙丘上，也可见于河边沙地、梭梭林中。主要分布于中国的新疆北部</w:t>
            </w:r>
            <w:r>
              <w:rPr>
                <w:rFonts w:hint="default" w:ascii="Times New Roman" w:hAnsi="Times New Roman" w:cs="Times New Roman"/>
                <w:color w:val="auto"/>
                <w:highlight w:val="none"/>
                <w:lang w:eastAsia="zh-CN"/>
              </w:rPr>
              <w:t>。</w:t>
            </w:r>
          </w:p>
        </w:tc>
      </w:tr>
    </w:tbl>
    <w:p w14:paraId="0BA4E6C6">
      <w:pPr>
        <w:pStyle w:val="14"/>
        <w:kinsoku w:val="0"/>
        <w:overflowPunct w:val="0"/>
        <w:spacing w:before="345"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项目区内植被一览</w:t>
      </w:r>
      <w:r>
        <w:rPr>
          <w:rFonts w:hint="default" w:ascii="Times New Roman" w:hAnsi="Times New Roman" w:cs="Times New Roman"/>
          <w:color w:val="auto"/>
          <w:sz w:val="24"/>
          <w:szCs w:val="24"/>
          <w:highlight w:val="none"/>
          <w:lang w:val="en-US" w:eastAsia="zh-CN"/>
        </w:rPr>
        <w:t>表</w:t>
      </w:r>
      <w:r>
        <w:rPr>
          <w:rFonts w:hint="default" w:ascii="Times New Roman" w:hAnsi="Times New Roman" w:cs="Times New Roman"/>
          <w:color w:val="auto"/>
          <w:sz w:val="24"/>
          <w:szCs w:val="24"/>
          <w:highlight w:val="none"/>
        </w:rPr>
        <w:t>：</w:t>
      </w:r>
    </w:p>
    <w:p w14:paraId="134409F1">
      <w:pPr>
        <w:pStyle w:val="45"/>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表4.3-10   项目区内植被一览表</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68"/>
        <w:gridCol w:w="4618"/>
      </w:tblGrid>
      <w:tr w14:paraId="06C95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3" w:type="dxa"/>
          </w:tcPr>
          <w:p w14:paraId="570B666A">
            <w:pPr>
              <w:pStyle w:val="14"/>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firstLine="0" w:firstLineChars="0"/>
              <w:jc w:val="both"/>
              <w:textAlignment w:val="auto"/>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drawing>
                <wp:inline distT="0" distB="0" distL="114300" distR="114300">
                  <wp:extent cx="2842260" cy="2735580"/>
                  <wp:effectExtent l="0" t="0" r="2540" b="7620"/>
                  <wp:docPr id="188" name="图片 188" descr="样方4植物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descr="样方4植物图片1"/>
                          <pic:cNvPicPr>
                            <a:picLocks noChangeAspect="1"/>
                          </pic:cNvPicPr>
                        </pic:nvPicPr>
                        <pic:blipFill>
                          <a:blip r:embed="rId29"/>
                          <a:srcRect t="12462" r="-269" b="18878"/>
                          <a:stretch>
                            <a:fillRect/>
                          </a:stretch>
                        </pic:blipFill>
                        <pic:spPr>
                          <a:xfrm>
                            <a:off x="0" y="0"/>
                            <a:ext cx="2842260" cy="2735580"/>
                          </a:xfrm>
                          <a:prstGeom prst="rect">
                            <a:avLst/>
                          </a:prstGeom>
                        </pic:spPr>
                      </pic:pic>
                    </a:graphicData>
                  </a:graphic>
                </wp:inline>
              </w:drawing>
            </w:r>
          </w:p>
        </w:tc>
        <w:tc>
          <w:tcPr>
            <w:tcW w:w="4683" w:type="dxa"/>
          </w:tcPr>
          <w:p w14:paraId="024237A8">
            <w:pPr>
              <w:pStyle w:val="14"/>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firstLine="0" w:firstLineChars="0"/>
              <w:jc w:val="both"/>
              <w:textAlignment w:val="auto"/>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drawing>
                <wp:inline distT="0" distB="0" distL="114300" distR="114300">
                  <wp:extent cx="2825750" cy="2729865"/>
                  <wp:effectExtent l="0" t="0" r="0" b="0"/>
                  <wp:docPr id="192" name="图片 192" descr="木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descr="木蓼"/>
                          <pic:cNvPicPr>
                            <a:picLocks noChangeAspect="1"/>
                          </pic:cNvPicPr>
                        </pic:nvPicPr>
                        <pic:blipFill>
                          <a:blip r:embed="rId30"/>
                          <a:srcRect l="-590" t="13873" r="6807" b="18202"/>
                          <a:stretch>
                            <a:fillRect/>
                          </a:stretch>
                        </pic:blipFill>
                        <pic:spPr>
                          <a:xfrm>
                            <a:off x="0" y="0"/>
                            <a:ext cx="2825750" cy="2729865"/>
                          </a:xfrm>
                          <a:prstGeom prst="rect">
                            <a:avLst/>
                          </a:prstGeom>
                        </pic:spPr>
                      </pic:pic>
                    </a:graphicData>
                  </a:graphic>
                </wp:inline>
              </w:drawing>
            </w:r>
          </w:p>
        </w:tc>
      </w:tr>
      <w:tr w14:paraId="09165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3" w:type="dxa"/>
          </w:tcPr>
          <w:p w14:paraId="71D825CD">
            <w:pPr>
              <w:pStyle w:val="14"/>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jc w:val="center"/>
              <w:textAlignment w:val="auto"/>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星毛戟</w:t>
            </w:r>
          </w:p>
        </w:tc>
        <w:tc>
          <w:tcPr>
            <w:tcW w:w="4683" w:type="dxa"/>
          </w:tcPr>
          <w:p w14:paraId="086A2B71">
            <w:pPr>
              <w:pStyle w:val="14"/>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jc w:val="center"/>
              <w:textAlignment w:val="auto"/>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木蓼</w:t>
            </w:r>
          </w:p>
        </w:tc>
      </w:tr>
      <w:tr w14:paraId="261BF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3" w:type="dxa"/>
          </w:tcPr>
          <w:p w14:paraId="44B99379">
            <w:pPr>
              <w:pStyle w:val="14"/>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firstLine="0" w:firstLineChars="0"/>
              <w:jc w:val="both"/>
              <w:textAlignment w:val="auto"/>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drawing>
                <wp:inline distT="0" distB="0" distL="114300" distR="114300">
                  <wp:extent cx="2849245" cy="2604770"/>
                  <wp:effectExtent l="0" t="0" r="8255" b="11430"/>
                  <wp:docPr id="193" name="图片 193" descr="样方7（针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descr="样方7（针茅）"/>
                          <pic:cNvPicPr>
                            <a:picLocks noChangeAspect="1"/>
                          </pic:cNvPicPr>
                        </pic:nvPicPr>
                        <pic:blipFill>
                          <a:blip r:embed="rId31"/>
                          <a:srcRect l="13941" t="11740" r="9708" b="31870"/>
                          <a:stretch>
                            <a:fillRect/>
                          </a:stretch>
                        </pic:blipFill>
                        <pic:spPr>
                          <a:xfrm>
                            <a:off x="0" y="0"/>
                            <a:ext cx="2849245" cy="2604770"/>
                          </a:xfrm>
                          <a:prstGeom prst="rect">
                            <a:avLst/>
                          </a:prstGeom>
                        </pic:spPr>
                      </pic:pic>
                    </a:graphicData>
                  </a:graphic>
                </wp:inline>
              </w:drawing>
            </w:r>
          </w:p>
        </w:tc>
        <w:tc>
          <w:tcPr>
            <w:tcW w:w="4683" w:type="dxa"/>
          </w:tcPr>
          <w:p w14:paraId="18769201">
            <w:pPr>
              <w:pStyle w:val="14"/>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firstLine="0" w:firstLineChars="0"/>
              <w:jc w:val="both"/>
              <w:textAlignment w:val="auto"/>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drawing>
                <wp:inline distT="0" distB="0" distL="114300" distR="114300">
                  <wp:extent cx="2800350" cy="2593975"/>
                  <wp:effectExtent l="0" t="0" r="6350" b="9525"/>
                  <wp:docPr id="19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5"/>
                          <pic:cNvPicPr>
                            <a:picLocks noChangeAspect="1"/>
                          </pic:cNvPicPr>
                        </pic:nvPicPr>
                        <pic:blipFill>
                          <a:blip r:embed="rId32"/>
                          <a:stretch>
                            <a:fillRect/>
                          </a:stretch>
                        </pic:blipFill>
                        <pic:spPr>
                          <a:xfrm>
                            <a:off x="0" y="0"/>
                            <a:ext cx="2800350" cy="2593975"/>
                          </a:xfrm>
                          <a:prstGeom prst="rect">
                            <a:avLst/>
                          </a:prstGeom>
                          <a:noFill/>
                          <a:ln>
                            <a:noFill/>
                          </a:ln>
                        </pic:spPr>
                      </pic:pic>
                    </a:graphicData>
                  </a:graphic>
                </wp:inline>
              </w:drawing>
            </w:r>
          </w:p>
        </w:tc>
      </w:tr>
      <w:tr w14:paraId="08016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3" w:type="dxa"/>
          </w:tcPr>
          <w:p w14:paraId="5558E76A">
            <w:pPr>
              <w:pStyle w:val="14"/>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jc w:val="center"/>
              <w:textAlignment w:val="auto"/>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针茅</w:t>
            </w:r>
          </w:p>
        </w:tc>
        <w:tc>
          <w:tcPr>
            <w:tcW w:w="4683" w:type="dxa"/>
          </w:tcPr>
          <w:p w14:paraId="7D5C53BD">
            <w:pPr>
              <w:pStyle w:val="14"/>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jc w:val="center"/>
              <w:textAlignment w:val="auto"/>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准葛尔沙嵩</w:t>
            </w:r>
          </w:p>
        </w:tc>
      </w:tr>
    </w:tbl>
    <w:p w14:paraId="1D8DDCE8">
      <w:pPr>
        <w:pStyle w:val="14"/>
        <w:kinsoku w:val="0"/>
        <w:overflowPunct w:val="0"/>
        <w:spacing w:before="127" w:beforeLines="0" w:afterLines="0" w:line="376" w:lineRule="auto"/>
        <w:ind w:right="231" w:firstLine="480"/>
        <w:jc w:val="both"/>
        <w:rPr>
          <w:rFonts w:hint="default" w:ascii="Times New Roman" w:hAnsi="Times New Roman" w:cs="Times New Roman"/>
          <w:color w:val="auto"/>
          <w:spacing w:val="-4"/>
          <w:sz w:val="24"/>
          <w:szCs w:val="24"/>
          <w:highlight w:val="none"/>
        </w:rPr>
      </w:pPr>
      <w:r>
        <w:rPr>
          <w:rFonts w:hint="default" w:ascii="Times New Roman" w:hAnsi="Times New Roman" w:cs="Times New Roman"/>
          <w:color w:val="auto"/>
          <w:spacing w:val="-12"/>
          <w:sz w:val="24"/>
          <w:szCs w:val="24"/>
          <w:highlight w:val="none"/>
        </w:rPr>
        <w:t>根据《国家重点保护野生植物名录》、《中国生物多样性红色名录》、《新疆国家重</w:t>
      </w:r>
      <w:r>
        <w:rPr>
          <w:rFonts w:hint="default" w:ascii="Times New Roman" w:hAnsi="Times New Roman" w:cs="Times New Roman"/>
          <w:color w:val="auto"/>
          <w:spacing w:val="-4"/>
          <w:sz w:val="24"/>
          <w:szCs w:val="24"/>
          <w:highlight w:val="none"/>
        </w:rPr>
        <w:t>点保护野生植物名录》，</w:t>
      </w:r>
      <w:r>
        <w:rPr>
          <w:rFonts w:hint="default" w:ascii="Times New Roman" w:hAnsi="Times New Roman" w:cs="Times New Roman"/>
          <w:color w:val="auto"/>
          <w:spacing w:val="-4"/>
          <w:sz w:val="24"/>
          <w:szCs w:val="24"/>
          <w:highlight w:val="none"/>
          <w:lang w:eastAsia="zh-CN"/>
        </w:rPr>
        <w:t>《</w:t>
      </w:r>
      <w:r>
        <w:rPr>
          <w:rFonts w:hint="default" w:ascii="Times New Roman" w:hAnsi="Times New Roman" w:cs="Times New Roman"/>
          <w:color w:val="auto"/>
          <w:spacing w:val="-4"/>
          <w:sz w:val="24"/>
          <w:szCs w:val="24"/>
          <w:highlight w:val="none"/>
        </w:rPr>
        <w:t>新疆维吾尔自治区人民政府关于公布新疆维吾尔自治区重点保护野生植物名录的通知</w:t>
      </w:r>
      <w:r>
        <w:rPr>
          <w:rFonts w:hint="default" w:ascii="Times New Roman" w:hAnsi="Times New Roman" w:cs="Times New Roman"/>
          <w:color w:val="auto"/>
          <w:spacing w:val="-4"/>
          <w:sz w:val="24"/>
          <w:szCs w:val="24"/>
          <w:highlight w:val="none"/>
          <w:lang w:eastAsia="zh-CN"/>
        </w:rPr>
        <w:t>》（</w:t>
      </w:r>
      <w:r>
        <w:rPr>
          <w:rFonts w:hint="default" w:ascii="Times New Roman" w:hAnsi="Times New Roman" w:cs="Times New Roman"/>
          <w:color w:val="auto"/>
          <w:spacing w:val="-4"/>
          <w:sz w:val="24"/>
          <w:szCs w:val="24"/>
          <w:highlight w:val="none"/>
        </w:rPr>
        <w:t>新政发〔2023]63号</w:t>
      </w:r>
      <w:r>
        <w:rPr>
          <w:rFonts w:hint="default" w:ascii="Times New Roman" w:hAnsi="Times New Roman" w:cs="Times New Roman"/>
          <w:color w:val="auto"/>
          <w:spacing w:val="-4"/>
          <w:sz w:val="24"/>
          <w:szCs w:val="24"/>
          <w:highlight w:val="none"/>
          <w:lang w:eastAsia="zh-CN"/>
        </w:rPr>
        <w:t>），</w:t>
      </w:r>
      <w:r>
        <w:rPr>
          <w:rFonts w:hint="default" w:ascii="Times New Roman" w:hAnsi="Times New Roman" w:cs="Times New Roman"/>
          <w:color w:val="auto"/>
          <w:spacing w:val="-4"/>
          <w:sz w:val="24"/>
          <w:szCs w:val="24"/>
          <w:highlight w:val="none"/>
        </w:rPr>
        <w:t>结合本次调查的情况，项目区域内未发现保护植物。</w:t>
      </w:r>
    </w:p>
    <w:p w14:paraId="5796938C">
      <w:pPr>
        <w:pStyle w:val="5"/>
        <w:bidi w:val="0"/>
        <w:rPr>
          <w:rFonts w:hint="default"/>
          <w:color w:val="FF0000"/>
        </w:rPr>
      </w:pPr>
      <w:bookmarkStart w:id="239" w:name="4.3.4.5野生动物调查"/>
      <w:bookmarkEnd w:id="239"/>
      <w:r>
        <w:rPr>
          <w:rFonts w:hint="default"/>
          <w:color w:val="FF0000"/>
        </w:rPr>
        <w:t>野生动物调查</w:t>
      </w:r>
    </w:p>
    <w:p w14:paraId="52E2900B">
      <w:pPr>
        <w:pStyle w:val="72"/>
        <w:numPr>
          <w:ilvl w:val="0"/>
          <w:numId w:val="0"/>
        </w:numPr>
        <w:ind w:firstLine="480" w:firstLineChars="200"/>
        <w:outlineLvl w:val="9"/>
        <w:rPr>
          <w:rFonts w:hint="default" w:ascii="Times New Roman" w:hAnsi="Times New Roman" w:eastAsia="宋体" w:cs="Times New Roman"/>
          <w:b w:val="0"/>
          <w:bCs w:val="0"/>
          <w:color w:val="FF0000"/>
          <w:highlight w:val="none"/>
          <w:lang w:val="en-US" w:eastAsia="zh-CN"/>
        </w:rPr>
      </w:pPr>
      <w:r>
        <w:rPr>
          <w:rFonts w:hint="default" w:ascii="Times New Roman" w:hAnsi="Times New Roman" w:eastAsia="宋体" w:cs="Times New Roman"/>
          <w:b w:val="0"/>
          <w:bCs w:val="0"/>
          <w:color w:val="FF0000"/>
          <w:highlight w:val="none"/>
          <w:lang w:val="en-US" w:eastAsia="zh-CN"/>
        </w:rPr>
        <w:t>本次</w:t>
      </w:r>
      <w:r>
        <w:rPr>
          <w:rFonts w:hint="default" w:ascii="Times New Roman" w:hAnsi="Times New Roman" w:cs="Times New Roman"/>
          <w:b w:val="0"/>
          <w:bCs w:val="0"/>
          <w:color w:val="FF0000"/>
          <w:highlight w:val="none"/>
          <w:lang w:val="en-US" w:eastAsia="zh-CN"/>
        </w:rPr>
        <w:t>陆生脊椎</w:t>
      </w:r>
      <w:r>
        <w:rPr>
          <w:rFonts w:hint="default" w:ascii="Times New Roman" w:hAnsi="Times New Roman" w:eastAsia="宋体" w:cs="Times New Roman"/>
          <w:b w:val="0"/>
          <w:bCs w:val="0"/>
          <w:color w:val="FF0000"/>
          <w:highlight w:val="none"/>
          <w:lang w:val="en-US" w:eastAsia="zh-CN"/>
        </w:rPr>
        <w:t>动物现状调查采用资料检索为主，实地调查为辅的方式进行调查，</w:t>
      </w:r>
      <w:r>
        <w:rPr>
          <w:rFonts w:hint="default" w:ascii="Times New Roman" w:hAnsi="Times New Roman" w:cs="Times New Roman"/>
          <w:b w:val="0"/>
          <w:bCs w:val="0"/>
          <w:color w:val="FF0000"/>
          <w:highlight w:val="none"/>
          <w:lang w:val="en-US" w:eastAsia="zh-CN"/>
        </w:rPr>
        <w:t>资料检索以</w:t>
      </w:r>
      <w:r>
        <w:rPr>
          <w:rFonts w:hint="eastAsia" w:cs="Times New Roman"/>
          <w:b w:val="0"/>
          <w:bCs w:val="0"/>
          <w:color w:val="FF0000"/>
          <w:highlight w:val="none"/>
          <w:lang w:val="en-US" w:eastAsia="zh-CN"/>
        </w:rPr>
        <w:t>阜康市</w:t>
      </w:r>
      <w:r>
        <w:rPr>
          <w:rFonts w:hint="default" w:ascii="Times New Roman" w:hAnsi="Times New Roman" w:cs="Times New Roman"/>
          <w:b w:val="0"/>
          <w:bCs w:val="0"/>
          <w:color w:val="FF0000"/>
          <w:highlight w:val="none"/>
          <w:lang w:val="en-US" w:eastAsia="zh-CN"/>
        </w:rPr>
        <w:t>各动物保护区提供</w:t>
      </w:r>
      <w:r>
        <w:rPr>
          <w:rFonts w:hint="default" w:ascii="Times New Roman" w:hAnsi="Times New Roman" w:eastAsia="宋体" w:cs="Times New Roman"/>
          <w:b w:val="0"/>
          <w:bCs w:val="0"/>
          <w:color w:val="FF0000"/>
          <w:highlight w:val="none"/>
          <w:lang w:val="en-US" w:eastAsia="zh-CN"/>
        </w:rPr>
        <w:t>资料</w:t>
      </w:r>
      <w:r>
        <w:rPr>
          <w:rFonts w:hint="default" w:ascii="Times New Roman" w:hAnsi="Times New Roman" w:cs="Times New Roman"/>
          <w:b w:val="0"/>
          <w:bCs w:val="0"/>
          <w:color w:val="FF0000"/>
          <w:highlight w:val="none"/>
          <w:lang w:val="en-US" w:eastAsia="zh-CN"/>
        </w:rPr>
        <w:t>并结合《中国动物地理》</w:t>
      </w:r>
      <w:r>
        <w:rPr>
          <w:rFonts w:hint="eastAsia" w:cs="Times New Roman"/>
          <w:b w:val="0"/>
          <w:bCs w:val="0"/>
          <w:color w:val="FF0000"/>
          <w:highlight w:val="none"/>
          <w:lang w:val="en-US" w:eastAsia="zh-CN"/>
        </w:rPr>
        <w:t>、</w:t>
      </w:r>
      <w:r>
        <w:rPr>
          <w:rFonts w:hint="default" w:ascii="Times New Roman" w:hAnsi="Times New Roman" w:cs="Times New Roman"/>
          <w:b w:val="0"/>
          <w:bCs w:val="0"/>
          <w:color w:val="FF0000"/>
          <w:highlight w:val="none"/>
          <w:lang w:val="en-US" w:eastAsia="zh-CN"/>
        </w:rPr>
        <w:t>《新疆脊椎动物简志》（袁国映）进行检索，</w:t>
      </w:r>
      <w:r>
        <w:rPr>
          <w:rFonts w:hint="default" w:ascii="Times New Roman" w:hAnsi="Times New Roman" w:eastAsia="宋体" w:cs="Times New Roman"/>
          <w:b w:val="0"/>
          <w:bCs w:val="0"/>
          <w:color w:val="FF0000"/>
          <w:highlight w:val="none"/>
          <w:lang w:val="en-US" w:eastAsia="zh-CN"/>
        </w:rPr>
        <w:t>实地调查采用样线法，调查时记录项目区沿线所见到的动物个体和数量，对兽类活动的痕迹如毛发、粪便、足迹、卧迹、食迹、咬痕等进行观测记录，为弥补有的兽类夜间活动不便观测的不足，主要采取文献检索的方式收集资料。</w:t>
      </w:r>
    </w:p>
    <w:p w14:paraId="1548EBEC">
      <w:pPr>
        <w:pStyle w:val="72"/>
        <w:numPr>
          <w:ilvl w:val="0"/>
          <w:numId w:val="0"/>
        </w:numPr>
        <w:ind w:firstLine="480" w:firstLineChars="200"/>
        <w:outlineLvl w:val="9"/>
        <w:rPr>
          <w:rFonts w:hint="default" w:ascii="Times New Roman" w:hAnsi="Times New Roman" w:eastAsia="宋体" w:cs="Times New Roman"/>
          <w:b w:val="0"/>
          <w:bCs w:val="0"/>
          <w:color w:val="FF0000"/>
          <w:highlight w:val="none"/>
          <w:lang w:val="en-US" w:eastAsia="zh-CN"/>
        </w:rPr>
      </w:pPr>
      <w:r>
        <w:rPr>
          <w:rFonts w:hint="default" w:ascii="Times New Roman" w:hAnsi="Times New Roman" w:eastAsia="宋体" w:cs="Times New Roman"/>
          <w:b w:val="0"/>
          <w:bCs w:val="0"/>
          <w:color w:val="FF0000"/>
          <w:highlight w:val="none"/>
          <w:lang w:val="en-US" w:eastAsia="zh-CN"/>
        </w:rPr>
        <w:t>（1）动物区系组成</w:t>
      </w:r>
    </w:p>
    <w:p w14:paraId="6D9ADEA4">
      <w:pPr>
        <w:pStyle w:val="72"/>
        <w:numPr>
          <w:ilvl w:val="0"/>
          <w:numId w:val="0"/>
        </w:numPr>
        <w:ind w:firstLine="480" w:firstLineChars="200"/>
        <w:outlineLvl w:val="9"/>
        <w:rPr>
          <w:rFonts w:hint="default" w:ascii="Times New Roman" w:hAnsi="Times New Roman" w:eastAsia="宋体" w:cs="Times New Roman"/>
          <w:b w:val="0"/>
          <w:bCs w:val="0"/>
          <w:color w:val="auto"/>
          <w:highlight w:val="green"/>
          <w:lang w:val="en-US" w:eastAsia="zh-CN"/>
        </w:rPr>
      </w:pPr>
      <w:r>
        <w:rPr>
          <w:rFonts w:hint="default" w:ascii="Times New Roman" w:hAnsi="Times New Roman" w:eastAsia="宋体" w:cs="Times New Roman"/>
          <w:b w:val="0"/>
          <w:bCs w:val="0"/>
          <w:color w:val="FF0000"/>
          <w:highlight w:val="none"/>
          <w:lang w:val="en-US" w:eastAsia="zh-CN"/>
        </w:rPr>
        <w:t>根据《中国动物地理》</w:t>
      </w:r>
      <w:r>
        <w:rPr>
          <w:rFonts w:hint="default" w:ascii="Times New Roman" w:hAnsi="Times New Roman" w:cs="Times New Roman"/>
          <w:b w:val="0"/>
          <w:bCs w:val="0"/>
          <w:color w:val="FF0000"/>
          <w:highlight w:val="none"/>
          <w:lang w:val="en-US" w:eastAsia="zh-CN"/>
        </w:rPr>
        <w:t>（张荣祖著）</w:t>
      </w:r>
      <w:r>
        <w:rPr>
          <w:rFonts w:hint="eastAsia" w:cs="Times New Roman"/>
          <w:b w:val="0"/>
          <w:bCs w:val="0"/>
          <w:color w:val="FF0000"/>
          <w:highlight w:val="none"/>
          <w:lang w:val="en-US" w:eastAsia="zh-CN"/>
        </w:rPr>
        <w:t>，</w:t>
      </w:r>
      <w:r>
        <w:rPr>
          <w:rFonts w:hint="default" w:ascii="Times New Roman" w:hAnsi="Times New Roman" w:cs="Times New Roman"/>
          <w:b w:val="0"/>
          <w:bCs w:val="0"/>
          <w:color w:val="FF0000"/>
          <w:highlight w:val="none"/>
          <w:lang w:val="en-US" w:eastAsia="zh-CN"/>
        </w:rPr>
        <w:t>《</w:t>
      </w:r>
      <w:r>
        <w:rPr>
          <w:rFonts w:hint="default" w:ascii="Times New Roman" w:hAnsi="Times New Roman" w:eastAsia="宋体" w:cs="Times New Roman"/>
          <w:b w:val="0"/>
          <w:bCs w:val="0"/>
          <w:color w:val="FF0000"/>
          <w:highlight w:val="none"/>
          <w:lang w:val="en-US" w:eastAsia="zh-CN"/>
        </w:rPr>
        <w:t>新疆生物多样性现状与总体评价</w:t>
      </w:r>
      <w:r>
        <w:rPr>
          <w:rFonts w:hint="default" w:ascii="Times New Roman" w:hAnsi="Times New Roman" w:cs="Times New Roman"/>
          <w:b w:val="0"/>
          <w:bCs w:val="0"/>
          <w:color w:val="FF0000"/>
          <w:highlight w:val="none"/>
          <w:lang w:val="en-US" w:eastAsia="zh-CN"/>
        </w:rPr>
        <w:t>》（新疆维吾尔自治区生态环境厅，索引号MB1502192/2020-04913）</w:t>
      </w:r>
      <w:r>
        <w:rPr>
          <w:rFonts w:hint="default" w:ascii="Times New Roman" w:hAnsi="Times New Roman" w:eastAsia="宋体" w:cs="Times New Roman"/>
          <w:b w:val="0"/>
          <w:bCs w:val="0"/>
          <w:color w:val="FF0000"/>
          <w:highlight w:val="none"/>
          <w:lang w:val="en-US" w:eastAsia="zh-CN"/>
        </w:rPr>
        <w:t>，评价区属：古北界</w:t>
      </w:r>
      <w:r>
        <w:rPr>
          <w:rFonts w:hint="eastAsia" w:eastAsia="宋体" w:cs="Times New Roman"/>
          <w:b w:val="0"/>
          <w:bCs w:val="0"/>
          <w:color w:val="FF0000"/>
          <w:highlight w:val="none"/>
          <w:lang w:val="en-US" w:eastAsia="zh-CN"/>
        </w:rPr>
        <w:t>-中亚亚界-西部高原-III蒙新区-IIIB西部荒漠亚区-荒漠与半荒漠地带（干旱地区）。该亚区包括阴山北部的戈壁、鄂尔多斯西部、阿拉善、塔里木、柴达木及准噶尔等盆地。境内为大片沙丘、砾漠和盐碱滩，景色荒凉，只在沿河及山有高山冰雪融水长期灌溉的地段才有绿洲。准噶尔盆地广泛分布的有兽类，鸟类，爬行类。</w:t>
      </w:r>
    </w:p>
    <w:p w14:paraId="523F7373">
      <w:pPr>
        <w:bidi w:val="0"/>
        <w:rPr>
          <w:rFonts w:hint="default" w:ascii="Times New Roman" w:hAnsi="Times New Roman" w:eastAsia="宋体" w:cs="Times New Roman"/>
          <w:color w:val="FF0000"/>
          <w:highlight w:val="none"/>
          <w:lang w:val="en-US" w:eastAsia="zh-CN"/>
        </w:rPr>
      </w:pPr>
      <w:r>
        <w:rPr>
          <w:rFonts w:hint="default" w:ascii="Times New Roman" w:hAnsi="Times New Roman" w:cs="Times New Roman"/>
          <w:color w:val="FF0000"/>
          <w:highlight w:val="none"/>
          <w:lang w:val="en-US" w:eastAsia="zh-CN"/>
        </w:rPr>
        <w:t>（2）</w:t>
      </w:r>
      <w:r>
        <w:rPr>
          <w:rFonts w:hint="default" w:ascii="Times New Roman" w:hAnsi="Times New Roman" w:eastAsia="宋体" w:cs="Times New Roman"/>
          <w:color w:val="FF0000"/>
          <w:highlight w:val="none"/>
          <w:lang w:val="en-US" w:eastAsia="zh-CN"/>
        </w:rPr>
        <w:t>动物多样性及分布</w:t>
      </w:r>
    </w:p>
    <w:p w14:paraId="256DA547">
      <w:pPr>
        <w:spacing w:line="360" w:lineRule="auto"/>
        <w:ind w:firstLine="480" w:firstLineChars="200"/>
        <w:jc w:val="both"/>
        <w:rPr>
          <w:rFonts w:hint="default" w:ascii="Times New Roman" w:hAnsi="Times New Roman" w:cs="Times New Roman"/>
          <w:color w:val="FF0000"/>
          <w:highlight w:val="none"/>
          <w:lang w:val="en-US"/>
        </w:rPr>
      </w:pPr>
      <w:r>
        <w:rPr>
          <w:rFonts w:hint="default" w:ascii="Times New Roman" w:hAnsi="Times New Roman" w:eastAsia="宋体" w:cs="Times New Roman"/>
          <w:b w:val="0"/>
          <w:bCs w:val="0"/>
          <w:color w:val="FF0000"/>
          <w:highlight w:val="none"/>
          <w:lang w:val="en-US" w:eastAsia="zh-CN"/>
        </w:rPr>
        <w:t>据项目区</w:t>
      </w:r>
      <w:r>
        <w:rPr>
          <w:rFonts w:hint="eastAsia" w:ascii="Times New Roman" w:hAnsi="Times New Roman" w:eastAsia="宋体" w:cs="Times New Roman"/>
          <w:b w:val="0"/>
          <w:bCs w:val="0"/>
          <w:color w:val="FF0000"/>
          <w:highlight w:val="none"/>
          <w:lang w:val="en-US" w:eastAsia="zh-CN"/>
        </w:rPr>
        <w:t>东</w:t>
      </w:r>
      <w:r>
        <w:rPr>
          <w:rFonts w:hint="default" w:ascii="Times New Roman" w:hAnsi="Times New Roman" w:eastAsia="宋体" w:cs="Times New Roman"/>
          <w:b w:val="0"/>
          <w:bCs w:val="0"/>
          <w:color w:val="FF0000"/>
          <w:highlight w:val="none"/>
          <w:lang w:val="en-US" w:eastAsia="zh-CN"/>
        </w:rPr>
        <w:t>侧</w:t>
      </w:r>
      <w:r>
        <w:rPr>
          <w:rFonts w:hint="eastAsia" w:ascii="Times New Roman" w:hAnsi="Times New Roman" w:eastAsia="宋体" w:cs="Times New Roman"/>
          <w:b w:val="0"/>
          <w:bCs w:val="0"/>
          <w:color w:val="FF0000"/>
          <w:highlight w:val="none"/>
          <w:lang w:val="en-US" w:eastAsia="zh-CN"/>
        </w:rPr>
        <w:t>15</w:t>
      </w:r>
      <w:r>
        <w:rPr>
          <w:rFonts w:hint="default" w:ascii="Times New Roman" w:hAnsi="Times New Roman" w:eastAsia="宋体" w:cs="Times New Roman"/>
          <w:b w:val="0"/>
          <w:bCs w:val="0"/>
          <w:color w:val="FF0000"/>
          <w:highlight w:val="none"/>
          <w:lang w:val="en-US" w:eastAsia="zh-CN"/>
        </w:rPr>
        <w:t>km处</w:t>
      </w:r>
      <w:r>
        <w:rPr>
          <w:rFonts w:hint="eastAsia" w:cs="Times New Roman"/>
          <w:b w:val="0"/>
          <w:bCs w:val="0"/>
          <w:color w:val="FF0000"/>
          <w:highlight w:val="none"/>
          <w:lang w:val="en-US" w:eastAsia="zh-CN"/>
        </w:rPr>
        <w:t>为</w:t>
      </w:r>
      <w:r>
        <w:rPr>
          <w:rFonts w:hint="default" w:ascii="Times New Roman" w:hAnsi="Times New Roman" w:eastAsia="宋体" w:cs="Times New Roman"/>
          <w:b w:val="0"/>
          <w:bCs w:val="0"/>
          <w:color w:val="FF0000"/>
          <w:highlight w:val="none"/>
          <w:lang w:val="en-US" w:eastAsia="zh-CN"/>
        </w:rPr>
        <w:t>卡拉麦里山有蹄类野生动物自然保护区</w:t>
      </w:r>
      <w:r>
        <w:rPr>
          <w:rFonts w:hint="eastAsia" w:ascii="Times New Roman" w:hAnsi="Times New Roman" w:eastAsia="宋体" w:cs="Times New Roman"/>
          <w:b w:val="0"/>
          <w:bCs w:val="0"/>
          <w:color w:val="FF0000"/>
          <w:highlight w:val="none"/>
          <w:lang w:val="en-US" w:eastAsia="zh-CN"/>
        </w:rPr>
        <w:t>，是我国低海拔荒漠有蹄类野生动物集中分布区，有野生脊椎动物260种，其中国家一级保护野生动物14种、国家二级保护野生动物42种。主要保护对象有普氏野马、蒙古野驴、鹅喉羚等，此外还有盘羊、猞猁、赤狐、草原雕、苍鹰等</w:t>
      </w:r>
      <w:r>
        <w:rPr>
          <w:rFonts w:hint="default" w:ascii="Times New Roman" w:hAnsi="Times New Roman" w:eastAsia="宋体" w:cs="Times New Roman"/>
          <w:b w:val="0"/>
          <w:bCs w:val="0"/>
          <w:color w:val="FF0000"/>
          <w:highlight w:val="none"/>
          <w:lang w:val="en-US" w:eastAsia="zh-CN"/>
        </w:rPr>
        <w:t>。</w:t>
      </w:r>
    </w:p>
    <w:p w14:paraId="41CAD82E">
      <w:pPr>
        <w:numPr>
          <w:ilvl w:val="0"/>
          <w:numId w:val="32"/>
        </w:numPr>
        <w:spacing w:beforeLines="0" w:afterLines="0"/>
        <w:ind w:left="0" w:leftChars="0" w:firstLine="480" w:firstLineChars="200"/>
        <w:rPr>
          <w:rFonts w:hint="default" w:ascii="Times New Roman" w:hAnsi="Times New Roman" w:cs="Times New Roman"/>
          <w:color w:val="FF0000"/>
          <w:highlight w:val="none"/>
          <w:lang w:val="en-US" w:eastAsia="zh-CN"/>
        </w:rPr>
      </w:pPr>
      <w:r>
        <w:rPr>
          <w:rFonts w:hint="eastAsia" w:ascii="Times New Roman" w:hAnsi="Times New Roman" w:cs="Times New Roman"/>
          <w:color w:val="FF0000"/>
          <w:highlight w:val="none"/>
          <w:lang w:val="en-US" w:eastAsia="zh-CN"/>
        </w:rPr>
        <w:t>样线调查</w:t>
      </w:r>
    </w:p>
    <w:p w14:paraId="1EE3ACE6">
      <w:pPr>
        <w:numPr>
          <w:ilvl w:val="0"/>
          <w:numId w:val="0"/>
        </w:numPr>
        <w:spacing w:beforeLines="0" w:afterLines="0"/>
        <w:ind w:leftChars="200"/>
        <w:rPr>
          <w:rFonts w:hint="default" w:ascii="Times New Roman" w:hAnsi="Times New Roman" w:cs="Times New Roman"/>
          <w:color w:val="FF0000"/>
          <w:highlight w:val="none"/>
          <w:lang w:val="en-US" w:eastAsia="zh-CN"/>
        </w:rPr>
      </w:pPr>
      <w:r>
        <w:rPr>
          <w:rFonts w:hint="default" w:ascii="Times New Roman" w:hAnsi="Times New Roman" w:cs="Times New Roman"/>
          <w:color w:val="FF0000"/>
          <w:highlight w:val="none"/>
          <w:lang w:val="en-US" w:eastAsia="zh-CN"/>
        </w:rPr>
        <w:t>①调查内容</w:t>
      </w:r>
    </w:p>
    <w:p w14:paraId="31CD13C2">
      <w:pPr>
        <w:bidi w:val="0"/>
        <w:rPr>
          <w:rFonts w:hint="default" w:ascii="Times New Roman" w:hAnsi="Times New Roman" w:cs="Times New Roman"/>
          <w:color w:val="FF0000"/>
          <w:highlight w:val="none"/>
          <w:lang w:val="en-US" w:eastAsia="zh-CN"/>
        </w:rPr>
      </w:pPr>
      <w:r>
        <w:rPr>
          <w:rFonts w:hint="default" w:ascii="Times New Roman" w:hAnsi="Times New Roman" w:cs="Times New Roman"/>
          <w:color w:val="FF0000"/>
          <w:highlight w:val="none"/>
          <w:lang w:val="en-US" w:eastAsia="zh-CN"/>
        </w:rPr>
        <w:t>本次陆生脊椎动物现状调查内容主要包括：调查范围内的动物区系、物种组成及分布特征；重要物种的分布、生态学特征、种群现状，迁徙物种的主要迁徙路线、迁徙时间，重要生境的分布及现状。</w:t>
      </w:r>
    </w:p>
    <w:p w14:paraId="1423769C">
      <w:pPr>
        <w:bidi w:val="0"/>
        <w:rPr>
          <w:rFonts w:hint="default" w:ascii="Times New Roman" w:hAnsi="Times New Roman" w:cs="Times New Roman"/>
          <w:color w:val="FF0000"/>
          <w:highlight w:val="none"/>
          <w:lang w:val="en-US" w:eastAsia="zh-CN"/>
        </w:rPr>
      </w:pPr>
      <w:r>
        <w:rPr>
          <w:rFonts w:hint="default" w:ascii="Times New Roman" w:hAnsi="Times New Roman" w:cs="Times New Roman"/>
          <w:color w:val="FF0000"/>
          <w:highlight w:val="none"/>
          <w:lang w:val="en-US" w:eastAsia="zh-CN"/>
        </w:rPr>
        <w:t>②调查时间</w:t>
      </w:r>
    </w:p>
    <w:p w14:paraId="06E792FD">
      <w:pPr>
        <w:bidi w:val="0"/>
        <w:rPr>
          <w:rFonts w:hint="default" w:ascii="Times New Roman" w:hAnsi="Times New Roman" w:cs="Times New Roman"/>
          <w:color w:val="FF0000"/>
          <w:highlight w:val="none"/>
          <w:lang w:val="en-US" w:eastAsia="zh-CN"/>
        </w:rPr>
      </w:pPr>
      <w:r>
        <w:rPr>
          <w:rFonts w:hint="default" w:ascii="Times New Roman" w:hAnsi="Times New Roman" w:cs="Times New Roman"/>
          <w:color w:val="FF0000"/>
          <w:highlight w:val="none"/>
          <w:lang w:val="en-US" w:eastAsia="zh-CN"/>
        </w:rPr>
        <w:t>于202</w:t>
      </w:r>
      <w:r>
        <w:rPr>
          <w:rFonts w:hint="eastAsia" w:ascii="Times New Roman" w:hAnsi="Times New Roman" w:cs="Times New Roman"/>
          <w:color w:val="FF0000"/>
          <w:highlight w:val="none"/>
          <w:lang w:val="en-US" w:eastAsia="zh-CN"/>
        </w:rPr>
        <w:t>5</w:t>
      </w:r>
      <w:r>
        <w:rPr>
          <w:rFonts w:hint="default" w:ascii="Times New Roman" w:hAnsi="Times New Roman" w:cs="Times New Roman"/>
          <w:color w:val="FF0000"/>
          <w:highlight w:val="none"/>
          <w:lang w:val="en-US" w:eastAsia="zh-CN"/>
        </w:rPr>
        <w:t>年</w:t>
      </w:r>
      <w:r>
        <w:rPr>
          <w:rFonts w:hint="eastAsia" w:ascii="Times New Roman" w:hAnsi="Times New Roman" w:cs="Times New Roman"/>
          <w:color w:val="FF0000"/>
          <w:highlight w:val="none"/>
          <w:lang w:val="en-US" w:eastAsia="zh-CN"/>
        </w:rPr>
        <w:t>5</w:t>
      </w:r>
      <w:r>
        <w:rPr>
          <w:rFonts w:hint="default" w:ascii="Times New Roman" w:hAnsi="Times New Roman" w:cs="Times New Roman"/>
          <w:color w:val="FF0000"/>
          <w:highlight w:val="none"/>
          <w:lang w:val="en-US" w:eastAsia="zh-CN"/>
        </w:rPr>
        <w:t>月</w:t>
      </w:r>
      <w:r>
        <w:rPr>
          <w:rFonts w:hint="eastAsia" w:ascii="Times New Roman" w:hAnsi="Times New Roman" w:cs="Times New Roman"/>
          <w:color w:val="FF0000"/>
          <w:highlight w:val="none"/>
          <w:lang w:val="en-US" w:eastAsia="zh-CN"/>
        </w:rPr>
        <w:t>，春季</w:t>
      </w:r>
      <w:r>
        <w:rPr>
          <w:rFonts w:hint="default" w:ascii="Times New Roman" w:hAnsi="Times New Roman" w:cs="Times New Roman"/>
          <w:color w:val="FF0000"/>
          <w:highlight w:val="none"/>
          <w:lang w:val="en-US" w:eastAsia="zh-CN"/>
        </w:rPr>
        <w:t>。</w:t>
      </w:r>
    </w:p>
    <w:p w14:paraId="745CCFBD">
      <w:pPr>
        <w:bidi w:val="0"/>
        <w:rPr>
          <w:rFonts w:hint="default" w:ascii="Times New Roman" w:hAnsi="Times New Roman" w:cs="Times New Roman"/>
          <w:color w:val="FF0000"/>
          <w:highlight w:val="none"/>
          <w:lang w:val="en-US" w:eastAsia="zh-CN"/>
        </w:rPr>
      </w:pPr>
      <w:r>
        <w:rPr>
          <w:rFonts w:hint="default" w:ascii="Times New Roman" w:hAnsi="Times New Roman" w:cs="Times New Roman"/>
          <w:color w:val="FF0000"/>
          <w:highlight w:val="none"/>
          <w:lang w:val="en-US" w:eastAsia="zh-CN"/>
        </w:rPr>
        <w:t>③调查要求</w:t>
      </w:r>
    </w:p>
    <w:p w14:paraId="76D80849">
      <w:pPr>
        <w:bidi w:val="0"/>
        <w:rPr>
          <w:rFonts w:hint="default" w:ascii="Times New Roman" w:hAnsi="Times New Roman" w:cs="Times New Roman"/>
          <w:color w:val="FF0000"/>
          <w:highlight w:val="none"/>
          <w:lang w:val="en-US" w:eastAsia="zh-CN"/>
        </w:rPr>
      </w:pPr>
      <w:r>
        <w:rPr>
          <w:rFonts w:hint="default" w:ascii="Times New Roman" w:hAnsi="Times New Roman" w:cs="Times New Roman"/>
          <w:color w:val="FF0000"/>
          <w:highlight w:val="none"/>
          <w:lang w:val="en-US" w:eastAsia="zh-CN"/>
        </w:rPr>
        <w:t>实地调查遵循全面性、代表性和典型性原则。工程永久占用或施工临时占用区域应在收集资料基础上开展详细调查，查明占用区域是否分布有重要物种及重要生境。</w:t>
      </w:r>
    </w:p>
    <w:p w14:paraId="391B79DD">
      <w:pPr>
        <w:bidi w:val="0"/>
        <w:rPr>
          <w:rFonts w:hint="default" w:ascii="Times New Roman" w:hAnsi="Times New Roman" w:cs="Times New Roman"/>
          <w:color w:val="FF0000"/>
          <w:highlight w:val="none"/>
          <w:lang w:val="en-US" w:eastAsia="zh-CN"/>
        </w:rPr>
      </w:pPr>
      <w:r>
        <w:rPr>
          <w:rFonts w:hint="default" w:ascii="Times New Roman" w:hAnsi="Times New Roman" w:cs="Times New Roman"/>
          <w:color w:val="FF0000"/>
          <w:highlight w:val="none"/>
          <w:lang w:val="en-US" w:eastAsia="zh-CN"/>
        </w:rPr>
        <w:t>④调查方法</w:t>
      </w:r>
    </w:p>
    <w:p w14:paraId="551F404D">
      <w:pPr>
        <w:bidi w:val="0"/>
        <w:rPr>
          <w:rFonts w:hint="default" w:ascii="Times New Roman" w:hAnsi="Times New Roman" w:cs="Times New Roman"/>
          <w:color w:val="FF0000"/>
          <w:highlight w:val="none"/>
          <w:lang w:val="en-US" w:eastAsia="zh-CN"/>
        </w:rPr>
      </w:pPr>
      <w:r>
        <w:rPr>
          <w:rFonts w:hint="default" w:ascii="Times New Roman" w:hAnsi="Times New Roman" w:cs="Times New Roman"/>
          <w:color w:val="FF0000"/>
          <w:highlight w:val="none"/>
          <w:lang w:val="en-US" w:eastAsia="zh-CN"/>
        </w:rPr>
        <w:t>据评价要求和实际情况，采用样线调查，按照《环境影响评价技术导则 生态影响》（HJ19-2022），二级评价每种生境类型的设置野生动物调查样线数量不少于3个，</w:t>
      </w:r>
      <w:r>
        <w:rPr>
          <w:rFonts w:hint="default" w:ascii="Times New Roman" w:hAnsi="Times New Roman" w:cs="Times New Roman"/>
          <w:color w:val="FF0000"/>
          <w:sz w:val="24"/>
          <w:highlight w:val="none"/>
          <w:lang w:val="en-US" w:eastAsia="zh-CN"/>
        </w:rPr>
        <w:t>样线法为不定宽样线法，即不设定样线宽度，沿预先布设的样线行走，记录沿线观察到或听到的动物种类及其个体数量，同时记录动物的垂直距离，并填写起止时间、起止点经纬度等信息。样线法适用于鸟类、兽类补充调查、两栖爬行类监测。在野外发现动物痕迹时，当即根据痕迹大小、特征、细节等判断所属的物种及其个体数。</w:t>
      </w:r>
      <w:r>
        <w:rPr>
          <w:rFonts w:hint="default" w:ascii="Times New Roman" w:hAnsi="Times New Roman" w:eastAsia="宋体" w:cs="Times New Roman"/>
          <w:color w:val="FF0000"/>
          <w:highlight w:val="none"/>
        </w:rPr>
        <w:t>工程影响区</w:t>
      </w:r>
      <w:r>
        <w:rPr>
          <w:rFonts w:hint="default" w:ascii="Times New Roman" w:hAnsi="Times New Roman" w:cs="Times New Roman"/>
          <w:color w:val="FF0000"/>
          <w:highlight w:val="none"/>
          <w:lang w:val="en-US" w:eastAsia="zh-CN"/>
        </w:rPr>
        <w:t>动物样线调查表，见表4.3-1</w:t>
      </w:r>
      <w:r>
        <w:rPr>
          <w:rFonts w:hint="eastAsia" w:cs="Times New Roman"/>
          <w:color w:val="FF0000"/>
          <w:highlight w:val="none"/>
          <w:lang w:val="en-US" w:eastAsia="zh-CN"/>
        </w:rPr>
        <w:t>5</w:t>
      </w:r>
      <w:r>
        <w:rPr>
          <w:rFonts w:hint="default" w:ascii="Times New Roman" w:hAnsi="Times New Roman" w:cs="Times New Roman"/>
          <w:color w:val="FF0000"/>
          <w:highlight w:val="none"/>
          <w:lang w:val="en-US" w:eastAsia="zh-CN"/>
        </w:rPr>
        <w:t>。</w:t>
      </w:r>
    </w:p>
    <w:p w14:paraId="7F60F079">
      <w:pPr>
        <w:pStyle w:val="77"/>
        <w:bidi w:val="0"/>
        <w:rPr>
          <w:rFonts w:hint="default" w:ascii="Times New Roman" w:hAnsi="Times New Roman" w:eastAsia="宋体" w:cs="Times New Roman"/>
          <w:color w:val="FF0000"/>
          <w:highlight w:val="none"/>
        </w:rPr>
        <w:sectPr>
          <w:pgSz w:w="11906" w:h="16838"/>
          <w:pgMar w:top="1418" w:right="1418" w:bottom="1418" w:left="1418" w:header="851" w:footer="992" w:gutter="0"/>
          <w:pgBorders>
            <w:top w:val="none" w:sz="0" w:space="0"/>
            <w:left w:val="none" w:sz="0" w:space="0"/>
            <w:bottom w:val="none" w:sz="0" w:space="0"/>
            <w:right w:val="none" w:sz="0" w:space="0"/>
          </w:pgBorders>
          <w:pgNumType w:fmt="numberInDash"/>
          <w:cols w:space="425" w:num="1"/>
          <w:docGrid w:linePitch="326" w:charSpace="0"/>
        </w:sectPr>
      </w:pPr>
    </w:p>
    <w:p w14:paraId="456E5066">
      <w:pPr>
        <w:pStyle w:val="77"/>
        <w:bidi w:val="0"/>
        <w:jc w:val="center"/>
        <w:rPr>
          <w:rFonts w:hint="default"/>
          <w:b/>
          <w:bCs/>
          <w:color w:val="auto"/>
        </w:rPr>
      </w:pPr>
      <w:r>
        <w:rPr>
          <w:rFonts w:hint="default"/>
          <w:b/>
          <w:bCs/>
          <w:color w:val="auto"/>
        </w:rPr>
        <w:t>表4.</w:t>
      </w:r>
      <w:r>
        <w:rPr>
          <w:rFonts w:hint="default"/>
          <w:b/>
          <w:bCs/>
          <w:color w:val="auto"/>
          <w:lang w:val="en-US" w:eastAsia="zh-CN"/>
        </w:rPr>
        <w:t>3-1</w:t>
      </w:r>
      <w:r>
        <w:rPr>
          <w:rFonts w:hint="eastAsia"/>
          <w:b/>
          <w:bCs/>
          <w:color w:val="auto"/>
          <w:lang w:val="en-US" w:eastAsia="zh-CN"/>
        </w:rPr>
        <w:t>5</w:t>
      </w:r>
      <w:r>
        <w:rPr>
          <w:rFonts w:hint="default"/>
          <w:b/>
          <w:bCs/>
          <w:color w:val="auto"/>
        </w:rPr>
        <w:t xml:space="preserve">   工程影响区动物样线调查表</w:t>
      </w:r>
    </w:p>
    <w:tbl>
      <w:tblPr>
        <w:tblStyle w:val="31"/>
        <w:tblW w:w="522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49"/>
        <w:gridCol w:w="1416"/>
        <w:gridCol w:w="965"/>
        <w:gridCol w:w="1194"/>
        <w:gridCol w:w="1520"/>
        <w:gridCol w:w="1018"/>
        <w:gridCol w:w="1079"/>
        <w:gridCol w:w="751"/>
        <w:gridCol w:w="773"/>
        <w:gridCol w:w="2038"/>
        <w:gridCol w:w="3348"/>
      </w:tblGrid>
      <w:tr w14:paraId="15945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2" w:hRule="atLeast"/>
          <w:jc w:val="center"/>
        </w:trPr>
        <w:tc>
          <w:tcPr>
            <w:tcW w:w="187" w:type="pct"/>
            <w:noWrap w:val="0"/>
            <w:vAlign w:val="center"/>
          </w:tcPr>
          <w:p w14:paraId="4FE2D768">
            <w:pPr>
              <w:pStyle w:val="7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样线编号</w:t>
            </w:r>
          </w:p>
        </w:tc>
        <w:tc>
          <w:tcPr>
            <w:tcW w:w="483" w:type="pct"/>
            <w:noWrap w:val="0"/>
            <w:vAlign w:val="center"/>
          </w:tcPr>
          <w:p w14:paraId="5EB39B4A">
            <w:pPr>
              <w:pStyle w:val="7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样线坐标</w:t>
            </w:r>
          </w:p>
        </w:tc>
        <w:tc>
          <w:tcPr>
            <w:tcW w:w="329" w:type="pct"/>
            <w:noWrap w:val="0"/>
            <w:vAlign w:val="center"/>
          </w:tcPr>
          <w:p w14:paraId="7F30ADFD">
            <w:pPr>
              <w:pStyle w:val="7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样线长</w:t>
            </w:r>
          </w:p>
        </w:tc>
        <w:tc>
          <w:tcPr>
            <w:tcW w:w="407" w:type="pct"/>
            <w:noWrap w:val="0"/>
            <w:vAlign w:val="center"/>
          </w:tcPr>
          <w:p w14:paraId="366B30E2">
            <w:pPr>
              <w:pStyle w:val="7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海拔</w:t>
            </w:r>
          </w:p>
        </w:tc>
        <w:tc>
          <w:tcPr>
            <w:tcW w:w="518" w:type="pct"/>
            <w:noWrap w:val="0"/>
            <w:vAlign w:val="center"/>
          </w:tcPr>
          <w:p w14:paraId="7F37DCD4">
            <w:pPr>
              <w:pStyle w:val="7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生境类型</w:t>
            </w:r>
          </w:p>
        </w:tc>
        <w:tc>
          <w:tcPr>
            <w:tcW w:w="347" w:type="pct"/>
            <w:noWrap w:val="0"/>
            <w:vAlign w:val="center"/>
          </w:tcPr>
          <w:p w14:paraId="3EAB6D30">
            <w:pPr>
              <w:pStyle w:val="7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物种名</w:t>
            </w:r>
          </w:p>
        </w:tc>
        <w:tc>
          <w:tcPr>
            <w:tcW w:w="368" w:type="pct"/>
            <w:noWrap w:val="0"/>
            <w:vAlign w:val="center"/>
          </w:tcPr>
          <w:p w14:paraId="4AACA28C">
            <w:pPr>
              <w:pStyle w:val="7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拉丁名</w:t>
            </w:r>
          </w:p>
        </w:tc>
        <w:tc>
          <w:tcPr>
            <w:tcW w:w="256" w:type="pct"/>
            <w:noWrap w:val="0"/>
            <w:vAlign w:val="center"/>
          </w:tcPr>
          <w:p w14:paraId="08BE1D16">
            <w:pPr>
              <w:pStyle w:val="7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实体数量</w:t>
            </w:r>
          </w:p>
        </w:tc>
        <w:tc>
          <w:tcPr>
            <w:tcW w:w="263" w:type="pct"/>
            <w:noWrap w:val="0"/>
            <w:vAlign w:val="center"/>
          </w:tcPr>
          <w:p w14:paraId="52E1317E">
            <w:pPr>
              <w:pStyle w:val="7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痕迹</w:t>
            </w:r>
          </w:p>
          <w:p w14:paraId="66B431C8">
            <w:pPr>
              <w:pStyle w:val="7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数量</w:t>
            </w:r>
          </w:p>
        </w:tc>
        <w:tc>
          <w:tcPr>
            <w:tcW w:w="695" w:type="pct"/>
            <w:noWrap w:val="0"/>
            <w:vAlign w:val="center"/>
          </w:tcPr>
          <w:p w14:paraId="720F2C33">
            <w:pPr>
              <w:pStyle w:val="7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备注</w:t>
            </w:r>
          </w:p>
        </w:tc>
        <w:tc>
          <w:tcPr>
            <w:tcW w:w="1142" w:type="pct"/>
            <w:noWrap w:val="0"/>
            <w:vAlign w:val="center"/>
          </w:tcPr>
          <w:p w14:paraId="7033B5E6">
            <w:pPr>
              <w:pStyle w:val="7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照片</w:t>
            </w:r>
          </w:p>
        </w:tc>
      </w:tr>
      <w:tr w14:paraId="1D68F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55" w:hRule="atLeast"/>
          <w:jc w:val="center"/>
        </w:trPr>
        <w:tc>
          <w:tcPr>
            <w:tcW w:w="187" w:type="pct"/>
            <w:vMerge w:val="restart"/>
            <w:noWrap w:val="0"/>
            <w:vAlign w:val="center"/>
          </w:tcPr>
          <w:p w14:paraId="2D576418">
            <w:pPr>
              <w:pStyle w:val="7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483" w:type="pct"/>
            <w:vMerge w:val="restart"/>
            <w:noWrap w:val="0"/>
            <w:vAlign w:val="center"/>
          </w:tcPr>
          <w:p w14:paraId="2DDC2320">
            <w:pPr>
              <w:pStyle w:val="7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88°17′17.467″,44°41′49.483″--88°18′8.450″,44°42′5.087″</w:t>
            </w:r>
          </w:p>
        </w:tc>
        <w:tc>
          <w:tcPr>
            <w:tcW w:w="329" w:type="pct"/>
            <w:vMerge w:val="restart"/>
            <w:noWrap w:val="0"/>
            <w:vAlign w:val="center"/>
          </w:tcPr>
          <w:p w14:paraId="42E4F216">
            <w:pPr>
              <w:pStyle w:val="7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12</w:t>
            </w:r>
            <w:r>
              <w:rPr>
                <w:rFonts w:hint="default" w:ascii="Times New Roman" w:hAnsi="Times New Roman" w:cs="Times New Roman"/>
                <w:color w:val="auto"/>
                <w:sz w:val="21"/>
                <w:szCs w:val="21"/>
                <w:highlight w:val="none"/>
                <w:lang w:val="en-US" w:eastAsia="zh-CN"/>
              </w:rPr>
              <w:t>00m</w:t>
            </w:r>
          </w:p>
        </w:tc>
        <w:tc>
          <w:tcPr>
            <w:tcW w:w="407" w:type="pct"/>
            <w:vMerge w:val="restart"/>
            <w:noWrap w:val="0"/>
            <w:vAlign w:val="center"/>
          </w:tcPr>
          <w:p w14:paraId="34763BC2">
            <w:pPr>
              <w:pStyle w:val="7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599</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594</w:t>
            </w:r>
            <w:r>
              <w:rPr>
                <w:rFonts w:hint="default" w:ascii="Times New Roman" w:hAnsi="Times New Roman" w:cs="Times New Roman"/>
                <w:color w:val="auto"/>
                <w:sz w:val="21"/>
                <w:szCs w:val="21"/>
                <w:highlight w:val="none"/>
                <w:lang w:val="en-US" w:eastAsia="zh-CN"/>
              </w:rPr>
              <w:t>m</w:t>
            </w:r>
          </w:p>
        </w:tc>
        <w:tc>
          <w:tcPr>
            <w:tcW w:w="518" w:type="pct"/>
            <w:vMerge w:val="restart"/>
            <w:noWrap w:val="0"/>
            <w:vAlign w:val="center"/>
          </w:tcPr>
          <w:p w14:paraId="7E2FD5D9">
            <w:pPr>
              <w:pStyle w:val="7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荒漠草原生态系统</w:t>
            </w:r>
          </w:p>
        </w:tc>
        <w:tc>
          <w:tcPr>
            <w:tcW w:w="347" w:type="pct"/>
            <w:noWrap w:val="0"/>
            <w:vAlign w:val="center"/>
          </w:tcPr>
          <w:p w14:paraId="3EBA6C39">
            <w:pPr>
              <w:pStyle w:val="78"/>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苍鹰</w:t>
            </w:r>
          </w:p>
        </w:tc>
        <w:tc>
          <w:tcPr>
            <w:tcW w:w="368" w:type="pct"/>
            <w:noWrap w:val="0"/>
            <w:vAlign w:val="center"/>
          </w:tcPr>
          <w:p w14:paraId="550BF12D">
            <w:pPr>
              <w:pStyle w:val="78"/>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color w:val="auto"/>
                <w:sz w:val="21"/>
                <w:szCs w:val="21"/>
                <w:highlight w:val="none"/>
                <w:lang w:val="en-US" w:eastAsia="zh-CN"/>
              </w:rPr>
              <w:t>Accipiter gentilis</w:t>
            </w:r>
          </w:p>
        </w:tc>
        <w:tc>
          <w:tcPr>
            <w:tcW w:w="256" w:type="pct"/>
            <w:noWrap w:val="0"/>
            <w:vAlign w:val="center"/>
          </w:tcPr>
          <w:p w14:paraId="10600337">
            <w:pPr>
              <w:pStyle w:val="78"/>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只</w:t>
            </w:r>
          </w:p>
        </w:tc>
        <w:tc>
          <w:tcPr>
            <w:tcW w:w="263" w:type="pct"/>
            <w:noWrap w:val="0"/>
            <w:vAlign w:val="center"/>
          </w:tcPr>
          <w:p w14:paraId="2EE91616">
            <w:pPr>
              <w:pStyle w:val="78"/>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695" w:type="pct"/>
            <w:noWrap w:val="0"/>
            <w:vAlign w:val="center"/>
          </w:tcPr>
          <w:p w14:paraId="69DA060D">
            <w:pPr>
              <w:pStyle w:val="78"/>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保护级别II级，</w:t>
            </w:r>
            <w:r>
              <w:rPr>
                <w:rFonts w:hint="default" w:ascii="Times New Roman" w:hAnsi="Times New Roman" w:cs="Times New Roman"/>
                <w:color w:val="auto"/>
                <w:sz w:val="21"/>
                <w:szCs w:val="21"/>
                <w:highlight w:val="none"/>
                <w:lang w:val="en-US" w:eastAsia="zh-CN"/>
              </w:rPr>
              <w:t>飞行</w:t>
            </w:r>
          </w:p>
        </w:tc>
        <w:tc>
          <w:tcPr>
            <w:tcW w:w="1142" w:type="pct"/>
            <w:noWrap w:val="0"/>
            <w:vAlign w:val="center"/>
          </w:tcPr>
          <w:p w14:paraId="10D0D2AF">
            <w:pPr>
              <w:pStyle w:val="7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lang w:val="en-US" w:eastAsia="zh-CN"/>
              </w:rPr>
            </w:pPr>
            <w:r>
              <w:drawing>
                <wp:inline distT="0" distB="0" distL="114300" distR="114300">
                  <wp:extent cx="2090420" cy="2192020"/>
                  <wp:effectExtent l="0" t="0" r="5080" b="5080"/>
                  <wp:docPr id="5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
                          <pic:cNvPicPr>
                            <a:picLocks noChangeAspect="1"/>
                          </pic:cNvPicPr>
                        </pic:nvPicPr>
                        <pic:blipFill>
                          <a:blip r:embed="rId33"/>
                          <a:stretch>
                            <a:fillRect/>
                          </a:stretch>
                        </pic:blipFill>
                        <pic:spPr>
                          <a:xfrm>
                            <a:off x="0" y="0"/>
                            <a:ext cx="2090420" cy="2192020"/>
                          </a:xfrm>
                          <a:prstGeom prst="rect">
                            <a:avLst/>
                          </a:prstGeom>
                          <a:noFill/>
                          <a:ln>
                            <a:noFill/>
                          </a:ln>
                        </pic:spPr>
                      </pic:pic>
                    </a:graphicData>
                  </a:graphic>
                </wp:inline>
              </w:drawing>
            </w:r>
          </w:p>
        </w:tc>
      </w:tr>
      <w:tr w14:paraId="44340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55" w:hRule="atLeast"/>
          <w:jc w:val="center"/>
        </w:trPr>
        <w:tc>
          <w:tcPr>
            <w:tcW w:w="187" w:type="pct"/>
            <w:vMerge w:val="continue"/>
            <w:noWrap w:val="0"/>
            <w:vAlign w:val="center"/>
          </w:tcPr>
          <w:p w14:paraId="047D6BA4">
            <w:pPr>
              <w:pStyle w:val="7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rPr>
            </w:pPr>
          </w:p>
        </w:tc>
        <w:tc>
          <w:tcPr>
            <w:tcW w:w="483" w:type="pct"/>
            <w:vMerge w:val="continue"/>
            <w:noWrap w:val="0"/>
            <w:vAlign w:val="center"/>
          </w:tcPr>
          <w:p w14:paraId="05777FB8">
            <w:pPr>
              <w:pStyle w:val="7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rPr>
            </w:pPr>
          </w:p>
        </w:tc>
        <w:tc>
          <w:tcPr>
            <w:tcW w:w="329" w:type="pct"/>
            <w:vMerge w:val="continue"/>
            <w:noWrap w:val="0"/>
            <w:vAlign w:val="center"/>
          </w:tcPr>
          <w:p w14:paraId="03B1A6A4">
            <w:pPr>
              <w:pStyle w:val="78"/>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highlight w:val="none"/>
                <w:lang w:val="en-US" w:eastAsia="zh-CN"/>
              </w:rPr>
            </w:pPr>
          </w:p>
        </w:tc>
        <w:tc>
          <w:tcPr>
            <w:tcW w:w="407" w:type="pct"/>
            <w:vMerge w:val="continue"/>
            <w:noWrap w:val="0"/>
            <w:vAlign w:val="center"/>
          </w:tcPr>
          <w:p w14:paraId="5CACEA1E">
            <w:pPr>
              <w:pStyle w:val="78"/>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highlight w:val="none"/>
                <w:lang w:val="en-US" w:eastAsia="zh-CN"/>
              </w:rPr>
            </w:pPr>
          </w:p>
        </w:tc>
        <w:tc>
          <w:tcPr>
            <w:tcW w:w="518" w:type="pct"/>
            <w:vMerge w:val="continue"/>
            <w:noWrap w:val="0"/>
            <w:vAlign w:val="center"/>
          </w:tcPr>
          <w:p w14:paraId="4BE71F2F">
            <w:pPr>
              <w:pStyle w:val="78"/>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highlight w:val="none"/>
                <w:lang w:val="en-US" w:eastAsia="zh-CN"/>
              </w:rPr>
            </w:pPr>
          </w:p>
        </w:tc>
        <w:tc>
          <w:tcPr>
            <w:tcW w:w="347" w:type="pct"/>
            <w:shd w:val="clear" w:color="auto" w:fill="auto"/>
            <w:noWrap w:val="0"/>
            <w:vAlign w:val="center"/>
          </w:tcPr>
          <w:p w14:paraId="6B9FBEAF">
            <w:pPr>
              <w:pStyle w:val="78"/>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野兔</w:t>
            </w:r>
          </w:p>
        </w:tc>
        <w:tc>
          <w:tcPr>
            <w:tcW w:w="368" w:type="pct"/>
            <w:shd w:val="clear" w:color="auto" w:fill="auto"/>
            <w:noWrap w:val="0"/>
            <w:vAlign w:val="center"/>
          </w:tcPr>
          <w:p w14:paraId="27FAF3AC">
            <w:pPr>
              <w:pStyle w:val="78"/>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i/>
                <w:color w:val="auto"/>
                <w:sz w:val="21"/>
                <w:szCs w:val="21"/>
                <w:highlight w:val="none"/>
                <w:lang w:val="en-US" w:eastAsia="zh-CN"/>
              </w:rPr>
            </w:pPr>
            <w:r>
              <w:rPr>
                <w:rFonts w:hint="default" w:ascii="Times New Roman" w:hAnsi="Times New Roman" w:cs="Times New Roman"/>
                <w:color w:val="auto"/>
                <w:sz w:val="24"/>
                <w:szCs w:val="24"/>
                <w:highlight w:val="none"/>
              </w:rPr>
              <w:t>Lagomorpha</w:t>
            </w:r>
          </w:p>
        </w:tc>
        <w:tc>
          <w:tcPr>
            <w:tcW w:w="256" w:type="pct"/>
            <w:shd w:val="clear" w:color="auto" w:fill="auto"/>
            <w:noWrap w:val="0"/>
            <w:vAlign w:val="center"/>
          </w:tcPr>
          <w:p w14:paraId="1DC80032">
            <w:pPr>
              <w:pStyle w:val="78"/>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263" w:type="pct"/>
            <w:shd w:val="clear" w:color="auto" w:fill="auto"/>
            <w:noWrap w:val="0"/>
            <w:vAlign w:val="center"/>
          </w:tcPr>
          <w:p w14:paraId="37858F8C">
            <w:pPr>
              <w:pStyle w:val="78"/>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695" w:type="pct"/>
            <w:shd w:val="clear" w:color="auto" w:fill="auto"/>
            <w:noWrap w:val="0"/>
            <w:vAlign w:val="center"/>
          </w:tcPr>
          <w:p w14:paraId="5E01EABF">
            <w:pPr>
              <w:pStyle w:val="78"/>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足迹</w:t>
            </w:r>
          </w:p>
        </w:tc>
        <w:tc>
          <w:tcPr>
            <w:tcW w:w="1142" w:type="pct"/>
            <w:shd w:val="clear" w:color="auto" w:fill="auto"/>
            <w:noWrap w:val="0"/>
            <w:vAlign w:val="center"/>
          </w:tcPr>
          <w:p w14:paraId="09C5DBAB">
            <w:pPr>
              <w:pStyle w:val="78"/>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drawing>
                <wp:inline distT="0" distB="0" distL="114300" distR="114300">
                  <wp:extent cx="2091055" cy="1567180"/>
                  <wp:effectExtent l="0" t="0" r="4445" b="7620"/>
                  <wp:docPr id="56" name="图片 56" descr="野兔足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野兔足迹"/>
                          <pic:cNvPicPr>
                            <a:picLocks noChangeAspect="1"/>
                          </pic:cNvPicPr>
                        </pic:nvPicPr>
                        <pic:blipFill>
                          <a:blip r:embed="rId34"/>
                          <a:stretch>
                            <a:fillRect/>
                          </a:stretch>
                        </pic:blipFill>
                        <pic:spPr>
                          <a:xfrm>
                            <a:off x="0" y="0"/>
                            <a:ext cx="2091055" cy="1567180"/>
                          </a:xfrm>
                          <a:prstGeom prst="rect">
                            <a:avLst/>
                          </a:prstGeom>
                        </pic:spPr>
                      </pic:pic>
                    </a:graphicData>
                  </a:graphic>
                </wp:inline>
              </w:drawing>
            </w:r>
          </w:p>
        </w:tc>
      </w:tr>
      <w:tr w14:paraId="49F31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1" w:hRule="atLeast"/>
          <w:jc w:val="center"/>
        </w:trPr>
        <w:tc>
          <w:tcPr>
            <w:tcW w:w="187" w:type="pct"/>
            <w:noWrap w:val="0"/>
            <w:vAlign w:val="center"/>
          </w:tcPr>
          <w:p w14:paraId="6D2F5728">
            <w:pPr>
              <w:pStyle w:val="7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483" w:type="pct"/>
            <w:noWrap w:val="0"/>
            <w:vAlign w:val="center"/>
          </w:tcPr>
          <w:p w14:paraId="1C6BBF2B">
            <w:pPr>
              <w:pStyle w:val="7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88°17′50.374″,44°41′28.935″——88°17′49.756″,44°42′28.570″</w:t>
            </w:r>
          </w:p>
        </w:tc>
        <w:tc>
          <w:tcPr>
            <w:tcW w:w="329" w:type="pct"/>
            <w:noWrap w:val="0"/>
            <w:vAlign w:val="center"/>
          </w:tcPr>
          <w:p w14:paraId="1CD0164A">
            <w:pPr>
              <w:pStyle w:val="7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1800</w:t>
            </w:r>
          </w:p>
        </w:tc>
        <w:tc>
          <w:tcPr>
            <w:tcW w:w="407" w:type="pct"/>
            <w:noWrap w:val="0"/>
            <w:vAlign w:val="center"/>
          </w:tcPr>
          <w:p w14:paraId="17D60CCE">
            <w:pPr>
              <w:pStyle w:val="7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602</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600</w:t>
            </w:r>
            <w:r>
              <w:rPr>
                <w:rFonts w:hint="default" w:ascii="Times New Roman" w:hAnsi="Times New Roman" w:cs="Times New Roman"/>
                <w:color w:val="auto"/>
                <w:sz w:val="21"/>
                <w:szCs w:val="21"/>
                <w:highlight w:val="none"/>
                <w:lang w:val="en-US" w:eastAsia="zh-CN"/>
              </w:rPr>
              <w:t>m</w:t>
            </w:r>
          </w:p>
        </w:tc>
        <w:tc>
          <w:tcPr>
            <w:tcW w:w="518" w:type="pct"/>
            <w:noWrap w:val="0"/>
            <w:vAlign w:val="center"/>
          </w:tcPr>
          <w:p w14:paraId="1FDBBA28">
            <w:pPr>
              <w:pStyle w:val="7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荒漠草原生态系统</w:t>
            </w:r>
          </w:p>
        </w:tc>
        <w:tc>
          <w:tcPr>
            <w:tcW w:w="347" w:type="pct"/>
            <w:noWrap w:val="0"/>
            <w:vAlign w:val="center"/>
          </w:tcPr>
          <w:p w14:paraId="7EE29AE4">
            <w:pPr>
              <w:pStyle w:val="7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野兔</w:t>
            </w:r>
          </w:p>
        </w:tc>
        <w:tc>
          <w:tcPr>
            <w:tcW w:w="368" w:type="pct"/>
            <w:noWrap w:val="0"/>
            <w:vAlign w:val="center"/>
          </w:tcPr>
          <w:p w14:paraId="5DB7D4DF">
            <w:pPr>
              <w:pStyle w:val="7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4"/>
                <w:szCs w:val="24"/>
                <w:highlight w:val="none"/>
              </w:rPr>
              <w:t>Lagomorpha</w:t>
            </w:r>
          </w:p>
        </w:tc>
        <w:tc>
          <w:tcPr>
            <w:tcW w:w="256" w:type="pct"/>
            <w:noWrap w:val="0"/>
            <w:vAlign w:val="center"/>
          </w:tcPr>
          <w:p w14:paraId="443977F7">
            <w:pPr>
              <w:pStyle w:val="7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263" w:type="pct"/>
            <w:noWrap w:val="0"/>
            <w:vAlign w:val="center"/>
          </w:tcPr>
          <w:p w14:paraId="275B07D6">
            <w:pPr>
              <w:pStyle w:val="7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695" w:type="pct"/>
            <w:noWrap w:val="0"/>
            <w:vAlign w:val="center"/>
          </w:tcPr>
          <w:p w14:paraId="6E8DB1A7">
            <w:pPr>
              <w:pStyle w:val="7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粪便</w:t>
            </w:r>
          </w:p>
        </w:tc>
        <w:tc>
          <w:tcPr>
            <w:tcW w:w="1142" w:type="pct"/>
            <w:noWrap w:val="0"/>
            <w:vAlign w:val="center"/>
          </w:tcPr>
          <w:p w14:paraId="4E2C19D8">
            <w:pPr>
              <w:pStyle w:val="7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drawing>
                <wp:inline distT="0" distB="0" distL="114300" distR="114300">
                  <wp:extent cx="2104390" cy="1757680"/>
                  <wp:effectExtent l="0" t="0" r="3810" b="7620"/>
                  <wp:docPr id="5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7"/>
                          <pic:cNvPicPr>
                            <a:picLocks noChangeAspect="1"/>
                          </pic:cNvPicPr>
                        </pic:nvPicPr>
                        <pic:blipFill>
                          <a:blip r:embed="rId35"/>
                          <a:stretch>
                            <a:fillRect/>
                          </a:stretch>
                        </pic:blipFill>
                        <pic:spPr>
                          <a:xfrm>
                            <a:off x="0" y="0"/>
                            <a:ext cx="2104390" cy="1757680"/>
                          </a:xfrm>
                          <a:prstGeom prst="rect">
                            <a:avLst/>
                          </a:prstGeom>
                          <a:noFill/>
                          <a:ln>
                            <a:noFill/>
                          </a:ln>
                        </pic:spPr>
                      </pic:pic>
                    </a:graphicData>
                  </a:graphic>
                </wp:inline>
              </w:drawing>
            </w:r>
          </w:p>
        </w:tc>
      </w:tr>
      <w:tr w14:paraId="134D4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8" w:hRule="atLeast"/>
          <w:jc w:val="center"/>
        </w:trPr>
        <w:tc>
          <w:tcPr>
            <w:tcW w:w="187" w:type="pct"/>
            <w:noWrap w:val="0"/>
            <w:vAlign w:val="center"/>
          </w:tcPr>
          <w:p w14:paraId="03EA64DB">
            <w:pPr>
              <w:pStyle w:val="7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4</w:t>
            </w:r>
          </w:p>
        </w:tc>
        <w:tc>
          <w:tcPr>
            <w:tcW w:w="483" w:type="pct"/>
            <w:noWrap w:val="0"/>
            <w:vAlign w:val="center"/>
          </w:tcPr>
          <w:p w14:paraId="3843D693">
            <w:pPr>
              <w:pStyle w:val="7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88°17′19.011″,44°41′31.098″-88°18′2.57964″,44°41′32.33437″</w:t>
            </w:r>
          </w:p>
        </w:tc>
        <w:tc>
          <w:tcPr>
            <w:tcW w:w="329" w:type="pct"/>
            <w:noWrap w:val="0"/>
            <w:vAlign w:val="center"/>
          </w:tcPr>
          <w:p w14:paraId="7C38B9E1">
            <w:pPr>
              <w:pStyle w:val="7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96</w:t>
            </w:r>
            <w:r>
              <w:rPr>
                <w:rFonts w:hint="default" w:ascii="Times New Roman" w:hAnsi="Times New Roman" w:cs="Times New Roman"/>
                <w:color w:val="auto"/>
                <w:sz w:val="21"/>
                <w:szCs w:val="21"/>
                <w:highlight w:val="none"/>
                <w:lang w:val="en-US" w:eastAsia="zh-CN"/>
              </w:rPr>
              <w:t>0m</w:t>
            </w:r>
          </w:p>
        </w:tc>
        <w:tc>
          <w:tcPr>
            <w:tcW w:w="407" w:type="pct"/>
            <w:noWrap w:val="0"/>
            <w:vAlign w:val="center"/>
          </w:tcPr>
          <w:p w14:paraId="29C49F53">
            <w:pPr>
              <w:pStyle w:val="7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585</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584</w:t>
            </w:r>
            <w:r>
              <w:rPr>
                <w:rFonts w:hint="default" w:ascii="Times New Roman" w:hAnsi="Times New Roman" w:cs="Times New Roman"/>
                <w:color w:val="auto"/>
                <w:sz w:val="21"/>
                <w:szCs w:val="21"/>
                <w:highlight w:val="none"/>
                <w:lang w:val="en-US" w:eastAsia="zh-CN"/>
              </w:rPr>
              <w:t>m</w:t>
            </w:r>
          </w:p>
        </w:tc>
        <w:tc>
          <w:tcPr>
            <w:tcW w:w="518" w:type="pct"/>
            <w:noWrap w:val="0"/>
            <w:vAlign w:val="center"/>
          </w:tcPr>
          <w:p w14:paraId="1E5261D5">
            <w:pPr>
              <w:pStyle w:val="7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荒漠草原生态系统</w:t>
            </w:r>
          </w:p>
        </w:tc>
        <w:tc>
          <w:tcPr>
            <w:tcW w:w="347" w:type="pct"/>
            <w:noWrap w:val="0"/>
            <w:vAlign w:val="center"/>
          </w:tcPr>
          <w:p w14:paraId="7E4EADAE">
            <w:pPr>
              <w:pStyle w:val="78"/>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沙鼠</w:t>
            </w:r>
          </w:p>
        </w:tc>
        <w:tc>
          <w:tcPr>
            <w:tcW w:w="368" w:type="pct"/>
            <w:noWrap w:val="0"/>
            <w:vAlign w:val="center"/>
          </w:tcPr>
          <w:p w14:paraId="6B4693AB">
            <w:pPr>
              <w:pStyle w:val="7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4"/>
                <w:szCs w:val="24"/>
                <w:highlight w:val="none"/>
              </w:rPr>
              <w:t>Rhombomys</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rPr>
              <w:t>opimus</w:t>
            </w:r>
          </w:p>
        </w:tc>
        <w:tc>
          <w:tcPr>
            <w:tcW w:w="256" w:type="pct"/>
            <w:noWrap w:val="0"/>
            <w:vAlign w:val="center"/>
          </w:tcPr>
          <w:p w14:paraId="798DCDB4">
            <w:pPr>
              <w:pStyle w:val="78"/>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c>
          <w:tcPr>
            <w:tcW w:w="263" w:type="pct"/>
            <w:noWrap w:val="0"/>
            <w:vAlign w:val="center"/>
          </w:tcPr>
          <w:p w14:paraId="3B6E583B">
            <w:pPr>
              <w:pStyle w:val="78"/>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695" w:type="pct"/>
            <w:noWrap w:val="0"/>
            <w:vAlign w:val="center"/>
          </w:tcPr>
          <w:p w14:paraId="61B6E781">
            <w:pPr>
              <w:pStyle w:val="78"/>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爪印</w:t>
            </w:r>
          </w:p>
        </w:tc>
        <w:tc>
          <w:tcPr>
            <w:tcW w:w="1142" w:type="pct"/>
            <w:noWrap w:val="0"/>
            <w:vAlign w:val="center"/>
          </w:tcPr>
          <w:p w14:paraId="0663E8C5">
            <w:pPr>
              <w:pStyle w:val="7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eastAsia="zh-CN"/>
              </w:rPr>
            </w:pPr>
            <w:r>
              <w:drawing>
                <wp:inline distT="0" distB="0" distL="114300" distR="114300">
                  <wp:extent cx="2092325" cy="1817370"/>
                  <wp:effectExtent l="0" t="0" r="3175" b="11430"/>
                  <wp:docPr id="5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6"/>
                          <pic:cNvPicPr>
                            <a:picLocks noChangeAspect="1"/>
                          </pic:cNvPicPr>
                        </pic:nvPicPr>
                        <pic:blipFill>
                          <a:blip r:embed="rId36"/>
                          <a:stretch>
                            <a:fillRect/>
                          </a:stretch>
                        </pic:blipFill>
                        <pic:spPr>
                          <a:xfrm>
                            <a:off x="0" y="0"/>
                            <a:ext cx="2092325" cy="1817370"/>
                          </a:xfrm>
                          <a:prstGeom prst="rect">
                            <a:avLst/>
                          </a:prstGeom>
                          <a:noFill/>
                          <a:ln>
                            <a:noFill/>
                          </a:ln>
                        </pic:spPr>
                      </pic:pic>
                    </a:graphicData>
                  </a:graphic>
                </wp:inline>
              </w:drawing>
            </w:r>
          </w:p>
        </w:tc>
      </w:tr>
    </w:tbl>
    <w:p w14:paraId="25DF3A79">
      <w:pPr>
        <w:rPr>
          <w:rFonts w:hint="default" w:ascii="Times New Roman" w:hAnsi="Times New Roman" w:eastAsia="宋体" w:cs="Times New Roman"/>
          <w:color w:val="auto"/>
          <w:highlight w:val="none"/>
        </w:rPr>
      </w:pPr>
    </w:p>
    <w:p w14:paraId="2B7B7732">
      <w:pPr>
        <w:rPr>
          <w:rFonts w:hint="default" w:ascii="Times New Roman" w:hAnsi="Times New Roman" w:eastAsia="宋体" w:cs="Times New Roman"/>
          <w:color w:val="auto"/>
          <w:highlight w:val="none"/>
        </w:rPr>
        <w:sectPr>
          <w:pgSz w:w="16838" w:h="11906" w:orient="landscape"/>
          <w:pgMar w:top="1418" w:right="1418" w:bottom="1418" w:left="1418" w:header="851" w:footer="992" w:gutter="0"/>
          <w:pgBorders>
            <w:top w:val="none" w:sz="0" w:space="0"/>
            <w:left w:val="none" w:sz="0" w:space="0"/>
            <w:bottom w:val="none" w:sz="0" w:space="0"/>
            <w:right w:val="none" w:sz="0" w:space="0"/>
          </w:pgBorders>
          <w:pgNumType w:fmt="numberInDash"/>
          <w:cols w:space="425" w:num="1"/>
          <w:docGrid w:linePitch="326" w:charSpace="0"/>
        </w:sectPr>
      </w:pPr>
    </w:p>
    <w:p w14:paraId="61B2A066">
      <w:pPr>
        <w:spacing w:line="360"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②工程建设区陆生动物分布</w:t>
      </w:r>
    </w:p>
    <w:p w14:paraId="4631CF6C">
      <w:pPr>
        <w:pStyle w:val="72"/>
        <w:numPr>
          <w:ilvl w:val="0"/>
          <w:numId w:val="0"/>
        </w:numPr>
        <w:ind w:firstLine="480" w:firstLineChars="200"/>
        <w:outlineLvl w:val="9"/>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color w:val="auto"/>
          <w:kern w:val="0"/>
          <w:szCs w:val="24"/>
          <w:highlight w:val="none"/>
          <w:lang w:val="en-US" w:eastAsia="zh-CN" w:bidi="ar"/>
        </w:rPr>
        <w:t>项目位于</w:t>
      </w:r>
      <w:r>
        <w:rPr>
          <w:rFonts w:hint="default" w:ascii="Times New Roman" w:hAnsi="Times New Roman" w:cs="Times New Roman"/>
          <w:b w:val="0"/>
          <w:bCs/>
          <w:color w:val="auto"/>
          <w:sz w:val="24"/>
          <w:szCs w:val="24"/>
          <w:highlight w:val="none"/>
        </w:rPr>
        <w:t>古尔班通古特沙漠</w:t>
      </w:r>
      <w:r>
        <w:rPr>
          <w:rFonts w:hint="eastAsia" w:cs="Times New Roman"/>
          <w:b w:val="0"/>
          <w:bCs/>
          <w:color w:val="auto"/>
          <w:sz w:val="24"/>
          <w:szCs w:val="24"/>
          <w:highlight w:val="none"/>
          <w:lang w:val="en-US" w:eastAsia="zh-CN"/>
        </w:rPr>
        <w:t>，调查期间未见大型野生动物出现</w:t>
      </w:r>
      <w:r>
        <w:rPr>
          <w:rFonts w:hint="default" w:ascii="Times New Roman" w:hAnsi="Times New Roman" w:cs="Times New Roman"/>
          <w:b w:val="0"/>
          <w:bCs/>
          <w:color w:val="auto"/>
          <w:highlight w:val="none"/>
          <w:lang w:val="en-US" w:eastAsia="zh-CN"/>
        </w:rPr>
        <w:t>。</w:t>
      </w:r>
      <w:r>
        <w:rPr>
          <w:rFonts w:hint="default" w:ascii="Times New Roman" w:hAnsi="Times New Roman" w:eastAsia="宋体" w:cs="Times New Roman"/>
          <w:b w:val="0"/>
          <w:bCs/>
          <w:color w:val="auto"/>
          <w:kern w:val="0"/>
          <w:szCs w:val="24"/>
          <w:highlight w:val="none"/>
          <w:lang w:val="en-US" w:eastAsia="zh-CN" w:bidi="ar"/>
        </w:rPr>
        <w:t>依据现状调查，</w:t>
      </w:r>
      <w:r>
        <w:rPr>
          <w:rFonts w:hint="default" w:ascii="Times New Roman" w:hAnsi="Times New Roman" w:eastAsia="宋体" w:cs="Times New Roman"/>
          <w:b w:val="0"/>
          <w:bCs/>
          <w:color w:val="auto"/>
          <w:kern w:val="0"/>
          <w:szCs w:val="24"/>
          <w:highlight w:val="none"/>
          <w:lang w:bidi="ar"/>
        </w:rPr>
        <w:t>工程</w:t>
      </w:r>
      <w:r>
        <w:rPr>
          <w:rFonts w:hint="default" w:ascii="Times New Roman" w:hAnsi="Times New Roman" w:cs="Times New Roman"/>
          <w:b w:val="0"/>
          <w:bCs/>
          <w:color w:val="auto"/>
          <w:kern w:val="0"/>
          <w:szCs w:val="24"/>
          <w:highlight w:val="none"/>
          <w:lang w:val="en-US" w:eastAsia="zh-CN" w:bidi="ar"/>
        </w:rPr>
        <w:t>评价</w:t>
      </w:r>
      <w:r>
        <w:rPr>
          <w:rFonts w:hint="default" w:ascii="Times New Roman" w:hAnsi="Times New Roman" w:eastAsia="宋体" w:cs="Times New Roman"/>
          <w:b w:val="0"/>
          <w:bCs/>
          <w:color w:val="auto"/>
          <w:kern w:val="0"/>
          <w:szCs w:val="24"/>
          <w:highlight w:val="none"/>
          <w:lang w:bidi="ar"/>
        </w:rPr>
        <w:t>区</w:t>
      </w:r>
      <w:r>
        <w:rPr>
          <w:rFonts w:hint="default" w:ascii="Times New Roman" w:hAnsi="Times New Roman" w:eastAsia="宋体" w:cs="Times New Roman"/>
          <w:b w:val="0"/>
          <w:bCs/>
          <w:color w:val="auto"/>
          <w:kern w:val="0"/>
          <w:szCs w:val="24"/>
          <w:highlight w:val="none"/>
          <w:lang w:val="en-US" w:eastAsia="zh-CN" w:bidi="ar"/>
        </w:rPr>
        <w:t>域</w:t>
      </w:r>
      <w:r>
        <w:rPr>
          <w:rFonts w:hint="default" w:ascii="Times New Roman" w:hAnsi="Times New Roman" w:eastAsia="宋体" w:cs="Times New Roman"/>
          <w:b w:val="0"/>
          <w:bCs/>
          <w:color w:val="auto"/>
          <w:kern w:val="0"/>
          <w:szCs w:val="24"/>
          <w:highlight w:val="none"/>
          <w:lang w:bidi="ar"/>
        </w:rPr>
        <w:t>内无野生动物保护区，</w:t>
      </w:r>
      <w:r>
        <w:rPr>
          <w:rFonts w:hint="default" w:ascii="Times New Roman" w:hAnsi="Times New Roman" w:eastAsia="宋体" w:cs="Times New Roman"/>
          <w:b w:val="0"/>
          <w:bCs/>
          <w:color w:val="auto"/>
          <w:kern w:val="0"/>
          <w:szCs w:val="24"/>
          <w:highlight w:val="none"/>
          <w:lang w:val="en-US" w:eastAsia="zh-CN" w:bidi="ar"/>
        </w:rPr>
        <w:t>项目</w:t>
      </w:r>
      <w:r>
        <w:rPr>
          <w:rFonts w:hint="eastAsia" w:ascii="Times New Roman" w:hAnsi="Times New Roman" w:eastAsia="宋体" w:cs="Times New Roman"/>
          <w:b w:val="0"/>
          <w:bCs w:val="0"/>
          <w:color w:val="auto"/>
          <w:highlight w:val="none"/>
          <w:lang w:val="en-US" w:eastAsia="zh-CN"/>
        </w:rPr>
        <w:t>区东侧15</w:t>
      </w:r>
      <w:r>
        <w:rPr>
          <w:rFonts w:hint="default" w:ascii="Times New Roman" w:hAnsi="Times New Roman" w:eastAsia="宋体" w:cs="Times New Roman"/>
          <w:b w:val="0"/>
          <w:bCs w:val="0"/>
          <w:color w:val="auto"/>
          <w:highlight w:val="none"/>
          <w:lang w:val="en-US" w:eastAsia="zh-CN"/>
        </w:rPr>
        <w:t>km处分布有卡拉麦里自然保护区，是我国低海拔荒漠有蹄类野生动物集中分布区，有野生脊椎动物260种，其中国家一级保护野生动物14种、国家二级保护野生动物42种</w:t>
      </w:r>
      <w:r>
        <w:rPr>
          <w:rFonts w:hint="eastAsia" w:eastAsia="宋体" w:cs="Times New Roman"/>
          <w:b w:val="0"/>
          <w:bCs w:val="0"/>
          <w:color w:val="auto"/>
          <w:highlight w:val="none"/>
          <w:lang w:val="en-US" w:eastAsia="zh-CN"/>
        </w:rPr>
        <w:t>，</w:t>
      </w:r>
      <w:r>
        <w:rPr>
          <w:rFonts w:hint="default" w:ascii="Times New Roman" w:hAnsi="Times New Roman" w:eastAsia="宋体" w:cs="Times New Roman"/>
          <w:b w:val="0"/>
          <w:bCs w:val="0"/>
          <w:color w:val="auto"/>
          <w:highlight w:val="none"/>
          <w:lang w:val="en-US" w:eastAsia="zh-CN"/>
        </w:rPr>
        <w:t>主要保护对象有普氏野马、蒙古野驴、鹅喉羚等，此外还有盘羊、猞猁、赤狐、草原雕、苍鹰等</w:t>
      </w:r>
      <w:r>
        <w:rPr>
          <w:rFonts w:hint="eastAsia" w:eastAsia="宋体" w:cs="Times New Roman"/>
          <w:b w:val="0"/>
          <w:bCs w:val="0"/>
          <w:color w:val="auto"/>
          <w:highlight w:val="none"/>
          <w:lang w:val="en-US" w:eastAsia="zh-CN"/>
        </w:rPr>
        <w:t>。</w:t>
      </w:r>
      <w:r>
        <w:rPr>
          <w:rFonts w:hint="default" w:ascii="Times New Roman" w:hAnsi="Times New Roman" w:eastAsia="宋体" w:cs="Times New Roman"/>
          <w:b w:val="0"/>
          <w:bCs w:val="0"/>
          <w:color w:val="auto"/>
          <w:highlight w:val="none"/>
          <w:lang w:val="en-US" w:eastAsia="zh-CN"/>
        </w:rPr>
        <w:t>在拟建项目调查范围</w:t>
      </w:r>
      <w:r>
        <w:rPr>
          <w:rFonts w:hint="eastAsia" w:eastAsia="宋体" w:cs="Times New Roman"/>
          <w:b w:val="0"/>
          <w:bCs w:val="0"/>
          <w:color w:val="auto"/>
          <w:highlight w:val="none"/>
          <w:lang w:val="en-US" w:eastAsia="zh-CN"/>
        </w:rPr>
        <w:t>有可能出现</w:t>
      </w:r>
      <w:r>
        <w:rPr>
          <w:rFonts w:hint="default" w:ascii="Times New Roman" w:hAnsi="Times New Roman" w:eastAsia="宋体" w:cs="Times New Roman"/>
          <w:b w:val="0"/>
          <w:bCs w:val="0"/>
          <w:color w:val="auto"/>
          <w:highlight w:val="none"/>
          <w:lang w:val="en-US" w:eastAsia="zh-CN"/>
        </w:rPr>
        <w:t>。项目区域常见的野生动物主要有</w:t>
      </w:r>
      <w:r>
        <w:rPr>
          <w:rFonts w:hint="eastAsia" w:ascii="Times New Roman" w:hAnsi="Times New Roman" w:eastAsia="宋体" w:cs="Times New Roman"/>
          <w:b w:val="0"/>
          <w:bCs w:val="0"/>
          <w:color w:val="auto"/>
          <w:highlight w:val="none"/>
          <w:lang w:val="en-US" w:eastAsia="zh-CN"/>
        </w:rPr>
        <w:t>沙鼠、野兔、</w:t>
      </w:r>
      <w:r>
        <w:rPr>
          <w:rFonts w:hint="default" w:ascii="Times New Roman" w:hAnsi="Times New Roman" w:eastAsia="宋体" w:cs="Times New Roman"/>
          <w:b w:val="0"/>
          <w:bCs w:val="0"/>
          <w:color w:val="auto"/>
          <w:highlight w:val="none"/>
          <w:lang w:val="en-US" w:eastAsia="zh-CN"/>
        </w:rPr>
        <w:t>沙蜥等小型兽类及乌鸦等动物群分布。</w:t>
      </w:r>
    </w:p>
    <w:p w14:paraId="568762A0">
      <w:pPr>
        <w:pStyle w:val="5"/>
        <w:bidi w:val="0"/>
        <w:rPr>
          <w:rFonts w:hint="default"/>
        </w:rPr>
      </w:pPr>
      <w:bookmarkStart w:id="240" w:name="4.3.4.6主要生态环境问题"/>
      <w:bookmarkEnd w:id="240"/>
      <w:r>
        <w:rPr>
          <w:rFonts w:hint="default"/>
        </w:rPr>
        <w:t>主要生态环境问题</w:t>
      </w:r>
    </w:p>
    <w:p w14:paraId="4BED6B6D">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位于古尔班通古特沙漠中，项目区属于极端干旱区，水资源极度匮乏，年均降水量少，天然植被生长环境极度恶劣；项目区域周边人、畜活动频繁，对自然植被破坏性大，管护难。项目区西侧为新疆阜康市彩南国家沙化土地封禁保护区，封禁保护区总面积</w:t>
      </w:r>
      <w:r>
        <w:rPr>
          <w:rFonts w:hint="default" w:ascii="Times New Roman" w:hAnsi="Times New Roman" w:cs="Times New Roman"/>
          <w:color w:val="auto"/>
          <w:sz w:val="24"/>
          <w:szCs w:val="24"/>
          <w:highlight w:val="none"/>
          <w:lang w:val="en-US" w:eastAsia="zh-CN"/>
        </w:rPr>
        <w:t>10042</w:t>
      </w:r>
      <w:r>
        <w:rPr>
          <w:rFonts w:hint="default" w:ascii="Times New Roman" w:hAnsi="Times New Roman" w:cs="Times New Roman"/>
          <w:color w:val="auto"/>
          <w:sz w:val="24"/>
          <w:szCs w:val="24"/>
          <w:highlight w:val="none"/>
        </w:rPr>
        <w:t>公顷，周围分布有采矿区、风电场、沙漠公园旅游区（五彩城景区）。封禁区环境恶劣，荒漠植物群落结构简单、种类少、植被稀疏，项目区东部以流动沙丘为主，西部以半流动沙丘为主，是阜康市的沙源地，风沙对旅游景区和周边工矿企业造成严重威胁，也对周边公益林造成不同程度的破坏。</w:t>
      </w:r>
    </w:p>
    <w:p w14:paraId="6AF29F70">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2022年，当地林草局通过封禁，有效防止了采挖药材、开荒、放牧等破坏行为，通过自然恢复植被，提高盖度，促进生物多样性，提升生态系统的生态完整性和稳定性，有效减轻了风沙等自然灾害造成的损失。通过封禁该区域，巩固固定、半固定沙地，固定流动沙地，增加林草植被盖度，逐步形成了稳定的天然荒漠植被带，保护了绿洲的安全和存在。</w:t>
      </w:r>
    </w:p>
    <w:p w14:paraId="7A687154">
      <w:pPr>
        <w:pStyle w:val="5"/>
        <w:bidi w:val="0"/>
        <w:rPr>
          <w:rFonts w:hint="default"/>
        </w:rPr>
      </w:pPr>
      <w:bookmarkStart w:id="241" w:name="4.3.4.7矿山地质灾害现状评价"/>
      <w:bookmarkEnd w:id="241"/>
      <w:r>
        <w:rPr>
          <w:rFonts w:hint="default"/>
        </w:rPr>
        <w:t>矿山地质灾害现状评价</w:t>
      </w:r>
    </w:p>
    <w:p w14:paraId="34EF6872">
      <w:pPr>
        <w:numPr>
          <w:ilvl w:val="0"/>
          <w:numId w:val="34"/>
        </w:numPr>
        <w:spacing w:beforeLines="0" w:afterLines="0"/>
        <w:ind w:firstLine="5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滑坡</w:t>
      </w:r>
    </w:p>
    <w:p w14:paraId="2DE0F403">
      <w:pPr>
        <w:numPr>
          <w:ilvl w:val="0"/>
          <w:numId w:val="0"/>
        </w:numPr>
        <w:spacing w:beforeLines="0" w:afterLines="0"/>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矿区内土体结构完整，完整性好，无软弱夹层，无地表径流，自然坡度小。现状评估区内现状无滑坡发生，现状评估滑坡危害程度小，危险性小。</w:t>
      </w:r>
    </w:p>
    <w:p w14:paraId="041B4BB4">
      <w:pPr>
        <w:numPr>
          <w:ilvl w:val="0"/>
          <w:numId w:val="34"/>
        </w:numPr>
        <w:spacing w:beforeLines="0" w:afterLines="0"/>
        <w:ind w:firstLine="5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泥石流</w:t>
      </w:r>
    </w:p>
    <w:p w14:paraId="4A492047">
      <w:pPr>
        <w:numPr>
          <w:ilvl w:val="0"/>
          <w:numId w:val="0"/>
        </w:numPr>
        <w:spacing w:beforeLines="0" w:afterLines="0"/>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矿区地形平坦，丘间谷地开阔，无地表径流流经，岩土体干燥，区内排水条件较好，泥石流沟不发育，区域降雨稀少。在现场踏勘期间也未见泥石流痕迹，现状泥石流灾害不发育</w:t>
      </w:r>
    </w:p>
    <w:p w14:paraId="6DDE1132">
      <w:pPr>
        <w:numPr>
          <w:ilvl w:val="0"/>
          <w:numId w:val="34"/>
        </w:numPr>
        <w:spacing w:beforeLines="0" w:afterLines="0"/>
        <w:ind w:firstLine="5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不稳定斜坡</w:t>
      </w:r>
    </w:p>
    <w:p w14:paraId="1B29EBF8">
      <w:pPr>
        <w:numPr>
          <w:ilvl w:val="0"/>
          <w:numId w:val="0"/>
        </w:numPr>
        <w:spacing w:beforeLines="0" w:afterLines="0"/>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矿区地形地貌简单，构造不发育，矿体围岩为风成砂，其自然安息角31～3</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°，建议最终边坡角小于30°，</w:t>
      </w:r>
      <w:bookmarkStart w:id="242" w:name="OLE_LINK7"/>
      <w:r>
        <w:rPr>
          <w:rFonts w:hint="default" w:ascii="Times New Roman" w:hAnsi="Times New Roman" w:eastAsia="宋体" w:cs="Times New Roman"/>
          <w:color w:val="auto"/>
          <w:sz w:val="24"/>
          <w:szCs w:val="24"/>
          <w:highlight w:val="none"/>
        </w:rPr>
        <w:t>可维持边坡稳定。</w:t>
      </w:r>
      <w:bookmarkEnd w:id="242"/>
      <w:r>
        <w:rPr>
          <w:rFonts w:hint="default" w:ascii="Times New Roman" w:hAnsi="Times New Roman" w:eastAsia="宋体" w:cs="Times New Roman"/>
          <w:color w:val="auto"/>
          <w:sz w:val="24"/>
          <w:szCs w:val="24"/>
          <w:highlight w:val="none"/>
        </w:rPr>
        <w:t>现场调查，各斜坡处于稳定状态。矿山未开采，现状调查无人为不稳定斜坡。现状评估不稳定斜坡地质灾害发育程度弱，危害程度小，危险性小。</w:t>
      </w:r>
    </w:p>
    <w:p w14:paraId="02783929">
      <w:pPr>
        <w:numPr>
          <w:ilvl w:val="0"/>
          <w:numId w:val="34"/>
        </w:numPr>
        <w:spacing w:beforeLines="0" w:afterLines="0"/>
        <w:ind w:firstLine="5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通过现状调查，现状条件下矿区滑坡、泥石流、不稳定斜坡等地质灾害发育程度弱，危害程度小，危险性小，对矿山地质环境影响程度“较轻”。</w:t>
      </w:r>
    </w:p>
    <w:p w14:paraId="08DD0C42">
      <w:pPr>
        <w:pStyle w:val="5"/>
        <w:bidi w:val="0"/>
        <w:rPr>
          <w:rFonts w:hint="default" w:ascii="宋体" w:hAnsi="宋体" w:eastAsia="宋体" w:cs="Times New Roman"/>
          <w:color w:val="auto"/>
          <w:lang w:val="en-US" w:eastAsia="zh-CN"/>
        </w:rPr>
      </w:pPr>
      <w:r>
        <w:rPr>
          <w:rFonts w:hint="eastAsia" w:ascii="宋体" w:hAnsi="宋体" w:eastAsia="宋体" w:cs="Times New Roman"/>
          <w:color w:val="auto"/>
          <w:lang w:val="en-US" w:eastAsia="zh-CN"/>
        </w:rPr>
        <w:t>生态系统现状分析</w:t>
      </w:r>
    </w:p>
    <w:p w14:paraId="4A9CB239">
      <w:pPr>
        <w:spacing w:beforeLines="0" w:afterLines="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评价区域位于古尔班通古特沙漠流动沙丘区，属于典型的温带干旱荒漠生态系统，其核心特征为“干旱、贫瘠、流动性强”。该区域年降水量极低，蒸发量高达2000-3000mm，昼夜温差大，风力强劲（年平均风速3-4m/s，冬季至春季常出现8级以上大风），主导风向与沙丘移动方向一致，导致沙丘常年处于流动状态，地貌以垄状、链状流动沙丘为主，沙丘高度多在5-30m，局部可达50m以上。​</w:t>
      </w:r>
    </w:p>
    <w:p w14:paraId="301FB732">
      <w:pPr>
        <w:spacing w:beforeLines="0" w:afterLines="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生态系统的稳定性极差，物质循环和能量流动缓慢，对外界干扰（如采矿、植被破坏）的抵抗力和恢复力极弱，一旦破坏难以自然修复。</w:t>
      </w:r>
    </w:p>
    <w:p w14:paraId="35FD4310">
      <w:pPr>
        <w:pStyle w:val="4"/>
        <w:bidi w:val="0"/>
        <w:rPr>
          <w:rFonts w:hint="default"/>
        </w:rPr>
      </w:pPr>
      <w:bookmarkStart w:id="243" w:name="4.3.5土壤现状调查与评价"/>
      <w:bookmarkEnd w:id="243"/>
      <w:bookmarkStart w:id="244" w:name="_Toc17520"/>
      <w:r>
        <w:rPr>
          <w:rFonts w:hint="default"/>
        </w:rPr>
        <w:t>土壤现状调查与评价</w:t>
      </w:r>
      <w:bookmarkEnd w:id="244"/>
    </w:p>
    <w:p w14:paraId="3105003B">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项目土壤环境影响属于生态影响型</w:t>
      </w:r>
      <w:r>
        <w:rPr>
          <w:rFonts w:hint="default" w:ascii="Times New Roman" w:hAnsi="Times New Roman" w:cs="Times New Roman"/>
          <w:color w:val="auto"/>
          <w:sz w:val="24"/>
          <w:szCs w:val="24"/>
          <w:highlight w:val="none"/>
          <w:lang w:val="en-US" w:eastAsia="zh-CN"/>
        </w:rPr>
        <w:t>为主兼有污染影响型</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经</w:t>
      </w:r>
      <w:r>
        <w:rPr>
          <w:rFonts w:hint="default" w:ascii="Times New Roman" w:hAnsi="Times New Roman" w:cs="Times New Roman"/>
          <w:color w:val="auto"/>
          <w:sz w:val="24"/>
          <w:szCs w:val="24"/>
          <w:highlight w:val="none"/>
        </w:rPr>
        <w:t>评价工作等级</w:t>
      </w:r>
      <w:r>
        <w:rPr>
          <w:rFonts w:hint="default" w:ascii="Times New Roman" w:hAnsi="Times New Roman" w:cs="Times New Roman"/>
          <w:color w:val="auto"/>
          <w:sz w:val="24"/>
          <w:szCs w:val="24"/>
          <w:highlight w:val="none"/>
          <w:lang w:val="en-US" w:eastAsia="zh-CN"/>
        </w:rPr>
        <w:t>判定均为</w:t>
      </w:r>
      <w:r>
        <w:rPr>
          <w:rFonts w:hint="default" w:ascii="Times New Roman" w:hAnsi="Times New Roman" w:cs="Times New Roman"/>
          <w:color w:val="auto"/>
          <w:sz w:val="24"/>
          <w:szCs w:val="24"/>
          <w:highlight w:val="none"/>
        </w:rPr>
        <w:t>为三级，占地面积为</w:t>
      </w:r>
      <w:r>
        <w:rPr>
          <w:rFonts w:hint="default" w:ascii="Times New Roman" w:hAnsi="Times New Roman" w:cs="Times New Roman"/>
          <w:color w:val="auto"/>
          <w:sz w:val="24"/>
          <w:szCs w:val="24"/>
          <w:highlight w:val="none"/>
          <w:lang w:val="en-US" w:eastAsia="zh-CN"/>
        </w:rPr>
        <w:t>1.0366</w:t>
      </w:r>
      <w:r>
        <w:rPr>
          <w:rFonts w:hint="default" w:ascii="Times New Roman" w:hAnsi="Times New Roman" w:cs="Times New Roman"/>
          <w:color w:val="auto"/>
          <w:sz w:val="24"/>
          <w:szCs w:val="24"/>
          <w:highlight w:val="none"/>
        </w:rPr>
        <w:t>km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，根据《环境影响评价技术导则 土壤环境（试行）》（HJ964-2018）中“7.4.3现状监测点数量要求”，项目在占地范围内及占地范围外共设3个点进行监测，本次环评委托</w:t>
      </w:r>
      <w:r>
        <w:rPr>
          <w:rFonts w:hint="default" w:ascii="Times New Roman" w:hAnsi="Times New Roman" w:cs="Times New Roman"/>
          <w:color w:val="auto"/>
          <w:sz w:val="24"/>
          <w:szCs w:val="24"/>
          <w:highlight w:val="none"/>
          <w:lang w:eastAsia="zh-CN"/>
        </w:rPr>
        <w:t>新疆锡水金山环境科技有限公司</w:t>
      </w:r>
      <w:r>
        <w:rPr>
          <w:rFonts w:hint="default" w:ascii="Times New Roman" w:hAnsi="Times New Roman" w:cs="Times New Roman"/>
          <w:color w:val="auto"/>
          <w:sz w:val="24"/>
          <w:szCs w:val="24"/>
          <w:highlight w:val="none"/>
        </w:rPr>
        <w:t>对本项目土壤环境质量现状进行监测。</w:t>
      </w:r>
    </w:p>
    <w:p w14:paraId="3F42471B">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（1）监测点位</w:t>
      </w:r>
    </w:p>
    <w:p w14:paraId="17C37768">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根据《环境影响评价技术导则</w:t>
      </w: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rPr>
        <w:t>土壤环境（试行）》（HJ964-2018）要求，在项目区内布设1个表层样点，在项目区外布设2个表层样点。</w:t>
      </w:r>
    </w:p>
    <w:p w14:paraId="59C995B7">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表 4.3-1</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t>土壤监测点位表</w:t>
      </w:r>
    </w:p>
    <w:tbl>
      <w:tblPr>
        <w:tblStyle w:val="31"/>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9"/>
        <w:gridCol w:w="1790"/>
        <w:gridCol w:w="1423"/>
        <w:gridCol w:w="5307"/>
      </w:tblGrid>
      <w:tr w14:paraId="408BD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48" w:type="pct"/>
            <w:tcBorders>
              <w:tl2br w:val="nil"/>
              <w:tr2bl w:val="nil"/>
            </w:tcBorders>
            <w:noWrap w:val="0"/>
            <w:vAlign w:val="center"/>
          </w:tcPr>
          <w:p w14:paraId="46924B01">
            <w:pPr>
              <w:pStyle w:val="48"/>
              <w:spacing w:beforeLines="0" w:afterLine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序号</w:t>
            </w:r>
          </w:p>
        </w:tc>
        <w:tc>
          <w:tcPr>
            <w:tcW w:w="956" w:type="pct"/>
            <w:tcBorders>
              <w:tl2br w:val="nil"/>
              <w:tr2bl w:val="nil"/>
            </w:tcBorders>
            <w:noWrap w:val="0"/>
            <w:vAlign w:val="center"/>
          </w:tcPr>
          <w:p w14:paraId="4CC9A415">
            <w:pPr>
              <w:pStyle w:val="48"/>
              <w:spacing w:beforeLines="0" w:afterLine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布点位置</w:t>
            </w:r>
          </w:p>
        </w:tc>
        <w:tc>
          <w:tcPr>
            <w:tcW w:w="760" w:type="pct"/>
            <w:tcBorders>
              <w:tl2br w:val="nil"/>
              <w:tr2bl w:val="nil"/>
            </w:tcBorders>
            <w:noWrap w:val="0"/>
            <w:vAlign w:val="center"/>
          </w:tcPr>
          <w:p w14:paraId="61E14AE4">
            <w:pPr>
              <w:pStyle w:val="48"/>
              <w:spacing w:beforeLines="0" w:afterLine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取样深度</w:t>
            </w:r>
          </w:p>
        </w:tc>
        <w:tc>
          <w:tcPr>
            <w:tcW w:w="2834" w:type="pct"/>
            <w:tcBorders>
              <w:tl2br w:val="nil"/>
              <w:tr2bl w:val="nil"/>
            </w:tcBorders>
            <w:noWrap w:val="0"/>
            <w:vAlign w:val="center"/>
          </w:tcPr>
          <w:p w14:paraId="2DFE3094">
            <w:pPr>
              <w:pStyle w:val="48"/>
              <w:spacing w:beforeLines="0" w:afterLine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监测因子</w:t>
            </w:r>
          </w:p>
        </w:tc>
      </w:tr>
      <w:tr w14:paraId="6A55E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48" w:type="pct"/>
            <w:tcBorders>
              <w:tl2br w:val="nil"/>
              <w:tr2bl w:val="nil"/>
            </w:tcBorders>
            <w:noWrap w:val="0"/>
            <w:vAlign w:val="center"/>
          </w:tcPr>
          <w:p w14:paraId="5B4EAE51">
            <w:pPr>
              <w:pStyle w:val="48"/>
              <w:spacing w:beforeLines="0" w:afterLine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T1</w:t>
            </w:r>
          </w:p>
        </w:tc>
        <w:tc>
          <w:tcPr>
            <w:tcW w:w="956" w:type="pct"/>
            <w:tcBorders>
              <w:tl2br w:val="nil"/>
              <w:tr2bl w:val="nil"/>
            </w:tcBorders>
            <w:noWrap w:val="0"/>
            <w:vAlign w:val="center"/>
          </w:tcPr>
          <w:p w14:paraId="05F3F353">
            <w:pPr>
              <w:pStyle w:val="48"/>
              <w:spacing w:beforeLines="0" w:afterLine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1#占地范围内</w:t>
            </w:r>
          </w:p>
        </w:tc>
        <w:tc>
          <w:tcPr>
            <w:tcW w:w="760" w:type="pct"/>
            <w:tcBorders>
              <w:tl2br w:val="nil"/>
              <w:tr2bl w:val="nil"/>
            </w:tcBorders>
            <w:noWrap w:val="0"/>
            <w:vAlign w:val="center"/>
          </w:tcPr>
          <w:p w14:paraId="427C9E08">
            <w:pPr>
              <w:pStyle w:val="48"/>
              <w:spacing w:beforeLines="0" w:afterLine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0-0.2m</w:t>
            </w:r>
          </w:p>
        </w:tc>
        <w:tc>
          <w:tcPr>
            <w:tcW w:w="2834" w:type="pct"/>
            <w:tcBorders>
              <w:tl2br w:val="nil"/>
              <w:tr2bl w:val="nil"/>
            </w:tcBorders>
            <w:noWrap w:val="0"/>
            <w:vAlign w:val="center"/>
          </w:tcPr>
          <w:p w14:paraId="01E437AA">
            <w:pPr>
              <w:pStyle w:val="48"/>
              <w:numPr>
                <w:ilvl w:val="0"/>
                <w:numId w:val="35"/>
              </w:numPr>
              <w:spacing w:beforeLines="0" w:afterLines="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监测项目GB36600-2018表1中45项基本项目+土壤含盐量</w:t>
            </w:r>
            <w:r>
              <w:rPr>
                <w:rFonts w:hint="default" w:ascii="Times New Roman" w:hAnsi="Times New Roman" w:cs="Times New Roman"/>
                <w:color w:val="auto"/>
                <w:sz w:val="24"/>
                <w:szCs w:val="24"/>
                <w:highlight w:val="none"/>
                <w:lang w:eastAsia="zh-CN"/>
              </w:rPr>
              <w:t>；</w:t>
            </w:r>
          </w:p>
          <w:p w14:paraId="38517317">
            <w:pPr>
              <w:pStyle w:val="48"/>
              <w:numPr>
                <w:ilvl w:val="0"/>
                <w:numId w:val="35"/>
              </w:numPr>
              <w:spacing w:beforeLines="0" w:afterLines="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土壤理化特性：层次、颜色、质地、砂砾含量、其他异物、PH值、阳离子交换量、氧化还原电位、饱和导水率、土壤容重、孔隙度</w:t>
            </w:r>
            <w:r>
              <w:rPr>
                <w:rFonts w:hint="default" w:ascii="Times New Roman" w:hAnsi="Times New Roman" w:cs="Times New Roman"/>
                <w:color w:val="auto"/>
                <w:sz w:val="24"/>
                <w:szCs w:val="24"/>
                <w:highlight w:val="none"/>
                <w:lang w:eastAsia="zh-CN"/>
              </w:rPr>
              <w:t>。</w:t>
            </w:r>
          </w:p>
        </w:tc>
      </w:tr>
      <w:tr w14:paraId="0D9EE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48" w:type="pct"/>
            <w:tcBorders>
              <w:tl2br w:val="nil"/>
              <w:tr2bl w:val="nil"/>
            </w:tcBorders>
            <w:noWrap w:val="0"/>
            <w:vAlign w:val="center"/>
          </w:tcPr>
          <w:p w14:paraId="48E7D689">
            <w:pPr>
              <w:pStyle w:val="48"/>
              <w:spacing w:beforeLines="0" w:afterLine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T2</w:t>
            </w:r>
          </w:p>
        </w:tc>
        <w:tc>
          <w:tcPr>
            <w:tcW w:w="956" w:type="pct"/>
            <w:tcBorders>
              <w:tl2br w:val="nil"/>
              <w:tr2bl w:val="nil"/>
            </w:tcBorders>
            <w:noWrap w:val="0"/>
            <w:vAlign w:val="center"/>
          </w:tcPr>
          <w:p w14:paraId="498B0BC3">
            <w:pPr>
              <w:pStyle w:val="48"/>
              <w:spacing w:beforeLines="0" w:afterLine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2#占地范围外</w:t>
            </w:r>
          </w:p>
        </w:tc>
        <w:tc>
          <w:tcPr>
            <w:tcW w:w="760" w:type="pct"/>
            <w:tcBorders>
              <w:tl2br w:val="nil"/>
              <w:tr2bl w:val="nil"/>
            </w:tcBorders>
            <w:noWrap w:val="0"/>
            <w:vAlign w:val="center"/>
          </w:tcPr>
          <w:p w14:paraId="2CB3031F">
            <w:pPr>
              <w:pStyle w:val="48"/>
              <w:spacing w:beforeLines="0" w:afterLine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0-0.2m</w:t>
            </w:r>
          </w:p>
        </w:tc>
        <w:tc>
          <w:tcPr>
            <w:tcW w:w="2834" w:type="pct"/>
            <w:tcBorders>
              <w:tl2br w:val="nil"/>
              <w:tr2bl w:val="nil"/>
            </w:tcBorders>
            <w:noWrap w:val="0"/>
            <w:vAlign w:val="center"/>
          </w:tcPr>
          <w:p w14:paraId="555EFD87">
            <w:pPr>
              <w:pStyle w:val="48"/>
              <w:spacing w:beforeLines="0" w:afterLines="0"/>
              <w:jc w:val="left"/>
              <w:rPr>
                <w:rFonts w:hint="default" w:ascii="Times New Roman" w:hAnsi="Times New Roman" w:cs="Times New Roman"/>
                <w:color w:val="auto"/>
                <w:sz w:val="24"/>
                <w:szCs w:val="24"/>
                <w:highlight w:val="none"/>
              </w:rPr>
            </w:pPr>
            <w:r>
              <w:rPr>
                <w:rFonts w:hint="default" w:ascii="Times New Roman" w:hAnsi="Times New Roman" w:eastAsia="宋体" w:cs="Times New Roman"/>
                <w:bCs/>
                <w:color w:val="auto"/>
                <w:kern w:val="0"/>
                <w:szCs w:val="24"/>
                <w:highlight w:val="none"/>
              </w:rPr>
              <w:t>pH、镉、汞、砷、铅、铬、铜、镍、</w:t>
            </w:r>
            <w:r>
              <w:rPr>
                <w:rFonts w:hint="default" w:ascii="Times New Roman" w:hAnsi="Times New Roman" w:cs="Times New Roman"/>
                <w:bCs/>
                <w:color w:val="auto"/>
                <w:kern w:val="0"/>
                <w:szCs w:val="24"/>
                <w:highlight w:val="none"/>
                <w:lang w:eastAsia="zh-CN"/>
              </w:rPr>
              <w:t>锌</w:t>
            </w:r>
          </w:p>
        </w:tc>
      </w:tr>
      <w:tr w14:paraId="2ECE7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48" w:type="pct"/>
            <w:tcBorders>
              <w:tl2br w:val="nil"/>
              <w:tr2bl w:val="nil"/>
            </w:tcBorders>
            <w:noWrap w:val="0"/>
            <w:vAlign w:val="center"/>
          </w:tcPr>
          <w:p w14:paraId="270753A3">
            <w:pPr>
              <w:pStyle w:val="48"/>
              <w:spacing w:beforeLines="0" w:afterLine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T3</w:t>
            </w:r>
          </w:p>
        </w:tc>
        <w:tc>
          <w:tcPr>
            <w:tcW w:w="956" w:type="pct"/>
            <w:tcBorders>
              <w:tl2br w:val="nil"/>
              <w:tr2bl w:val="nil"/>
            </w:tcBorders>
            <w:noWrap w:val="0"/>
            <w:vAlign w:val="center"/>
          </w:tcPr>
          <w:p w14:paraId="5B167944">
            <w:pPr>
              <w:pStyle w:val="48"/>
              <w:spacing w:beforeLines="0" w:afterLine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3#占地范围外</w:t>
            </w:r>
          </w:p>
        </w:tc>
        <w:tc>
          <w:tcPr>
            <w:tcW w:w="760" w:type="pct"/>
            <w:tcBorders>
              <w:tl2br w:val="nil"/>
              <w:tr2bl w:val="nil"/>
            </w:tcBorders>
            <w:noWrap w:val="0"/>
            <w:vAlign w:val="center"/>
          </w:tcPr>
          <w:p w14:paraId="1052DC9D">
            <w:pPr>
              <w:pStyle w:val="48"/>
              <w:spacing w:beforeLines="0" w:afterLine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0-0.2m</w:t>
            </w:r>
          </w:p>
        </w:tc>
        <w:tc>
          <w:tcPr>
            <w:tcW w:w="2834" w:type="pct"/>
            <w:tcBorders>
              <w:tl2br w:val="nil"/>
              <w:tr2bl w:val="nil"/>
            </w:tcBorders>
            <w:noWrap w:val="0"/>
            <w:vAlign w:val="center"/>
          </w:tcPr>
          <w:p w14:paraId="347E10DA">
            <w:pPr>
              <w:pStyle w:val="48"/>
              <w:spacing w:beforeLines="0" w:afterLines="0"/>
              <w:jc w:val="left"/>
              <w:rPr>
                <w:rFonts w:hint="default" w:ascii="Times New Roman" w:hAnsi="Times New Roman" w:cs="Times New Roman"/>
                <w:color w:val="auto"/>
                <w:sz w:val="24"/>
                <w:szCs w:val="24"/>
                <w:highlight w:val="none"/>
              </w:rPr>
            </w:pPr>
            <w:r>
              <w:rPr>
                <w:rFonts w:hint="default" w:ascii="Times New Roman" w:hAnsi="Times New Roman" w:eastAsia="宋体" w:cs="Times New Roman"/>
                <w:bCs/>
                <w:color w:val="auto"/>
                <w:kern w:val="0"/>
                <w:szCs w:val="24"/>
                <w:highlight w:val="none"/>
              </w:rPr>
              <w:t>pH、镉、汞、砷、铅、铬、铜、镍、</w:t>
            </w:r>
            <w:r>
              <w:rPr>
                <w:rFonts w:hint="default" w:ascii="Times New Roman" w:hAnsi="Times New Roman" w:cs="Times New Roman"/>
                <w:bCs/>
                <w:color w:val="auto"/>
                <w:kern w:val="0"/>
                <w:szCs w:val="24"/>
                <w:highlight w:val="none"/>
                <w:lang w:eastAsia="zh-CN"/>
              </w:rPr>
              <w:t>锌</w:t>
            </w:r>
          </w:p>
        </w:tc>
      </w:tr>
    </w:tbl>
    <w:p w14:paraId="06FFCCD2">
      <w:pPr>
        <w:numPr>
          <w:ilvl w:val="0"/>
          <w:numId w:val="0"/>
        </w:numPr>
        <w:spacing w:beforeLines="0" w:afterLines="0"/>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监测、分析方法</w:t>
      </w:r>
    </w:p>
    <w:p w14:paraId="176E3BC9">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土壤监测分析方法参照原国家环保局《环境监测分析法》、《土壤环境监测技术规范》(HJ/T166-2004)执行。</w:t>
      </w:r>
    </w:p>
    <w:p w14:paraId="280DC20E">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（3）评价标准</w:t>
      </w:r>
    </w:p>
    <w:p w14:paraId="064C5E9D">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矿区范围内：执行《土壤环境质量建设用地土壤污染风险管控标准（试行）》（GB36600-2018）表1二类用地筛选值限值要求；</w:t>
      </w:r>
    </w:p>
    <w:p w14:paraId="0530E4A7">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矿区范围外：执行《土壤环境质量 农用地土壤污染风险管控标准（试行）》（GB15618-2018）中农用地土壤污染风险筛选值</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pH＞7.5</w:t>
      </w:r>
      <w:r>
        <w:rPr>
          <w:rFonts w:hint="default" w:ascii="Times New Roman" w:hAnsi="Times New Roman" w:cs="Times New Roman"/>
          <w:color w:val="auto"/>
          <w:highlight w:val="none"/>
        </w:rPr>
        <w:t>。</w:t>
      </w:r>
    </w:p>
    <w:p w14:paraId="54EC07E5">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（4）评价方法</w:t>
      </w:r>
    </w:p>
    <w:p w14:paraId="090CB431">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根据《环境影响评价技术导则土壤环境（试行）》（HJ964-2018）要求，采用单因子标准指数法对各监测因子进行评价，计算公式为：</w:t>
      </w:r>
    </w:p>
    <w:p w14:paraId="5321B5FC">
      <w:pPr>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Si</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rPr>
        <w:t>j=Ci</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rPr>
        <w:t>j/Csi</w:t>
      </w:r>
    </w:p>
    <w:p w14:paraId="2453E924">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式中：</w:t>
      </w:r>
    </w:p>
    <w:p w14:paraId="3A717D34">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Si</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j——单项土壤参数i在j点的标准指数；</w:t>
      </w:r>
    </w:p>
    <w:p w14:paraId="716A5CB9">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C</w:t>
      </w:r>
      <w:r>
        <w:rPr>
          <w:rFonts w:hint="default" w:ascii="Times New Roman" w:hAnsi="Times New Roman" w:cs="Times New Roman"/>
          <w:color w:val="auto"/>
          <w:sz w:val="24"/>
          <w:szCs w:val="24"/>
          <w:highlight w:val="none"/>
          <w:vertAlign w:val="subscript"/>
        </w:rPr>
        <w:t>i</w:t>
      </w:r>
      <w:r>
        <w:rPr>
          <w:rFonts w:hint="default" w:ascii="Times New Roman" w:hAnsi="Times New Roman" w:cs="Times New Roman"/>
          <w:color w:val="auto"/>
          <w:sz w:val="24"/>
          <w:szCs w:val="24"/>
          <w:highlight w:val="none"/>
          <w:vertAlign w:val="subscript"/>
          <w:lang w:val="en-US" w:eastAsia="zh-CN"/>
        </w:rPr>
        <w:t>,</w:t>
      </w:r>
      <w:r>
        <w:rPr>
          <w:rFonts w:hint="default" w:ascii="Times New Roman" w:hAnsi="Times New Roman" w:cs="Times New Roman"/>
          <w:color w:val="auto"/>
          <w:sz w:val="24"/>
          <w:szCs w:val="24"/>
          <w:highlight w:val="none"/>
          <w:vertAlign w:val="subscript"/>
        </w:rPr>
        <w:t>j</w:t>
      </w:r>
      <w:r>
        <w:rPr>
          <w:rFonts w:hint="default" w:ascii="Times New Roman" w:hAnsi="Times New Roman" w:cs="Times New Roman"/>
          <w:color w:val="auto"/>
          <w:sz w:val="24"/>
          <w:szCs w:val="24"/>
          <w:highlight w:val="none"/>
        </w:rPr>
        <w:t>——土壤参数i在j点的监测浓度，mg/L；</w:t>
      </w:r>
    </w:p>
    <w:p w14:paraId="4DCDE2F2">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Csi——土壤参数i的土壤环境质量标准，mg/L。</w:t>
      </w:r>
    </w:p>
    <w:p w14:paraId="5D6DC5FB">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（5）检测结果及评价结论</w:t>
      </w:r>
    </w:p>
    <w:p w14:paraId="513EFE28">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本项目土壤理化特性调查表见表4.3-1</w:t>
      </w:r>
      <w:r>
        <w:rPr>
          <w:rFonts w:hint="default" w:ascii="Times New Roman" w:hAnsi="Times New Roman" w:cs="Times New Roman"/>
          <w:color w:val="auto"/>
          <w:sz w:val="24"/>
          <w:szCs w:val="24"/>
          <w:highlight w:val="none"/>
          <w:lang w:val="en-US" w:eastAsia="zh-CN"/>
        </w:rPr>
        <w:t>6</w:t>
      </w:r>
      <w:r>
        <w:rPr>
          <w:rFonts w:hint="default" w:ascii="Times New Roman" w:hAnsi="Times New Roman" w:cs="Times New Roman"/>
          <w:color w:val="auto"/>
          <w:sz w:val="24"/>
          <w:szCs w:val="24"/>
          <w:highlight w:val="none"/>
        </w:rPr>
        <w:t>；土壤评价结果见表4.3-</w:t>
      </w:r>
      <w:r>
        <w:rPr>
          <w:rFonts w:hint="default" w:ascii="Times New Roman" w:hAnsi="Times New Roman" w:cs="Times New Roman"/>
          <w:color w:val="auto"/>
          <w:sz w:val="24"/>
          <w:szCs w:val="24"/>
          <w:highlight w:val="none"/>
          <w:lang w:val="en-US" w:eastAsia="zh-CN"/>
        </w:rPr>
        <w:t>17</w:t>
      </w:r>
      <w:r>
        <w:rPr>
          <w:rFonts w:hint="default" w:ascii="Times New Roman" w:hAnsi="Times New Roman" w:cs="Times New Roman"/>
          <w:color w:val="auto"/>
          <w:sz w:val="24"/>
          <w:szCs w:val="24"/>
          <w:highlight w:val="none"/>
        </w:rPr>
        <w:t>、4.3-</w:t>
      </w:r>
      <w:r>
        <w:rPr>
          <w:rFonts w:hint="default" w:ascii="Times New Roman" w:hAnsi="Times New Roman" w:cs="Times New Roman"/>
          <w:color w:val="auto"/>
          <w:sz w:val="24"/>
          <w:szCs w:val="24"/>
          <w:highlight w:val="none"/>
          <w:lang w:val="en-US" w:eastAsia="zh-CN"/>
        </w:rPr>
        <w:t>18</w:t>
      </w:r>
      <w:r>
        <w:rPr>
          <w:rFonts w:hint="default" w:ascii="Times New Roman" w:hAnsi="Times New Roman" w:cs="Times New Roman"/>
          <w:color w:val="auto"/>
          <w:sz w:val="24"/>
          <w:szCs w:val="24"/>
          <w:highlight w:val="none"/>
        </w:rPr>
        <w:t>。</w:t>
      </w:r>
    </w:p>
    <w:p w14:paraId="414EA0F4">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表4.3-1</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t>土壤理化性质</w:t>
      </w:r>
    </w:p>
    <w:tbl>
      <w:tblPr>
        <w:tblStyle w:val="31"/>
        <w:tblW w:w="9167" w:type="dxa"/>
        <w:tblInd w:w="2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00"/>
        <w:gridCol w:w="2489"/>
        <w:gridCol w:w="1300"/>
        <w:gridCol w:w="2278"/>
      </w:tblGrid>
      <w:tr w14:paraId="127F1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100" w:type="dxa"/>
            <w:tcBorders>
              <w:tl2br w:val="nil"/>
              <w:tr2bl w:val="nil"/>
            </w:tcBorders>
            <w:noWrap w:val="0"/>
            <w:vAlign w:val="top"/>
          </w:tcPr>
          <w:p w14:paraId="2B113023">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点号</w:t>
            </w:r>
          </w:p>
        </w:tc>
        <w:tc>
          <w:tcPr>
            <w:tcW w:w="2489" w:type="dxa"/>
            <w:tcBorders>
              <w:tl2br w:val="nil"/>
              <w:tr2bl w:val="nil"/>
            </w:tcBorders>
            <w:noWrap w:val="0"/>
            <w:vAlign w:val="top"/>
          </w:tcPr>
          <w:p w14:paraId="7865C2AE">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1#表层样点</w:t>
            </w:r>
          </w:p>
        </w:tc>
        <w:tc>
          <w:tcPr>
            <w:tcW w:w="1300" w:type="dxa"/>
            <w:tcBorders>
              <w:tl2br w:val="nil"/>
              <w:tr2bl w:val="nil"/>
            </w:tcBorders>
            <w:noWrap w:val="0"/>
            <w:vAlign w:val="top"/>
          </w:tcPr>
          <w:p w14:paraId="26BBF9AD">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时间</w:t>
            </w:r>
          </w:p>
        </w:tc>
        <w:tc>
          <w:tcPr>
            <w:tcW w:w="2278" w:type="dxa"/>
            <w:tcBorders>
              <w:tl2br w:val="nil"/>
              <w:tr2bl w:val="nil"/>
            </w:tcBorders>
            <w:noWrap w:val="0"/>
            <w:vAlign w:val="top"/>
          </w:tcPr>
          <w:p w14:paraId="0142852F">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202</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年</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月</w:t>
            </w:r>
            <w:r>
              <w:rPr>
                <w:rFonts w:hint="default" w:ascii="Times New Roman" w:hAnsi="Times New Roman" w:cs="Times New Roman"/>
                <w:color w:val="auto"/>
                <w:highlight w:val="none"/>
                <w:lang w:val="en-US" w:eastAsia="zh-CN"/>
              </w:rPr>
              <w:t>27</w:t>
            </w:r>
            <w:r>
              <w:rPr>
                <w:rFonts w:hint="default" w:ascii="Times New Roman" w:hAnsi="Times New Roman" w:cs="Times New Roman"/>
                <w:color w:val="auto"/>
                <w:highlight w:val="none"/>
              </w:rPr>
              <w:t>日</w:t>
            </w:r>
          </w:p>
        </w:tc>
      </w:tr>
      <w:tr w14:paraId="068ED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100" w:type="dxa"/>
            <w:tcBorders>
              <w:tl2br w:val="nil"/>
              <w:tr2bl w:val="nil"/>
            </w:tcBorders>
            <w:noWrap w:val="0"/>
            <w:vAlign w:val="top"/>
          </w:tcPr>
          <w:p w14:paraId="1CCEEA10">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经度</w:t>
            </w:r>
          </w:p>
        </w:tc>
        <w:tc>
          <w:tcPr>
            <w:tcW w:w="2489" w:type="dxa"/>
            <w:tcBorders>
              <w:tl2br w:val="nil"/>
              <w:tr2bl w:val="nil"/>
            </w:tcBorders>
            <w:noWrap w:val="0"/>
            <w:vAlign w:val="top"/>
          </w:tcPr>
          <w:p w14:paraId="7206CA7F">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88°17′53.74″</w:t>
            </w:r>
          </w:p>
        </w:tc>
        <w:tc>
          <w:tcPr>
            <w:tcW w:w="1300" w:type="dxa"/>
            <w:tcBorders>
              <w:tl2br w:val="nil"/>
              <w:tr2bl w:val="nil"/>
            </w:tcBorders>
            <w:noWrap w:val="0"/>
            <w:vAlign w:val="top"/>
          </w:tcPr>
          <w:p w14:paraId="104DBF96">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纬度</w:t>
            </w:r>
          </w:p>
        </w:tc>
        <w:tc>
          <w:tcPr>
            <w:tcW w:w="2278" w:type="dxa"/>
            <w:tcBorders>
              <w:tl2br w:val="nil"/>
              <w:tr2bl w:val="nil"/>
            </w:tcBorders>
            <w:noWrap w:val="0"/>
            <w:vAlign w:val="top"/>
          </w:tcPr>
          <w:p w14:paraId="4A657AA4">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44°41′49.88″</w:t>
            </w:r>
          </w:p>
        </w:tc>
      </w:tr>
      <w:tr w14:paraId="31A06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100" w:type="dxa"/>
            <w:tcBorders>
              <w:tl2br w:val="nil"/>
              <w:tr2bl w:val="nil"/>
            </w:tcBorders>
            <w:noWrap w:val="0"/>
            <w:vAlign w:val="top"/>
          </w:tcPr>
          <w:p w14:paraId="19F6CB12">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深度</w:t>
            </w:r>
          </w:p>
        </w:tc>
        <w:tc>
          <w:tcPr>
            <w:tcW w:w="6067" w:type="dxa"/>
            <w:gridSpan w:val="3"/>
            <w:tcBorders>
              <w:tl2br w:val="nil"/>
              <w:tr2bl w:val="nil"/>
            </w:tcBorders>
            <w:noWrap w:val="0"/>
            <w:vAlign w:val="top"/>
          </w:tcPr>
          <w:p w14:paraId="0A796879">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0-20cm</w:t>
            </w:r>
          </w:p>
        </w:tc>
      </w:tr>
      <w:tr w14:paraId="7BB8D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100" w:type="dxa"/>
            <w:tcBorders>
              <w:tl2br w:val="nil"/>
              <w:tr2bl w:val="nil"/>
            </w:tcBorders>
            <w:noWrap w:val="0"/>
            <w:vAlign w:val="center"/>
          </w:tcPr>
          <w:p w14:paraId="1C11965B">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颜色</w:t>
            </w:r>
          </w:p>
        </w:tc>
        <w:tc>
          <w:tcPr>
            <w:tcW w:w="6067" w:type="dxa"/>
            <w:gridSpan w:val="3"/>
            <w:tcBorders>
              <w:tl2br w:val="nil"/>
              <w:tr2bl w:val="nil"/>
            </w:tcBorders>
            <w:noWrap w:val="0"/>
            <w:vAlign w:val="center"/>
          </w:tcPr>
          <w:p w14:paraId="6F8FF59C">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黄棕</w:t>
            </w:r>
          </w:p>
        </w:tc>
      </w:tr>
      <w:tr w14:paraId="1CC90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100" w:type="dxa"/>
            <w:tcBorders>
              <w:tl2br w:val="nil"/>
              <w:tr2bl w:val="nil"/>
            </w:tcBorders>
            <w:noWrap w:val="0"/>
            <w:vAlign w:val="center"/>
          </w:tcPr>
          <w:p w14:paraId="7B9338D8">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结构</w:t>
            </w:r>
          </w:p>
        </w:tc>
        <w:tc>
          <w:tcPr>
            <w:tcW w:w="6067" w:type="dxa"/>
            <w:gridSpan w:val="3"/>
            <w:tcBorders>
              <w:tl2br w:val="nil"/>
              <w:tr2bl w:val="nil"/>
            </w:tcBorders>
            <w:noWrap w:val="0"/>
            <w:vAlign w:val="center"/>
          </w:tcPr>
          <w:p w14:paraId="32309DBE">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粒状</w:t>
            </w:r>
          </w:p>
        </w:tc>
      </w:tr>
      <w:tr w14:paraId="68529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100" w:type="dxa"/>
            <w:tcBorders>
              <w:tl2br w:val="nil"/>
              <w:tr2bl w:val="nil"/>
            </w:tcBorders>
            <w:noWrap w:val="0"/>
            <w:vAlign w:val="center"/>
          </w:tcPr>
          <w:p w14:paraId="6DAA086C">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质地</w:t>
            </w:r>
          </w:p>
        </w:tc>
        <w:tc>
          <w:tcPr>
            <w:tcW w:w="6067" w:type="dxa"/>
            <w:gridSpan w:val="3"/>
            <w:tcBorders>
              <w:tl2br w:val="nil"/>
              <w:tr2bl w:val="nil"/>
            </w:tcBorders>
            <w:noWrap w:val="0"/>
            <w:vAlign w:val="center"/>
          </w:tcPr>
          <w:p w14:paraId="419750DA">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砂土</w:t>
            </w:r>
          </w:p>
        </w:tc>
      </w:tr>
      <w:tr w14:paraId="6A651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100" w:type="dxa"/>
            <w:tcBorders>
              <w:tl2br w:val="nil"/>
              <w:tr2bl w:val="nil"/>
            </w:tcBorders>
            <w:noWrap w:val="0"/>
            <w:vAlign w:val="center"/>
          </w:tcPr>
          <w:p w14:paraId="4F89285E">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砂砾含量（</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lang w:eastAsia="zh-CN"/>
              </w:rPr>
              <w:t>）</w:t>
            </w:r>
          </w:p>
        </w:tc>
        <w:tc>
          <w:tcPr>
            <w:tcW w:w="6067" w:type="dxa"/>
            <w:gridSpan w:val="3"/>
            <w:tcBorders>
              <w:tl2br w:val="nil"/>
              <w:tr2bl w:val="nil"/>
            </w:tcBorders>
            <w:noWrap w:val="0"/>
            <w:vAlign w:val="center"/>
          </w:tcPr>
          <w:p w14:paraId="35190398">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90</w:t>
            </w:r>
          </w:p>
        </w:tc>
      </w:tr>
      <w:tr w14:paraId="5FC4A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100" w:type="dxa"/>
            <w:tcBorders>
              <w:tl2br w:val="nil"/>
              <w:tr2bl w:val="nil"/>
            </w:tcBorders>
            <w:noWrap w:val="0"/>
            <w:vAlign w:val="center"/>
          </w:tcPr>
          <w:p w14:paraId="09BBE20E">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其他异物</w:t>
            </w:r>
          </w:p>
        </w:tc>
        <w:tc>
          <w:tcPr>
            <w:tcW w:w="6067" w:type="dxa"/>
            <w:gridSpan w:val="3"/>
            <w:tcBorders>
              <w:tl2br w:val="nil"/>
              <w:tr2bl w:val="nil"/>
            </w:tcBorders>
            <w:noWrap w:val="0"/>
            <w:vAlign w:val="center"/>
          </w:tcPr>
          <w:p w14:paraId="554C8133">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r>
      <w:tr w14:paraId="68A10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100" w:type="dxa"/>
            <w:tcBorders>
              <w:tl2br w:val="nil"/>
              <w:tr2bl w:val="nil"/>
            </w:tcBorders>
            <w:noWrap w:val="0"/>
            <w:vAlign w:val="center"/>
          </w:tcPr>
          <w:p w14:paraId="2145F64D">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氧化还原电位(mv)</w:t>
            </w:r>
          </w:p>
        </w:tc>
        <w:tc>
          <w:tcPr>
            <w:tcW w:w="6067" w:type="dxa"/>
            <w:gridSpan w:val="3"/>
            <w:tcBorders>
              <w:tl2br w:val="nil"/>
              <w:tr2bl w:val="nil"/>
            </w:tcBorders>
            <w:noWrap w:val="0"/>
            <w:vAlign w:val="center"/>
          </w:tcPr>
          <w:p w14:paraId="4B8D790C">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475</w:t>
            </w:r>
          </w:p>
        </w:tc>
      </w:tr>
      <w:tr w14:paraId="438BB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100" w:type="dxa"/>
            <w:tcBorders>
              <w:tl2br w:val="nil"/>
              <w:tr2bl w:val="nil"/>
            </w:tcBorders>
            <w:noWrap w:val="0"/>
            <w:vAlign w:val="center"/>
          </w:tcPr>
          <w:p w14:paraId="3A11BBD7">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pH（</w:t>
            </w:r>
            <w:r>
              <w:rPr>
                <w:rFonts w:hint="default" w:ascii="Times New Roman" w:hAnsi="Times New Roman" w:cs="Times New Roman"/>
                <w:color w:val="auto"/>
                <w:highlight w:val="none"/>
                <w:lang w:eastAsia="zh-CN"/>
              </w:rPr>
              <w:t>无量纲</w:t>
            </w:r>
            <w:r>
              <w:rPr>
                <w:rFonts w:hint="default" w:ascii="Times New Roman" w:hAnsi="Times New Roman" w:cs="Times New Roman"/>
                <w:color w:val="auto"/>
                <w:highlight w:val="none"/>
                <w:lang w:val="en-US" w:eastAsia="zh-CN"/>
              </w:rPr>
              <w:t>）</w:t>
            </w:r>
          </w:p>
        </w:tc>
        <w:tc>
          <w:tcPr>
            <w:tcW w:w="6067" w:type="dxa"/>
            <w:gridSpan w:val="3"/>
            <w:tcBorders>
              <w:tl2br w:val="nil"/>
              <w:tr2bl w:val="nil"/>
            </w:tcBorders>
            <w:noWrap w:val="0"/>
            <w:vAlign w:val="center"/>
          </w:tcPr>
          <w:p w14:paraId="11C33DBF">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8.17</w:t>
            </w:r>
          </w:p>
        </w:tc>
      </w:tr>
      <w:tr w14:paraId="0715B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100" w:type="dxa"/>
            <w:tcBorders>
              <w:tl2br w:val="nil"/>
              <w:tr2bl w:val="nil"/>
            </w:tcBorders>
            <w:noWrap w:val="0"/>
            <w:vAlign w:val="center"/>
          </w:tcPr>
          <w:p w14:paraId="0F759379">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阳离子交换量（cmol</w:t>
            </w:r>
            <w:r>
              <w:rPr>
                <w:rFonts w:hint="default" w:ascii="Times New Roman" w:hAnsi="Times New Roman" w:cs="Times New Roman"/>
                <w:color w:val="auto"/>
                <w:highlight w:val="none"/>
                <w:vertAlign w:val="superscript"/>
                <w:lang w:val="en-US" w:eastAsia="zh-CN"/>
              </w:rPr>
              <w:t>＋</w:t>
            </w:r>
            <w:r>
              <w:rPr>
                <w:rFonts w:hint="default" w:ascii="Times New Roman" w:hAnsi="Times New Roman" w:cs="Times New Roman"/>
                <w:color w:val="auto"/>
                <w:highlight w:val="none"/>
                <w:lang w:val="en-US" w:eastAsia="zh-CN"/>
              </w:rPr>
              <w:t>/kg）</w:t>
            </w:r>
          </w:p>
        </w:tc>
        <w:tc>
          <w:tcPr>
            <w:tcW w:w="6067" w:type="dxa"/>
            <w:gridSpan w:val="3"/>
            <w:tcBorders>
              <w:tl2br w:val="nil"/>
              <w:tr2bl w:val="nil"/>
            </w:tcBorders>
            <w:noWrap w:val="0"/>
            <w:vAlign w:val="center"/>
          </w:tcPr>
          <w:p w14:paraId="5CFEE74E">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11.2</w:t>
            </w:r>
          </w:p>
        </w:tc>
      </w:tr>
      <w:tr w14:paraId="49201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100" w:type="dxa"/>
            <w:tcBorders>
              <w:tl2br w:val="nil"/>
              <w:tr2bl w:val="nil"/>
            </w:tcBorders>
            <w:noWrap w:val="0"/>
            <w:vAlign w:val="center"/>
          </w:tcPr>
          <w:p w14:paraId="371AD627">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渗滤率(mm/min)</w:t>
            </w:r>
          </w:p>
        </w:tc>
        <w:tc>
          <w:tcPr>
            <w:tcW w:w="6067" w:type="dxa"/>
            <w:gridSpan w:val="3"/>
            <w:tcBorders>
              <w:tl2br w:val="nil"/>
              <w:tr2bl w:val="nil"/>
            </w:tcBorders>
            <w:noWrap w:val="0"/>
            <w:vAlign w:val="center"/>
          </w:tcPr>
          <w:p w14:paraId="7E4B3DED">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0.446</w:t>
            </w:r>
          </w:p>
        </w:tc>
      </w:tr>
      <w:tr w14:paraId="610A1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100" w:type="dxa"/>
            <w:tcBorders>
              <w:tl2br w:val="nil"/>
              <w:tr2bl w:val="nil"/>
            </w:tcBorders>
            <w:noWrap w:val="0"/>
            <w:vAlign w:val="center"/>
          </w:tcPr>
          <w:p w14:paraId="0683804E">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土壤容重(g/cm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w:t>
            </w:r>
          </w:p>
        </w:tc>
        <w:tc>
          <w:tcPr>
            <w:tcW w:w="6067" w:type="dxa"/>
            <w:gridSpan w:val="3"/>
            <w:tcBorders>
              <w:tl2br w:val="nil"/>
              <w:tr2bl w:val="nil"/>
            </w:tcBorders>
            <w:noWrap w:val="0"/>
            <w:vAlign w:val="center"/>
          </w:tcPr>
          <w:p w14:paraId="337AFDB7">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1.28</w:t>
            </w:r>
          </w:p>
        </w:tc>
      </w:tr>
      <w:tr w14:paraId="0DBA9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100" w:type="dxa"/>
            <w:tcBorders>
              <w:tl2br w:val="nil"/>
              <w:tr2bl w:val="nil"/>
            </w:tcBorders>
            <w:noWrap w:val="0"/>
            <w:vAlign w:val="center"/>
          </w:tcPr>
          <w:p w14:paraId="41CAF444">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总孔隙度(%)</w:t>
            </w:r>
          </w:p>
        </w:tc>
        <w:tc>
          <w:tcPr>
            <w:tcW w:w="6067" w:type="dxa"/>
            <w:gridSpan w:val="3"/>
            <w:tcBorders>
              <w:tl2br w:val="nil"/>
              <w:tr2bl w:val="nil"/>
            </w:tcBorders>
            <w:noWrap w:val="0"/>
            <w:vAlign w:val="center"/>
          </w:tcPr>
          <w:p w14:paraId="7E6E641C">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33.3</w:t>
            </w:r>
          </w:p>
        </w:tc>
      </w:tr>
    </w:tbl>
    <w:p w14:paraId="097FA6B2">
      <w:pPr>
        <w:pStyle w:val="14"/>
        <w:kinsoku w:val="0"/>
        <w:overflowPunct w:val="0"/>
        <w:spacing w:before="7" w:beforeLines="0" w:afterLines="0"/>
        <w:ind w:left="0"/>
        <w:rPr>
          <w:rFonts w:hint="default" w:ascii="Times New Roman" w:hAnsi="Times New Roman" w:cs="Times New Roman"/>
          <w:b/>
          <w:color w:val="auto"/>
          <w:sz w:val="8"/>
          <w:szCs w:val="24"/>
          <w:highlight w:val="none"/>
        </w:rPr>
      </w:pPr>
    </w:p>
    <w:p w14:paraId="1D7F9148">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表4.3-</w:t>
      </w:r>
      <w:r>
        <w:rPr>
          <w:rFonts w:hint="default" w:ascii="Times New Roman" w:hAnsi="Times New Roman" w:cs="Times New Roman"/>
          <w:color w:val="auto"/>
          <w:highlight w:val="none"/>
          <w:lang w:val="en-US" w:eastAsia="zh-CN"/>
        </w:rPr>
        <w:t>17</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t>1#点土壤监测结果</w:t>
      </w:r>
    </w:p>
    <w:tbl>
      <w:tblPr>
        <w:tblStyle w:val="31"/>
        <w:tblW w:w="4909" w:type="pct"/>
        <w:jc w:val="center"/>
        <w:tblLayout w:type="autofit"/>
        <w:tblCellMar>
          <w:top w:w="15" w:type="dxa"/>
          <w:left w:w="15" w:type="dxa"/>
          <w:bottom w:w="15" w:type="dxa"/>
          <w:right w:w="15" w:type="dxa"/>
        </w:tblCellMar>
      </w:tblPr>
      <w:tblGrid>
        <w:gridCol w:w="2140"/>
        <w:gridCol w:w="2068"/>
        <w:gridCol w:w="133"/>
        <w:gridCol w:w="2122"/>
        <w:gridCol w:w="2550"/>
      </w:tblGrid>
      <w:tr w14:paraId="6A5513BB">
        <w:tblPrEx>
          <w:tblCellMar>
            <w:top w:w="15" w:type="dxa"/>
            <w:left w:w="15" w:type="dxa"/>
            <w:bottom w:w="15" w:type="dxa"/>
            <w:right w:w="15" w:type="dxa"/>
          </w:tblCellMar>
        </w:tblPrEx>
        <w:trPr>
          <w:trHeight w:val="283" w:hRule="atLeast"/>
          <w:jc w:val="center"/>
        </w:trPr>
        <w:tc>
          <w:tcPr>
            <w:tcW w:w="1187" w:type="pct"/>
            <w:tcBorders>
              <w:top w:val="single" w:color="000000" w:sz="4" w:space="0"/>
              <w:left w:val="single" w:color="000000" w:sz="4" w:space="0"/>
              <w:bottom w:val="single" w:color="000000" w:sz="4" w:space="0"/>
              <w:right w:val="single" w:color="000000" w:sz="4" w:space="0"/>
            </w:tcBorders>
            <w:noWrap w:val="0"/>
            <w:vAlign w:val="center"/>
          </w:tcPr>
          <w:p w14:paraId="6D40D837">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样品类型</w:t>
            </w:r>
          </w:p>
        </w:tc>
        <w:tc>
          <w:tcPr>
            <w:tcW w:w="3812" w:type="pct"/>
            <w:gridSpan w:val="4"/>
            <w:tcBorders>
              <w:top w:val="single" w:color="000000" w:sz="4" w:space="0"/>
              <w:left w:val="single" w:color="000000" w:sz="4" w:space="0"/>
              <w:bottom w:val="single" w:color="000000" w:sz="4" w:space="0"/>
              <w:right w:val="single" w:color="000000" w:sz="4" w:space="0"/>
            </w:tcBorders>
            <w:noWrap w:val="0"/>
            <w:vAlign w:val="center"/>
          </w:tcPr>
          <w:p w14:paraId="12E64406">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土壤</w:t>
            </w:r>
          </w:p>
        </w:tc>
      </w:tr>
      <w:tr w14:paraId="00BE296A">
        <w:tblPrEx>
          <w:tblCellMar>
            <w:top w:w="15" w:type="dxa"/>
            <w:left w:w="15" w:type="dxa"/>
            <w:bottom w:w="15" w:type="dxa"/>
            <w:right w:w="15" w:type="dxa"/>
          </w:tblCellMar>
        </w:tblPrEx>
        <w:trPr>
          <w:trHeight w:val="283" w:hRule="atLeast"/>
          <w:jc w:val="center"/>
        </w:trPr>
        <w:tc>
          <w:tcPr>
            <w:tcW w:w="1187" w:type="pct"/>
            <w:tcBorders>
              <w:top w:val="single" w:color="000000" w:sz="4" w:space="0"/>
              <w:left w:val="single" w:color="000000" w:sz="4" w:space="0"/>
              <w:bottom w:val="single" w:color="000000" w:sz="4" w:space="0"/>
              <w:right w:val="single" w:color="000000" w:sz="4" w:space="0"/>
            </w:tcBorders>
            <w:noWrap w:val="0"/>
            <w:vAlign w:val="center"/>
          </w:tcPr>
          <w:p w14:paraId="23F76B64">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采样</w:t>
            </w:r>
            <w:r>
              <w:rPr>
                <w:rFonts w:hint="default" w:ascii="Times New Roman" w:hAnsi="Times New Roman" w:cs="Times New Roman"/>
                <w:color w:val="auto"/>
                <w:highlight w:val="none"/>
              </w:rPr>
              <w:t>日期</w:t>
            </w:r>
          </w:p>
        </w:tc>
        <w:tc>
          <w:tcPr>
            <w:tcW w:w="1221" w:type="pct"/>
            <w:gridSpan w:val="2"/>
            <w:tcBorders>
              <w:top w:val="single" w:color="000000" w:sz="4" w:space="0"/>
              <w:left w:val="single" w:color="000000" w:sz="4" w:space="0"/>
              <w:bottom w:val="single" w:color="auto" w:sz="4" w:space="0"/>
              <w:right w:val="single" w:color="000000" w:sz="4" w:space="0"/>
            </w:tcBorders>
            <w:noWrap w:val="0"/>
            <w:vAlign w:val="center"/>
          </w:tcPr>
          <w:p w14:paraId="2526B718">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20</w:t>
            </w:r>
            <w:r>
              <w:rPr>
                <w:rFonts w:hint="default" w:ascii="Times New Roman" w:hAnsi="Times New Roman" w:cs="Times New Roman"/>
                <w:color w:val="auto"/>
                <w:highlight w:val="none"/>
                <w:lang w:val="en-US" w:eastAsia="zh-CN"/>
              </w:rPr>
              <w:t>25年3月27日</w:t>
            </w:r>
          </w:p>
        </w:tc>
        <w:tc>
          <w:tcPr>
            <w:tcW w:w="1177" w:type="pct"/>
            <w:tcBorders>
              <w:top w:val="single" w:color="000000" w:sz="4" w:space="0"/>
              <w:left w:val="single" w:color="000000" w:sz="4" w:space="0"/>
              <w:bottom w:val="single" w:color="auto" w:sz="4" w:space="0"/>
              <w:right w:val="single" w:color="000000" w:sz="4" w:space="0"/>
            </w:tcBorders>
            <w:noWrap w:val="0"/>
            <w:vAlign w:val="center"/>
          </w:tcPr>
          <w:p w14:paraId="57F5DB1E">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分析日期</w:t>
            </w:r>
          </w:p>
        </w:tc>
        <w:tc>
          <w:tcPr>
            <w:tcW w:w="1414" w:type="pct"/>
            <w:tcBorders>
              <w:top w:val="single" w:color="000000" w:sz="4" w:space="0"/>
              <w:left w:val="single" w:color="000000" w:sz="4" w:space="0"/>
              <w:bottom w:val="single" w:color="auto" w:sz="4" w:space="0"/>
              <w:right w:val="single" w:color="000000" w:sz="4" w:space="0"/>
            </w:tcBorders>
            <w:noWrap w:val="0"/>
            <w:vAlign w:val="center"/>
          </w:tcPr>
          <w:p w14:paraId="4899B8C3">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20</w:t>
            </w:r>
            <w:r>
              <w:rPr>
                <w:rFonts w:hint="default" w:ascii="Times New Roman" w:hAnsi="Times New Roman" w:cs="Times New Roman"/>
                <w:color w:val="auto"/>
                <w:highlight w:val="none"/>
                <w:lang w:val="en-US" w:eastAsia="zh-CN"/>
              </w:rPr>
              <w:t>25年3月28日-4月8日</w:t>
            </w:r>
          </w:p>
        </w:tc>
      </w:tr>
      <w:tr w14:paraId="41909A0D">
        <w:tblPrEx>
          <w:tblCellMar>
            <w:top w:w="15" w:type="dxa"/>
            <w:left w:w="15" w:type="dxa"/>
            <w:bottom w:w="15" w:type="dxa"/>
            <w:right w:w="15" w:type="dxa"/>
          </w:tblCellMar>
        </w:tblPrEx>
        <w:trPr>
          <w:trHeight w:val="283" w:hRule="atLeast"/>
          <w:jc w:val="center"/>
        </w:trPr>
        <w:tc>
          <w:tcPr>
            <w:tcW w:w="1187" w:type="pct"/>
            <w:tcBorders>
              <w:top w:val="single" w:color="000000" w:sz="4" w:space="0"/>
              <w:left w:val="single" w:color="000000" w:sz="4" w:space="0"/>
              <w:bottom w:val="single" w:color="000000" w:sz="4" w:space="0"/>
              <w:right w:val="single" w:color="auto" w:sz="4" w:space="0"/>
            </w:tcBorders>
            <w:noWrap w:val="0"/>
            <w:vAlign w:val="center"/>
          </w:tcPr>
          <w:p w14:paraId="07AC6853">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样品编码</w:t>
            </w:r>
          </w:p>
        </w:tc>
        <w:tc>
          <w:tcPr>
            <w:tcW w:w="2398" w:type="pct"/>
            <w:gridSpan w:val="3"/>
            <w:tcBorders>
              <w:top w:val="single" w:color="auto" w:sz="4" w:space="0"/>
              <w:left w:val="single" w:color="auto" w:sz="4" w:space="0"/>
              <w:bottom w:val="single" w:color="auto" w:sz="4" w:space="0"/>
              <w:right w:val="single" w:color="auto" w:sz="4" w:space="0"/>
            </w:tcBorders>
            <w:noWrap w:val="0"/>
            <w:vAlign w:val="center"/>
          </w:tcPr>
          <w:p w14:paraId="642AEF97">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TC-1#-1</w:t>
            </w:r>
          </w:p>
        </w:tc>
        <w:tc>
          <w:tcPr>
            <w:tcW w:w="1414" w:type="pct"/>
            <w:vMerge w:val="restart"/>
            <w:tcBorders>
              <w:top w:val="single" w:color="auto" w:sz="4" w:space="0"/>
              <w:left w:val="single" w:color="auto" w:sz="4" w:space="0"/>
              <w:right w:val="single" w:color="auto" w:sz="4" w:space="0"/>
            </w:tcBorders>
            <w:noWrap w:val="0"/>
            <w:vAlign w:val="center"/>
          </w:tcPr>
          <w:p w14:paraId="669B128B">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《土壤环境质量 建设用地土壤污染风险管控标准（试行）</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（GB36600-2018）表1第二类用地的筛选值质量标准（m</w:t>
            </w:r>
            <w:r>
              <w:rPr>
                <w:rFonts w:hint="default" w:ascii="Times New Roman" w:hAnsi="Times New Roman" w:cs="Times New Roman"/>
                <w:color w:val="auto"/>
                <w:highlight w:val="none"/>
              </w:rPr>
              <w:t>g/</w:t>
            </w:r>
            <w:r>
              <w:rPr>
                <w:rFonts w:hint="default" w:ascii="Times New Roman" w:hAnsi="Times New Roman" w:cs="Times New Roman"/>
                <w:color w:val="auto"/>
                <w:highlight w:val="none"/>
                <w:lang w:val="en-US" w:eastAsia="zh-CN"/>
              </w:rPr>
              <w:t>kg）</w:t>
            </w:r>
          </w:p>
        </w:tc>
      </w:tr>
      <w:tr w14:paraId="335DB186">
        <w:tblPrEx>
          <w:tblCellMar>
            <w:top w:w="15" w:type="dxa"/>
            <w:left w:w="15" w:type="dxa"/>
            <w:bottom w:w="15" w:type="dxa"/>
            <w:right w:w="15" w:type="dxa"/>
          </w:tblCellMar>
        </w:tblPrEx>
        <w:trPr>
          <w:trHeight w:val="283" w:hRule="atLeast"/>
          <w:jc w:val="center"/>
        </w:trPr>
        <w:tc>
          <w:tcPr>
            <w:tcW w:w="1187" w:type="pct"/>
            <w:tcBorders>
              <w:top w:val="single" w:color="000000" w:sz="4" w:space="0"/>
              <w:left w:val="single" w:color="000000" w:sz="4" w:space="0"/>
              <w:bottom w:val="single" w:color="000000" w:sz="4" w:space="0"/>
              <w:right w:val="single" w:color="auto" w:sz="4" w:space="0"/>
            </w:tcBorders>
            <w:noWrap w:val="0"/>
            <w:vAlign w:val="center"/>
          </w:tcPr>
          <w:p w14:paraId="54881918">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eastAsia="zh-CN"/>
              </w:rPr>
              <w:t>采样地点</w:t>
            </w:r>
          </w:p>
        </w:tc>
        <w:tc>
          <w:tcPr>
            <w:tcW w:w="2398" w:type="pct"/>
            <w:gridSpan w:val="3"/>
            <w:tcBorders>
              <w:top w:val="single" w:color="auto" w:sz="4" w:space="0"/>
              <w:left w:val="single" w:color="auto" w:sz="4" w:space="0"/>
              <w:bottom w:val="single" w:color="auto" w:sz="4" w:space="0"/>
              <w:right w:val="single" w:color="auto" w:sz="4" w:space="0"/>
            </w:tcBorders>
            <w:noWrap w:val="0"/>
            <w:vAlign w:val="center"/>
          </w:tcPr>
          <w:p w14:paraId="129B31F2">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E：88°17′53.74″，</w:t>
            </w:r>
          </w:p>
          <w:p w14:paraId="267426A9">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N：44°41′49.88″</w:t>
            </w:r>
          </w:p>
        </w:tc>
        <w:tc>
          <w:tcPr>
            <w:tcW w:w="1414" w:type="pct"/>
            <w:vMerge w:val="continue"/>
            <w:tcBorders>
              <w:left w:val="single" w:color="auto" w:sz="4" w:space="0"/>
              <w:right w:val="single" w:color="auto" w:sz="4" w:space="0"/>
            </w:tcBorders>
            <w:noWrap w:val="0"/>
            <w:vAlign w:val="center"/>
          </w:tcPr>
          <w:p w14:paraId="54C5E66E">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p>
        </w:tc>
      </w:tr>
      <w:tr w14:paraId="15161BCD">
        <w:tblPrEx>
          <w:tblCellMar>
            <w:top w:w="15" w:type="dxa"/>
            <w:left w:w="15" w:type="dxa"/>
            <w:bottom w:w="15" w:type="dxa"/>
            <w:right w:w="15" w:type="dxa"/>
          </w:tblCellMar>
        </w:tblPrEx>
        <w:trPr>
          <w:trHeight w:val="283" w:hRule="atLeast"/>
          <w:jc w:val="center"/>
        </w:trPr>
        <w:tc>
          <w:tcPr>
            <w:tcW w:w="1187" w:type="pct"/>
            <w:tcBorders>
              <w:top w:val="single" w:color="000000" w:sz="4" w:space="0"/>
              <w:left w:val="single" w:color="000000" w:sz="4" w:space="0"/>
              <w:bottom w:val="single" w:color="auto" w:sz="4" w:space="0"/>
              <w:right w:val="single" w:color="auto" w:sz="4" w:space="0"/>
            </w:tcBorders>
            <w:noWrap w:val="0"/>
            <w:vAlign w:val="center"/>
          </w:tcPr>
          <w:p w14:paraId="6EA28FC7">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深度（cm）</w:t>
            </w:r>
          </w:p>
        </w:tc>
        <w:tc>
          <w:tcPr>
            <w:tcW w:w="2398" w:type="pct"/>
            <w:gridSpan w:val="3"/>
            <w:tcBorders>
              <w:top w:val="single" w:color="auto" w:sz="4" w:space="0"/>
              <w:left w:val="single" w:color="auto" w:sz="4" w:space="0"/>
              <w:bottom w:val="single" w:color="auto" w:sz="4" w:space="0"/>
              <w:right w:val="single" w:color="auto" w:sz="4" w:space="0"/>
            </w:tcBorders>
            <w:noWrap w:val="0"/>
            <w:vAlign w:val="center"/>
          </w:tcPr>
          <w:p w14:paraId="0B33D436">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20</w:t>
            </w:r>
          </w:p>
        </w:tc>
        <w:tc>
          <w:tcPr>
            <w:tcW w:w="1414" w:type="pct"/>
            <w:vMerge w:val="continue"/>
            <w:tcBorders>
              <w:left w:val="single" w:color="auto" w:sz="4" w:space="0"/>
              <w:right w:val="single" w:color="auto" w:sz="4" w:space="0"/>
            </w:tcBorders>
            <w:noWrap w:val="0"/>
            <w:vAlign w:val="center"/>
          </w:tcPr>
          <w:p w14:paraId="26CB8397">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p>
        </w:tc>
      </w:tr>
      <w:tr w14:paraId="4E69E5ED">
        <w:tblPrEx>
          <w:tblCellMar>
            <w:top w:w="15" w:type="dxa"/>
            <w:left w:w="15" w:type="dxa"/>
            <w:bottom w:w="15" w:type="dxa"/>
            <w:right w:w="15" w:type="dxa"/>
          </w:tblCellMar>
        </w:tblPrEx>
        <w:trPr>
          <w:trHeight w:val="283" w:hRule="atLeast"/>
          <w:jc w:val="center"/>
        </w:trPr>
        <w:tc>
          <w:tcPr>
            <w:tcW w:w="1187" w:type="pct"/>
            <w:tcBorders>
              <w:top w:val="single" w:color="000000" w:sz="4" w:space="0"/>
              <w:left w:val="single" w:color="000000" w:sz="4" w:space="0"/>
              <w:bottom w:val="single" w:color="auto" w:sz="4" w:space="0"/>
              <w:right w:val="single" w:color="auto" w:sz="4" w:space="0"/>
            </w:tcBorders>
            <w:noWrap w:val="0"/>
            <w:vAlign w:val="center"/>
          </w:tcPr>
          <w:p w14:paraId="3688E545">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样品状态</w:t>
            </w:r>
          </w:p>
        </w:tc>
        <w:tc>
          <w:tcPr>
            <w:tcW w:w="2398" w:type="pct"/>
            <w:gridSpan w:val="3"/>
            <w:tcBorders>
              <w:top w:val="single" w:color="auto" w:sz="4" w:space="0"/>
              <w:left w:val="single" w:color="auto" w:sz="4" w:space="0"/>
              <w:bottom w:val="single" w:color="auto" w:sz="4" w:space="0"/>
              <w:right w:val="single" w:color="auto" w:sz="4" w:space="0"/>
            </w:tcBorders>
            <w:noWrap w:val="0"/>
            <w:vAlign w:val="center"/>
          </w:tcPr>
          <w:p w14:paraId="28217895">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黄棕、潮、有根系</w:t>
            </w:r>
          </w:p>
        </w:tc>
        <w:tc>
          <w:tcPr>
            <w:tcW w:w="1414" w:type="pct"/>
            <w:vMerge w:val="continue"/>
            <w:tcBorders>
              <w:left w:val="single" w:color="auto" w:sz="4" w:space="0"/>
              <w:right w:val="single" w:color="auto" w:sz="4" w:space="0"/>
            </w:tcBorders>
            <w:noWrap w:val="0"/>
            <w:vAlign w:val="center"/>
          </w:tcPr>
          <w:p w14:paraId="696B971A">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p>
        </w:tc>
      </w:tr>
      <w:tr w14:paraId="6404FD04">
        <w:tblPrEx>
          <w:tblCellMar>
            <w:top w:w="15" w:type="dxa"/>
            <w:left w:w="15" w:type="dxa"/>
            <w:bottom w:w="15" w:type="dxa"/>
            <w:right w:w="15" w:type="dxa"/>
          </w:tblCellMar>
        </w:tblPrEx>
        <w:trPr>
          <w:trHeight w:val="283" w:hRule="atLeast"/>
          <w:jc w:val="center"/>
        </w:trPr>
        <w:tc>
          <w:tcPr>
            <w:tcW w:w="1187" w:type="pct"/>
            <w:tcBorders>
              <w:top w:val="single" w:color="auto" w:sz="4" w:space="0"/>
              <w:left w:val="single" w:color="auto" w:sz="4" w:space="0"/>
              <w:bottom w:val="single" w:color="auto" w:sz="4" w:space="0"/>
              <w:right w:val="single" w:color="auto" w:sz="4" w:space="0"/>
            </w:tcBorders>
            <w:noWrap w:val="0"/>
            <w:vAlign w:val="center"/>
          </w:tcPr>
          <w:p w14:paraId="68E238E4">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检测项目</w:t>
            </w:r>
          </w:p>
        </w:tc>
        <w:tc>
          <w:tcPr>
            <w:tcW w:w="1147" w:type="pct"/>
            <w:tcBorders>
              <w:top w:val="single" w:color="auto" w:sz="4" w:space="0"/>
              <w:left w:val="single" w:color="auto" w:sz="4" w:space="0"/>
              <w:bottom w:val="single" w:color="auto" w:sz="4" w:space="0"/>
              <w:right w:val="single" w:color="auto" w:sz="4" w:space="0"/>
            </w:tcBorders>
            <w:noWrap w:val="0"/>
            <w:vAlign w:val="center"/>
          </w:tcPr>
          <w:p w14:paraId="7C7A6559">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单位</w:t>
            </w:r>
          </w:p>
        </w:tc>
        <w:tc>
          <w:tcPr>
            <w:tcW w:w="1250" w:type="pct"/>
            <w:gridSpan w:val="2"/>
            <w:tcBorders>
              <w:top w:val="single" w:color="auto" w:sz="4" w:space="0"/>
              <w:left w:val="single" w:color="auto" w:sz="4" w:space="0"/>
              <w:bottom w:val="single" w:color="auto" w:sz="4" w:space="0"/>
              <w:right w:val="single" w:color="auto" w:sz="4" w:space="0"/>
            </w:tcBorders>
            <w:noWrap w:val="0"/>
            <w:vAlign w:val="center"/>
          </w:tcPr>
          <w:p w14:paraId="29F11019">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检测结果</w:t>
            </w:r>
          </w:p>
        </w:tc>
        <w:tc>
          <w:tcPr>
            <w:tcW w:w="1414" w:type="pct"/>
            <w:vMerge w:val="continue"/>
            <w:tcBorders>
              <w:left w:val="single" w:color="auto" w:sz="4" w:space="0"/>
              <w:bottom w:val="single" w:color="auto" w:sz="4" w:space="0"/>
              <w:right w:val="single" w:color="auto" w:sz="4" w:space="0"/>
            </w:tcBorders>
            <w:noWrap w:val="0"/>
            <w:vAlign w:val="center"/>
          </w:tcPr>
          <w:p w14:paraId="199866E8">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p>
        </w:tc>
      </w:tr>
      <w:tr w14:paraId="6A46AB21">
        <w:tblPrEx>
          <w:tblCellMar>
            <w:top w:w="15" w:type="dxa"/>
            <w:left w:w="15" w:type="dxa"/>
            <w:bottom w:w="15" w:type="dxa"/>
            <w:right w:w="15" w:type="dxa"/>
          </w:tblCellMar>
        </w:tblPrEx>
        <w:trPr>
          <w:trHeight w:val="283" w:hRule="atLeast"/>
          <w:jc w:val="center"/>
        </w:trPr>
        <w:tc>
          <w:tcPr>
            <w:tcW w:w="1187" w:type="pct"/>
            <w:tcBorders>
              <w:top w:val="single" w:color="auto" w:sz="4" w:space="0"/>
              <w:left w:val="single" w:color="auto" w:sz="4" w:space="0"/>
              <w:bottom w:val="single" w:color="auto" w:sz="4" w:space="0"/>
              <w:right w:val="single" w:color="auto" w:sz="4" w:space="0"/>
            </w:tcBorders>
            <w:noWrap w:val="0"/>
            <w:vAlign w:val="center"/>
          </w:tcPr>
          <w:p w14:paraId="1FB2D1FC">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氯乙烯</w:t>
            </w:r>
          </w:p>
        </w:tc>
        <w:tc>
          <w:tcPr>
            <w:tcW w:w="1147" w:type="pct"/>
            <w:tcBorders>
              <w:top w:val="single" w:color="auto" w:sz="4" w:space="0"/>
              <w:left w:val="single" w:color="auto" w:sz="4" w:space="0"/>
              <w:bottom w:val="single" w:color="auto" w:sz="4" w:space="0"/>
              <w:right w:val="single" w:color="auto" w:sz="4" w:space="0"/>
            </w:tcBorders>
            <w:noWrap w:val="0"/>
            <w:vAlign w:val="center"/>
          </w:tcPr>
          <w:p w14:paraId="1FF89EA4">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μ</w:t>
            </w:r>
            <w:r>
              <w:rPr>
                <w:rFonts w:hint="default" w:ascii="Times New Roman" w:hAnsi="Times New Roman" w:cs="Times New Roman"/>
                <w:color w:val="auto"/>
                <w:highlight w:val="none"/>
              </w:rPr>
              <w:t>g/</w:t>
            </w:r>
            <w:r>
              <w:rPr>
                <w:rFonts w:hint="default" w:ascii="Times New Roman" w:hAnsi="Times New Roman" w:cs="Times New Roman"/>
                <w:color w:val="auto"/>
                <w:highlight w:val="none"/>
                <w:lang w:val="en-US" w:eastAsia="zh-CN"/>
              </w:rPr>
              <w:t>kg</w:t>
            </w:r>
          </w:p>
        </w:tc>
        <w:tc>
          <w:tcPr>
            <w:tcW w:w="1250" w:type="pct"/>
            <w:gridSpan w:val="2"/>
            <w:tcBorders>
              <w:top w:val="single" w:color="auto" w:sz="4" w:space="0"/>
              <w:left w:val="single" w:color="auto" w:sz="4" w:space="0"/>
              <w:bottom w:val="single" w:color="auto" w:sz="4" w:space="0"/>
              <w:right w:val="single" w:color="auto" w:sz="4" w:space="0"/>
            </w:tcBorders>
            <w:noWrap w:val="0"/>
            <w:vAlign w:val="center"/>
          </w:tcPr>
          <w:p w14:paraId="5F467320">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未检出</w:t>
            </w:r>
          </w:p>
        </w:tc>
        <w:tc>
          <w:tcPr>
            <w:tcW w:w="1414" w:type="pct"/>
            <w:tcBorders>
              <w:top w:val="single" w:color="auto" w:sz="4" w:space="0"/>
              <w:left w:val="single" w:color="auto" w:sz="4" w:space="0"/>
              <w:bottom w:val="single" w:color="auto" w:sz="4" w:space="0"/>
              <w:right w:val="single" w:color="auto" w:sz="4" w:space="0"/>
            </w:tcBorders>
            <w:noWrap w:val="0"/>
            <w:vAlign w:val="center"/>
          </w:tcPr>
          <w:p w14:paraId="3E601396">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0.43</w:t>
            </w:r>
          </w:p>
        </w:tc>
      </w:tr>
      <w:tr w14:paraId="6F33C7B4">
        <w:tblPrEx>
          <w:tblCellMar>
            <w:top w:w="15" w:type="dxa"/>
            <w:left w:w="15" w:type="dxa"/>
            <w:bottom w:w="15" w:type="dxa"/>
            <w:right w:w="15" w:type="dxa"/>
          </w:tblCellMar>
        </w:tblPrEx>
        <w:trPr>
          <w:trHeight w:val="283" w:hRule="atLeast"/>
          <w:jc w:val="center"/>
        </w:trPr>
        <w:tc>
          <w:tcPr>
            <w:tcW w:w="1187" w:type="pct"/>
            <w:tcBorders>
              <w:top w:val="single" w:color="auto" w:sz="4" w:space="0"/>
              <w:left w:val="single" w:color="auto" w:sz="4" w:space="0"/>
              <w:bottom w:val="single" w:color="auto" w:sz="4" w:space="0"/>
              <w:right w:val="single" w:color="auto" w:sz="4" w:space="0"/>
            </w:tcBorders>
            <w:noWrap w:val="0"/>
            <w:vAlign w:val="center"/>
          </w:tcPr>
          <w:p w14:paraId="24D93997">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1,1-二氯乙烯</w:t>
            </w:r>
          </w:p>
        </w:tc>
        <w:tc>
          <w:tcPr>
            <w:tcW w:w="1147" w:type="pct"/>
            <w:tcBorders>
              <w:top w:val="single" w:color="auto" w:sz="4" w:space="0"/>
              <w:left w:val="single" w:color="auto" w:sz="4" w:space="0"/>
              <w:bottom w:val="single" w:color="auto" w:sz="4" w:space="0"/>
              <w:right w:val="single" w:color="auto" w:sz="4" w:space="0"/>
            </w:tcBorders>
            <w:noWrap w:val="0"/>
            <w:vAlign w:val="center"/>
          </w:tcPr>
          <w:p w14:paraId="466225D5">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μ</w:t>
            </w:r>
            <w:r>
              <w:rPr>
                <w:rFonts w:hint="default" w:ascii="Times New Roman" w:hAnsi="Times New Roman" w:cs="Times New Roman"/>
                <w:color w:val="auto"/>
                <w:highlight w:val="none"/>
              </w:rPr>
              <w:t>g/</w:t>
            </w:r>
            <w:r>
              <w:rPr>
                <w:rFonts w:hint="default" w:ascii="Times New Roman" w:hAnsi="Times New Roman" w:cs="Times New Roman"/>
                <w:color w:val="auto"/>
                <w:highlight w:val="none"/>
                <w:lang w:val="en-US" w:eastAsia="zh-CN"/>
              </w:rPr>
              <w:t>kg</w:t>
            </w:r>
          </w:p>
        </w:tc>
        <w:tc>
          <w:tcPr>
            <w:tcW w:w="1250" w:type="pct"/>
            <w:gridSpan w:val="2"/>
            <w:tcBorders>
              <w:top w:val="single" w:color="auto" w:sz="4" w:space="0"/>
              <w:left w:val="single" w:color="auto" w:sz="4" w:space="0"/>
              <w:bottom w:val="single" w:color="auto" w:sz="4" w:space="0"/>
              <w:right w:val="single" w:color="auto" w:sz="4" w:space="0"/>
            </w:tcBorders>
            <w:noWrap w:val="0"/>
            <w:vAlign w:val="center"/>
          </w:tcPr>
          <w:p w14:paraId="7F9B8C01">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未检出</w:t>
            </w:r>
          </w:p>
        </w:tc>
        <w:tc>
          <w:tcPr>
            <w:tcW w:w="1414" w:type="pct"/>
            <w:tcBorders>
              <w:top w:val="single" w:color="auto" w:sz="4" w:space="0"/>
              <w:left w:val="single" w:color="auto" w:sz="4" w:space="0"/>
              <w:bottom w:val="single" w:color="auto" w:sz="4" w:space="0"/>
              <w:right w:val="single" w:color="auto" w:sz="4" w:space="0"/>
            </w:tcBorders>
            <w:noWrap w:val="0"/>
            <w:vAlign w:val="center"/>
          </w:tcPr>
          <w:p w14:paraId="0898E396">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66</w:t>
            </w:r>
          </w:p>
        </w:tc>
      </w:tr>
      <w:tr w14:paraId="3D66E1AD">
        <w:tblPrEx>
          <w:tblCellMar>
            <w:top w:w="15" w:type="dxa"/>
            <w:left w:w="15" w:type="dxa"/>
            <w:bottom w:w="15" w:type="dxa"/>
            <w:right w:w="15" w:type="dxa"/>
          </w:tblCellMar>
        </w:tblPrEx>
        <w:trPr>
          <w:trHeight w:val="283" w:hRule="atLeast"/>
          <w:jc w:val="center"/>
        </w:trPr>
        <w:tc>
          <w:tcPr>
            <w:tcW w:w="1187" w:type="pct"/>
            <w:tcBorders>
              <w:top w:val="single" w:color="auto" w:sz="4" w:space="0"/>
              <w:left w:val="single" w:color="auto" w:sz="4" w:space="0"/>
              <w:bottom w:val="single" w:color="auto" w:sz="4" w:space="0"/>
              <w:right w:val="single" w:color="auto" w:sz="4" w:space="0"/>
            </w:tcBorders>
            <w:noWrap w:val="0"/>
            <w:vAlign w:val="center"/>
          </w:tcPr>
          <w:p w14:paraId="608D2495">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二氯甲烷</w:t>
            </w:r>
          </w:p>
        </w:tc>
        <w:tc>
          <w:tcPr>
            <w:tcW w:w="1147" w:type="pct"/>
            <w:tcBorders>
              <w:top w:val="single" w:color="auto" w:sz="4" w:space="0"/>
              <w:left w:val="single" w:color="auto" w:sz="4" w:space="0"/>
              <w:bottom w:val="single" w:color="auto" w:sz="4" w:space="0"/>
              <w:right w:val="single" w:color="auto" w:sz="4" w:space="0"/>
            </w:tcBorders>
            <w:noWrap w:val="0"/>
            <w:vAlign w:val="center"/>
          </w:tcPr>
          <w:p w14:paraId="2AD6BB2A">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μ</w:t>
            </w:r>
            <w:r>
              <w:rPr>
                <w:rFonts w:hint="default" w:ascii="Times New Roman" w:hAnsi="Times New Roman" w:cs="Times New Roman"/>
                <w:color w:val="auto"/>
                <w:highlight w:val="none"/>
              </w:rPr>
              <w:t>g/</w:t>
            </w:r>
            <w:r>
              <w:rPr>
                <w:rFonts w:hint="default" w:ascii="Times New Roman" w:hAnsi="Times New Roman" w:cs="Times New Roman"/>
                <w:color w:val="auto"/>
                <w:highlight w:val="none"/>
                <w:lang w:val="en-US" w:eastAsia="zh-CN"/>
              </w:rPr>
              <w:t>kg</w:t>
            </w:r>
          </w:p>
        </w:tc>
        <w:tc>
          <w:tcPr>
            <w:tcW w:w="1250" w:type="pct"/>
            <w:gridSpan w:val="2"/>
            <w:tcBorders>
              <w:top w:val="single" w:color="auto" w:sz="4" w:space="0"/>
              <w:left w:val="single" w:color="auto" w:sz="4" w:space="0"/>
              <w:bottom w:val="single" w:color="auto" w:sz="4" w:space="0"/>
              <w:right w:val="single" w:color="auto" w:sz="4" w:space="0"/>
            </w:tcBorders>
            <w:noWrap w:val="0"/>
            <w:vAlign w:val="center"/>
          </w:tcPr>
          <w:p w14:paraId="5D8031E1">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未检出</w:t>
            </w:r>
          </w:p>
        </w:tc>
        <w:tc>
          <w:tcPr>
            <w:tcW w:w="1414" w:type="pct"/>
            <w:tcBorders>
              <w:top w:val="single" w:color="auto" w:sz="4" w:space="0"/>
              <w:left w:val="single" w:color="auto" w:sz="4" w:space="0"/>
              <w:bottom w:val="single" w:color="auto" w:sz="4" w:space="0"/>
              <w:right w:val="single" w:color="auto" w:sz="4" w:space="0"/>
            </w:tcBorders>
            <w:noWrap w:val="0"/>
            <w:vAlign w:val="center"/>
          </w:tcPr>
          <w:p w14:paraId="48D9449A">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616</w:t>
            </w:r>
          </w:p>
        </w:tc>
      </w:tr>
      <w:tr w14:paraId="66DA7FB8">
        <w:tblPrEx>
          <w:tblCellMar>
            <w:top w:w="15" w:type="dxa"/>
            <w:left w:w="15" w:type="dxa"/>
            <w:bottom w:w="15" w:type="dxa"/>
            <w:right w:w="15" w:type="dxa"/>
          </w:tblCellMar>
        </w:tblPrEx>
        <w:trPr>
          <w:trHeight w:val="283" w:hRule="atLeast"/>
          <w:jc w:val="center"/>
        </w:trPr>
        <w:tc>
          <w:tcPr>
            <w:tcW w:w="1187" w:type="pct"/>
            <w:tcBorders>
              <w:top w:val="single" w:color="auto" w:sz="4" w:space="0"/>
              <w:left w:val="single" w:color="auto" w:sz="4" w:space="0"/>
              <w:bottom w:val="single" w:color="auto" w:sz="4" w:space="0"/>
              <w:right w:val="single" w:color="auto" w:sz="4" w:space="0"/>
            </w:tcBorders>
            <w:noWrap w:val="0"/>
            <w:vAlign w:val="center"/>
          </w:tcPr>
          <w:p w14:paraId="62A3E44E">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反-1,2-二氯乙烯</w:t>
            </w:r>
          </w:p>
        </w:tc>
        <w:tc>
          <w:tcPr>
            <w:tcW w:w="1147" w:type="pct"/>
            <w:tcBorders>
              <w:top w:val="single" w:color="auto" w:sz="4" w:space="0"/>
              <w:left w:val="single" w:color="auto" w:sz="4" w:space="0"/>
              <w:bottom w:val="single" w:color="auto" w:sz="4" w:space="0"/>
              <w:right w:val="single" w:color="auto" w:sz="4" w:space="0"/>
            </w:tcBorders>
            <w:noWrap w:val="0"/>
            <w:vAlign w:val="center"/>
          </w:tcPr>
          <w:p w14:paraId="75490D93">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μ</w:t>
            </w:r>
            <w:r>
              <w:rPr>
                <w:rFonts w:hint="default" w:ascii="Times New Roman" w:hAnsi="Times New Roman" w:cs="Times New Roman"/>
                <w:color w:val="auto"/>
                <w:highlight w:val="none"/>
              </w:rPr>
              <w:t>g/</w:t>
            </w:r>
            <w:r>
              <w:rPr>
                <w:rFonts w:hint="default" w:ascii="Times New Roman" w:hAnsi="Times New Roman" w:cs="Times New Roman"/>
                <w:color w:val="auto"/>
                <w:highlight w:val="none"/>
                <w:lang w:val="en-US" w:eastAsia="zh-CN"/>
              </w:rPr>
              <w:t>kg</w:t>
            </w:r>
          </w:p>
        </w:tc>
        <w:tc>
          <w:tcPr>
            <w:tcW w:w="1250" w:type="pct"/>
            <w:gridSpan w:val="2"/>
            <w:tcBorders>
              <w:top w:val="single" w:color="auto" w:sz="4" w:space="0"/>
              <w:left w:val="single" w:color="auto" w:sz="4" w:space="0"/>
              <w:bottom w:val="single" w:color="auto" w:sz="4" w:space="0"/>
              <w:right w:val="single" w:color="auto" w:sz="4" w:space="0"/>
            </w:tcBorders>
            <w:noWrap w:val="0"/>
            <w:vAlign w:val="center"/>
          </w:tcPr>
          <w:p w14:paraId="44DE2F34">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未检出</w:t>
            </w:r>
          </w:p>
        </w:tc>
        <w:tc>
          <w:tcPr>
            <w:tcW w:w="1414" w:type="pct"/>
            <w:tcBorders>
              <w:top w:val="single" w:color="auto" w:sz="4" w:space="0"/>
              <w:left w:val="single" w:color="auto" w:sz="4" w:space="0"/>
              <w:bottom w:val="single" w:color="auto" w:sz="4" w:space="0"/>
              <w:right w:val="single" w:color="auto" w:sz="4" w:space="0"/>
            </w:tcBorders>
            <w:noWrap w:val="0"/>
            <w:vAlign w:val="center"/>
          </w:tcPr>
          <w:p w14:paraId="3F5DCD04">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54</w:t>
            </w:r>
          </w:p>
        </w:tc>
      </w:tr>
      <w:tr w14:paraId="48E36013">
        <w:tblPrEx>
          <w:tblCellMar>
            <w:top w:w="15" w:type="dxa"/>
            <w:left w:w="15" w:type="dxa"/>
            <w:bottom w:w="15" w:type="dxa"/>
            <w:right w:w="15" w:type="dxa"/>
          </w:tblCellMar>
        </w:tblPrEx>
        <w:trPr>
          <w:trHeight w:val="283" w:hRule="atLeast"/>
          <w:jc w:val="center"/>
        </w:trPr>
        <w:tc>
          <w:tcPr>
            <w:tcW w:w="1187" w:type="pct"/>
            <w:tcBorders>
              <w:top w:val="single" w:color="auto" w:sz="4" w:space="0"/>
              <w:left w:val="single" w:color="auto" w:sz="4" w:space="0"/>
              <w:bottom w:val="single" w:color="auto" w:sz="4" w:space="0"/>
              <w:right w:val="single" w:color="auto" w:sz="4" w:space="0"/>
            </w:tcBorders>
            <w:noWrap w:val="0"/>
            <w:vAlign w:val="center"/>
          </w:tcPr>
          <w:p w14:paraId="64BDFDF5">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1,1-二氯乙烷</w:t>
            </w:r>
          </w:p>
        </w:tc>
        <w:tc>
          <w:tcPr>
            <w:tcW w:w="1147" w:type="pct"/>
            <w:tcBorders>
              <w:top w:val="single" w:color="auto" w:sz="4" w:space="0"/>
              <w:left w:val="single" w:color="auto" w:sz="4" w:space="0"/>
              <w:bottom w:val="single" w:color="auto" w:sz="4" w:space="0"/>
              <w:right w:val="single" w:color="auto" w:sz="4" w:space="0"/>
            </w:tcBorders>
            <w:noWrap w:val="0"/>
            <w:vAlign w:val="center"/>
          </w:tcPr>
          <w:p w14:paraId="1561B136">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μ</w:t>
            </w:r>
            <w:r>
              <w:rPr>
                <w:rFonts w:hint="default" w:ascii="Times New Roman" w:hAnsi="Times New Roman" w:cs="Times New Roman"/>
                <w:color w:val="auto"/>
                <w:highlight w:val="none"/>
              </w:rPr>
              <w:t>g/</w:t>
            </w:r>
            <w:r>
              <w:rPr>
                <w:rFonts w:hint="default" w:ascii="Times New Roman" w:hAnsi="Times New Roman" w:cs="Times New Roman"/>
                <w:color w:val="auto"/>
                <w:highlight w:val="none"/>
                <w:lang w:val="en-US" w:eastAsia="zh-CN"/>
              </w:rPr>
              <w:t>kg</w:t>
            </w:r>
          </w:p>
        </w:tc>
        <w:tc>
          <w:tcPr>
            <w:tcW w:w="1250" w:type="pct"/>
            <w:gridSpan w:val="2"/>
            <w:tcBorders>
              <w:top w:val="single" w:color="auto" w:sz="4" w:space="0"/>
              <w:left w:val="single" w:color="auto" w:sz="4" w:space="0"/>
              <w:bottom w:val="single" w:color="auto" w:sz="4" w:space="0"/>
              <w:right w:val="single" w:color="auto" w:sz="4" w:space="0"/>
            </w:tcBorders>
            <w:noWrap w:val="0"/>
            <w:vAlign w:val="center"/>
          </w:tcPr>
          <w:p w14:paraId="34B57CEC">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未检出</w:t>
            </w:r>
          </w:p>
        </w:tc>
        <w:tc>
          <w:tcPr>
            <w:tcW w:w="1414" w:type="pct"/>
            <w:tcBorders>
              <w:top w:val="single" w:color="auto" w:sz="4" w:space="0"/>
              <w:left w:val="single" w:color="auto" w:sz="4" w:space="0"/>
              <w:bottom w:val="single" w:color="auto" w:sz="4" w:space="0"/>
              <w:right w:val="single" w:color="auto" w:sz="4" w:space="0"/>
            </w:tcBorders>
            <w:noWrap w:val="0"/>
            <w:vAlign w:val="center"/>
          </w:tcPr>
          <w:p w14:paraId="4DA39D6C">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9</w:t>
            </w:r>
          </w:p>
        </w:tc>
      </w:tr>
      <w:tr w14:paraId="509FEE51">
        <w:tblPrEx>
          <w:tblCellMar>
            <w:top w:w="15" w:type="dxa"/>
            <w:left w:w="15" w:type="dxa"/>
            <w:bottom w:w="15" w:type="dxa"/>
            <w:right w:w="15" w:type="dxa"/>
          </w:tblCellMar>
        </w:tblPrEx>
        <w:trPr>
          <w:trHeight w:val="283" w:hRule="atLeast"/>
          <w:jc w:val="center"/>
        </w:trPr>
        <w:tc>
          <w:tcPr>
            <w:tcW w:w="1187" w:type="pct"/>
            <w:tcBorders>
              <w:top w:val="single" w:color="auto" w:sz="4" w:space="0"/>
              <w:left w:val="single" w:color="auto" w:sz="4" w:space="0"/>
              <w:bottom w:val="single" w:color="auto" w:sz="4" w:space="0"/>
              <w:right w:val="single" w:color="auto" w:sz="4" w:space="0"/>
            </w:tcBorders>
            <w:noWrap w:val="0"/>
            <w:vAlign w:val="center"/>
          </w:tcPr>
          <w:p w14:paraId="51791326">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顺-1,2-二氯乙烯</w:t>
            </w:r>
          </w:p>
        </w:tc>
        <w:tc>
          <w:tcPr>
            <w:tcW w:w="1147" w:type="pct"/>
            <w:tcBorders>
              <w:top w:val="single" w:color="auto" w:sz="4" w:space="0"/>
              <w:left w:val="single" w:color="auto" w:sz="4" w:space="0"/>
              <w:bottom w:val="single" w:color="auto" w:sz="4" w:space="0"/>
              <w:right w:val="single" w:color="auto" w:sz="4" w:space="0"/>
            </w:tcBorders>
            <w:noWrap w:val="0"/>
            <w:vAlign w:val="center"/>
          </w:tcPr>
          <w:p w14:paraId="7C291CE9">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μ</w:t>
            </w:r>
            <w:r>
              <w:rPr>
                <w:rFonts w:hint="default" w:ascii="Times New Roman" w:hAnsi="Times New Roman" w:cs="Times New Roman"/>
                <w:color w:val="auto"/>
                <w:highlight w:val="none"/>
              </w:rPr>
              <w:t>g/</w:t>
            </w:r>
            <w:r>
              <w:rPr>
                <w:rFonts w:hint="default" w:ascii="Times New Roman" w:hAnsi="Times New Roman" w:cs="Times New Roman"/>
                <w:color w:val="auto"/>
                <w:highlight w:val="none"/>
                <w:lang w:val="en-US" w:eastAsia="zh-CN"/>
              </w:rPr>
              <w:t>kg</w:t>
            </w:r>
          </w:p>
        </w:tc>
        <w:tc>
          <w:tcPr>
            <w:tcW w:w="1250" w:type="pct"/>
            <w:gridSpan w:val="2"/>
            <w:tcBorders>
              <w:top w:val="single" w:color="auto" w:sz="4" w:space="0"/>
              <w:left w:val="single" w:color="auto" w:sz="4" w:space="0"/>
              <w:bottom w:val="single" w:color="auto" w:sz="4" w:space="0"/>
              <w:right w:val="single" w:color="auto" w:sz="4" w:space="0"/>
            </w:tcBorders>
            <w:noWrap w:val="0"/>
            <w:vAlign w:val="center"/>
          </w:tcPr>
          <w:p w14:paraId="1CF8A323">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未检出</w:t>
            </w:r>
          </w:p>
        </w:tc>
        <w:tc>
          <w:tcPr>
            <w:tcW w:w="1414" w:type="pct"/>
            <w:tcBorders>
              <w:top w:val="single" w:color="auto" w:sz="4" w:space="0"/>
              <w:left w:val="single" w:color="auto" w:sz="4" w:space="0"/>
              <w:bottom w:val="single" w:color="auto" w:sz="4" w:space="0"/>
              <w:right w:val="single" w:color="auto" w:sz="4" w:space="0"/>
            </w:tcBorders>
            <w:noWrap w:val="0"/>
            <w:vAlign w:val="center"/>
          </w:tcPr>
          <w:p w14:paraId="1C0B7975">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596</w:t>
            </w:r>
          </w:p>
        </w:tc>
      </w:tr>
      <w:tr w14:paraId="47C75291">
        <w:tblPrEx>
          <w:tblCellMar>
            <w:top w:w="15" w:type="dxa"/>
            <w:left w:w="15" w:type="dxa"/>
            <w:bottom w:w="15" w:type="dxa"/>
            <w:right w:w="15" w:type="dxa"/>
          </w:tblCellMar>
        </w:tblPrEx>
        <w:trPr>
          <w:trHeight w:val="283" w:hRule="atLeast"/>
          <w:jc w:val="center"/>
        </w:trPr>
        <w:tc>
          <w:tcPr>
            <w:tcW w:w="1187" w:type="pct"/>
            <w:tcBorders>
              <w:top w:val="single" w:color="auto" w:sz="4" w:space="0"/>
              <w:left w:val="single" w:color="auto" w:sz="4" w:space="0"/>
              <w:bottom w:val="single" w:color="auto" w:sz="4" w:space="0"/>
              <w:right w:val="single" w:color="auto" w:sz="4" w:space="0"/>
            </w:tcBorders>
            <w:noWrap w:val="0"/>
            <w:vAlign w:val="center"/>
          </w:tcPr>
          <w:p w14:paraId="63703AE8">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氯仿</w:t>
            </w:r>
          </w:p>
        </w:tc>
        <w:tc>
          <w:tcPr>
            <w:tcW w:w="1147" w:type="pct"/>
            <w:tcBorders>
              <w:top w:val="single" w:color="auto" w:sz="4" w:space="0"/>
              <w:left w:val="single" w:color="auto" w:sz="4" w:space="0"/>
              <w:bottom w:val="single" w:color="auto" w:sz="4" w:space="0"/>
              <w:right w:val="single" w:color="auto" w:sz="4" w:space="0"/>
            </w:tcBorders>
            <w:noWrap w:val="0"/>
            <w:vAlign w:val="center"/>
          </w:tcPr>
          <w:p w14:paraId="28CEDD2C">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μ</w:t>
            </w:r>
            <w:r>
              <w:rPr>
                <w:rFonts w:hint="default" w:ascii="Times New Roman" w:hAnsi="Times New Roman" w:cs="Times New Roman"/>
                <w:color w:val="auto"/>
                <w:highlight w:val="none"/>
              </w:rPr>
              <w:t>g/</w:t>
            </w:r>
            <w:r>
              <w:rPr>
                <w:rFonts w:hint="default" w:ascii="Times New Roman" w:hAnsi="Times New Roman" w:cs="Times New Roman"/>
                <w:color w:val="auto"/>
                <w:highlight w:val="none"/>
                <w:lang w:val="en-US" w:eastAsia="zh-CN"/>
              </w:rPr>
              <w:t>kg</w:t>
            </w:r>
          </w:p>
        </w:tc>
        <w:tc>
          <w:tcPr>
            <w:tcW w:w="1250" w:type="pct"/>
            <w:gridSpan w:val="2"/>
            <w:tcBorders>
              <w:top w:val="single" w:color="auto" w:sz="4" w:space="0"/>
              <w:left w:val="single" w:color="auto" w:sz="4" w:space="0"/>
              <w:bottom w:val="single" w:color="auto" w:sz="4" w:space="0"/>
              <w:right w:val="single" w:color="auto" w:sz="4" w:space="0"/>
            </w:tcBorders>
            <w:noWrap w:val="0"/>
            <w:vAlign w:val="center"/>
          </w:tcPr>
          <w:p w14:paraId="5FC3E5ED">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未检出</w:t>
            </w:r>
          </w:p>
        </w:tc>
        <w:tc>
          <w:tcPr>
            <w:tcW w:w="1414" w:type="pct"/>
            <w:tcBorders>
              <w:top w:val="single" w:color="auto" w:sz="4" w:space="0"/>
              <w:left w:val="single" w:color="auto" w:sz="4" w:space="0"/>
              <w:bottom w:val="single" w:color="auto" w:sz="4" w:space="0"/>
              <w:right w:val="single" w:color="auto" w:sz="4" w:space="0"/>
            </w:tcBorders>
            <w:noWrap w:val="0"/>
            <w:vAlign w:val="center"/>
          </w:tcPr>
          <w:p w14:paraId="76A1796B">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0.9</w:t>
            </w:r>
          </w:p>
        </w:tc>
      </w:tr>
      <w:tr w14:paraId="17A98E29">
        <w:tblPrEx>
          <w:tblCellMar>
            <w:top w:w="15" w:type="dxa"/>
            <w:left w:w="15" w:type="dxa"/>
            <w:bottom w:w="15" w:type="dxa"/>
            <w:right w:w="15" w:type="dxa"/>
          </w:tblCellMar>
        </w:tblPrEx>
        <w:trPr>
          <w:trHeight w:val="283" w:hRule="atLeast"/>
          <w:jc w:val="center"/>
        </w:trPr>
        <w:tc>
          <w:tcPr>
            <w:tcW w:w="1187" w:type="pct"/>
            <w:tcBorders>
              <w:top w:val="single" w:color="auto" w:sz="4" w:space="0"/>
              <w:left w:val="single" w:color="auto" w:sz="4" w:space="0"/>
              <w:bottom w:val="single" w:color="auto" w:sz="4" w:space="0"/>
              <w:right w:val="single" w:color="auto" w:sz="4" w:space="0"/>
            </w:tcBorders>
            <w:noWrap w:val="0"/>
            <w:vAlign w:val="center"/>
          </w:tcPr>
          <w:p w14:paraId="2B11EB9E">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1,1,1-三氯乙烷</w:t>
            </w:r>
          </w:p>
        </w:tc>
        <w:tc>
          <w:tcPr>
            <w:tcW w:w="1147" w:type="pct"/>
            <w:tcBorders>
              <w:top w:val="single" w:color="auto" w:sz="4" w:space="0"/>
              <w:left w:val="single" w:color="auto" w:sz="4" w:space="0"/>
              <w:bottom w:val="single" w:color="auto" w:sz="4" w:space="0"/>
              <w:right w:val="single" w:color="auto" w:sz="4" w:space="0"/>
            </w:tcBorders>
            <w:noWrap w:val="0"/>
            <w:vAlign w:val="center"/>
          </w:tcPr>
          <w:p w14:paraId="3FD7CD9C">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μ</w:t>
            </w:r>
            <w:r>
              <w:rPr>
                <w:rFonts w:hint="default" w:ascii="Times New Roman" w:hAnsi="Times New Roman" w:cs="Times New Roman"/>
                <w:color w:val="auto"/>
                <w:highlight w:val="none"/>
              </w:rPr>
              <w:t>g/</w:t>
            </w:r>
            <w:r>
              <w:rPr>
                <w:rFonts w:hint="default" w:ascii="Times New Roman" w:hAnsi="Times New Roman" w:cs="Times New Roman"/>
                <w:color w:val="auto"/>
                <w:highlight w:val="none"/>
                <w:lang w:val="en-US" w:eastAsia="zh-CN"/>
              </w:rPr>
              <w:t>kg</w:t>
            </w:r>
          </w:p>
        </w:tc>
        <w:tc>
          <w:tcPr>
            <w:tcW w:w="1250" w:type="pct"/>
            <w:gridSpan w:val="2"/>
            <w:tcBorders>
              <w:top w:val="single" w:color="auto" w:sz="4" w:space="0"/>
              <w:left w:val="single" w:color="auto" w:sz="4" w:space="0"/>
              <w:bottom w:val="single" w:color="auto" w:sz="4" w:space="0"/>
              <w:right w:val="single" w:color="auto" w:sz="4" w:space="0"/>
            </w:tcBorders>
            <w:noWrap w:val="0"/>
            <w:vAlign w:val="center"/>
          </w:tcPr>
          <w:p w14:paraId="6C241037">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未检出</w:t>
            </w:r>
          </w:p>
        </w:tc>
        <w:tc>
          <w:tcPr>
            <w:tcW w:w="1414" w:type="pct"/>
            <w:tcBorders>
              <w:top w:val="single" w:color="auto" w:sz="4" w:space="0"/>
              <w:left w:val="single" w:color="auto" w:sz="4" w:space="0"/>
              <w:bottom w:val="single" w:color="auto" w:sz="4" w:space="0"/>
              <w:right w:val="single" w:color="auto" w:sz="4" w:space="0"/>
            </w:tcBorders>
            <w:noWrap w:val="0"/>
            <w:vAlign w:val="center"/>
          </w:tcPr>
          <w:p w14:paraId="22F8956B">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840</w:t>
            </w:r>
          </w:p>
        </w:tc>
      </w:tr>
      <w:tr w14:paraId="6A107649">
        <w:tblPrEx>
          <w:tblCellMar>
            <w:top w:w="15" w:type="dxa"/>
            <w:left w:w="15" w:type="dxa"/>
            <w:bottom w:w="15" w:type="dxa"/>
            <w:right w:w="15" w:type="dxa"/>
          </w:tblCellMar>
        </w:tblPrEx>
        <w:trPr>
          <w:trHeight w:val="283" w:hRule="atLeast"/>
          <w:jc w:val="center"/>
        </w:trPr>
        <w:tc>
          <w:tcPr>
            <w:tcW w:w="1187" w:type="pct"/>
            <w:tcBorders>
              <w:top w:val="single" w:color="auto" w:sz="4" w:space="0"/>
              <w:left w:val="single" w:color="auto" w:sz="4" w:space="0"/>
              <w:bottom w:val="single" w:color="auto" w:sz="4" w:space="0"/>
              <w:right w:val="single" w:color="auto" w:sz="4" w:space="0"/>
            </w:tcBorders>
            <w:noWrap w:val="0"/>
            <w:vAlign w:val="center"/>
          </w:tcPr>
          <w:p w14:paraId="14994393">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四氯化碳</w:t>
            </w:r>
          </w:p>
        </w:tc>
        <w:tc>
          <w:tcPr>
            <w:tcW w:w="1147" w:type="pct"/>
            <w:tcBorders>
              <w:top w:val="single" w:color="auto" w:sz="4" w:space="0"/>
              <w:left w:val="single" w:color="auto" w:sz="4" w:space="0"/>
              <w:bottom w:val="single" w:color="auto" w:sz="4" w:space="0"/>
              <w:right w:val="single" w:color="auto" w:sz="4" w:space="0"/>
            </w:tcBorders>
            <w:noWrap w:val="0"/>
            <w:vAlign w:val="center"/>
          </w:tcPr>
          <w:p w14:paraId="07F53565">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μ</w:t>
            </w:r>
            <w:r>
              <w:rPr>
                <w:rFonts w:hint="default" w:ascii="Times New Roman" w:hAnsi="Times New Roman" w:cs="Times New Roman"/>
                <w:color w:val="auto"/>
                <w:highlight w:val="none"/>
              </w:rPr>
              <w:t>g/</w:t>
            </w:r>
            <w:r>
              <w:rPr>
                <w:rFonts w:hint="default" w:ascii="Times New Roman" w:hAnsi="Times New Roman" w:cs="Times New Roman"/>
                <w:color w:val="auto"/>
                <w:highlight w:val="none"/>
                <w:lang w:val="en-US" w:eastAsia="zh-CN"/>
              </w:rPr>
              <w:t>kg</w:t>
            </w:r>
          </w:p>
        </w:tc>
        <w:tc>
          <w:tcPr>
            <w:tcW w:w="1250" w:type="pct"/>
            <w:gridSpan w:val="2"/>
            <w:tcBorders>
              <w:top w:val="single" w:color="auto" w:sz="4" w:space="0"/>
              <w:left w:val="single" w:color="auto" w:sz="4" w:space="0"/>
              <w:bottom w:val="single" w:color="auto" w:sz="4" w:space="0"/>
              <w:right w:val="single" w:color="auto" w:sz="4" w:space="0"/>
            </w:tcBorders>
            <w:noWrap w:val="0"/>
            <w:vAlign w:val="center"/>
          </w:tcPr>
          <w:p w14:paraId="240520B5">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未检出</w:t>
            </w:r>
          </w:p>
        </w:tc>
        <w:tc>
          <w:tcPr>
            <w:tcW w:w="1414" w:type="pct"/>
            <w:tcBorders>
              <w:top w:val="single" w:color="auto" w:sz="4" w:space="0"/>
              <w:left w:val="single" w:color="auto" w:sz="4" w:space="0"/>
              <w:bottom w:val="single" w:color="auto" w:sz="4" w:space="0"/>
              <w:right w:val="single" w:color="auto" w:sz="4" w:space="0"/>
            </w:tcBorders>
            <w:noWrap w:val="0"/>
            <w:vAlign w:val="center"/>
          </w:tcPr>
          <w:p w14:paraId="58435777">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2.8</w:t>
            </w:r>
          </w:p>
        </w:tc>
      </w:tr>
      <w:tr w14:paraId="49A51C18">
        <w:tblPrEx>
          <w:tblCellMar>
            <w:top w:w="15" w:type="dxa"/>
            <w:left w:w="15" w:type="dxa"/>
            <w:bottom w:w="15" w:type="dxa"/>
            <w:right w:w="15" w:type="dxa"/>
          </w:tblCellMar>
        </w:tblPrEx>
        <w:trPr>
          <w:trHeight w:val="283" w:hRule="atLeast"/>
          <w:jc w:val="center"/>
        </w:trPr>
        <w:tc>
          <w:tcPr>
            <w:tcW w:w="1187" w:type="pct"/>
            <w:tcBorders>
              <w:top w:val="single" w:color="auto" w:sz="4" w:space="0"/>
              <w:left w:val="single" w:color="auto" w:sz="4" w:space="0"/>
              <w:bottom w:val="single" w:color="auto" w:sz="4" w:space="0"/>
              <w:right w:val="single" w:color="auto" w:sz="4" w:space="0"/>
            </w:tcBorders>
            <w:noWrap w:val="0"/>
            <w:vAlign w:val="center"/>
          </w:tcPr>
          <w:p w14:paraId="171A77A7">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1,2-二氯乙烷 </w:t>
            </w:r>
          </w:p>
        </w:tc>
        <w:tc>
          <w:tcPr>
            <w:tcW w:w="1147" w:type="pct"/>
            <w:tcBorders>
              <w:top w:val="single" w:color="auto" w:sz="4" w:space="0"/>
              <w:left w:val="single" w:color="auto" w:sz="4" w:space="0"/>
              <w:bottom w:val="single" w:color="auto" w:sz="4" w:space="0"/>
              <w:right w:val="single" w:color="auto" w:sz="4" w:space="0"/>
            </w:tcBorders>
            <w:noWrap w:val="0"/>
            <w:vAlign w:val="center"/>
          </w:tcPr>
          <w:p w14:paraId="19F0464C">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μ</w:t>
            </w:r>
            <w:r>
              <w:rPr>
                <w:rFonts w:hint="default" w:ascii="Times New Roman" w:hAnsi="Times New Roman" w:cs="Times New Roman"/>
                <w:color w:val="auto"/>
                <w:highlight w:val="none"/>
              </w:rPr>
              <w:t>g/</w:t>
            </w:r>
            <w:r>
              <w:rPr>
                <w:rFonts w:hint="default" w:ascii="Times New Roman" w:hAnsi="Times New Roman" w:cs="Times New Roman"/>
                <w:color w:val="auto"/>
                <w:highlight w:val="none"/>
                <w:lang w:val="en-US" w:eastAsia="zh-CN"/>
              </w:rPr>
              <w:t>kg</w:t>
            </w:r>
          </w:p>
        </w:tc>
        <w:tc>
          <w:tcPr>
            <w:tcW w:w="1250" w:type="pct"/>
            <w:gridSpan w:val="2"/>
            <w:tcBorders>
              <w:top w:val="single" w:color="auto" w:sz="4" w:space="0"/>
              <w:left w:val="single" w:color="auto" w:sz="4" w:space="0"/>
              <w:bottom w:val="single" w:color="auto" w:sz="4" w:space="0"/>
              <w:right w:val="single" w:color="auto" w:sz="4" w:space="0"/>
            </w:tcBorders>
            <w:noWrap w:val="0"/>
            <w:vAlign w:val="center"/>
          </w:tcPr>
          <w:p w14:paraId="0112A390">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未检出</w:t>
            </w:r>
          </w:p>
        </w:tc>
        <w:tc>
          <w:tcPr>
            <w:tcW w:w="1414" w:type="pct"/>
            <w:tcBorders>
              <w:top w:val="single" w:color="auto" w:sz="4" w:space="0"/>
              <w:left w:val="single" w:color="auto" w:sz="4" w:space="0"/>
              <w:bottom w:val="single" w:color="auto" w:sz="4" w:space="0"/>
              <w:right w:val="single" w:color="auto" w:sz="4" w:space="0"/>
            </w:tcBorders>
            <w:noWrap w:val="0"/>
            <w:vAlign w:val="center"/>
          </w:tcPr>
          <w:p w14:paraId="703B0317">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w:t>
            </w:r>
          </w:p>
        </w:tc>
      </w:tr>
      <w:tr w14:paraId="131F59D3">
        <w:tblPrEx>
          <w:tblCellMar>
            <w:top w:w="15" w:type="dxa"/>
            <w:left w:w="15" w:type="dxa"/>
            <w:bottom w:w="15" w:type="dxa"/>
            <w:right w:w="15" w:type="dxa"/>
          </w:tblCellMar>
        </w:tblPrEx>
        <w:trPr>
          <w:trHeight w:val="283" w:hRule="atLeast"/>
          <w:jc w:val="center"/>
        </w:trPr>
        <w:tc>
          <w:tcPr>
            <w:tcW w:w="1187" w:type="pct"/>
            <w:tcBorders>
              <w:top w:val="single" w:color="auto" w:sz="4" w:space="0"/>
              <w:left w:val="single" w:color="auto" w:sz="4" w:space="0"/>
              <w:bottom w:val="single" w:color="auto" w:sz="4" w:space="0"/>
              <w:right w:val="single" w:color="auto" w:sz="4" w:space="0"/>
            </w:tcBorders>
            <w:noWrap w:val="0"/>
            <w:vAlign w:val="center"/>
          </w:tcPr>
          <w:p w14:paraId="7A74AFBE">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苯</w:t>
            </w:r>
          </w:p>
        </w:tc>
        <w:tc>
          <w:tcPr>
            <w:tcW w:w="1147" w:type="pct"/>
            <w:tcBorders>
              <w:top w:val="single" w:color="auto" w:sz="4" w:space="0"/>
              <w:left w:val="single" w:color="auto" w:sz="4" w:space="0"/>
              <w:bottom w:val="single" w:color="auto" w:sz="4" w:space="0"/>
              <w:right w:val="single" w:color="auto" w:sz="4" w:space="0"/>
            </w:tcBorders>
            <w:noWrap w:val="0"/>
            <w:vAlign w:val="center"/>
          </w:tcPr>
          <w:p w14:paraId="63DCDF07">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μ</w:t>
            </w:r>
            <w:r>
              <w:rPr>
                <w:rFonts w:hint="default" w:ascii="Times New Roman" w:hAnsi="Times New Roman" w:cs="Times New Roman"/>
                <w:color w:val="auto"/>
                <w:highlight w:val="none"/>
              </w:rPr>
              <w:t>g/</w:t>
            </w:r>
            <w:r>
              <w:rPr>
                <w:rFonts w:hint="default" w:ascii="Times New Roman" w:hAnsi="Times New Roman" w:cs="Times New Roman"/>
                <w:color w:val="auto"/>
                <w:highlight w:val="none"/>
                <w:lang w:val="en-US" w:eastAsia="zh-CN"/>
              </w:rPr>
              <w:t>kg</w:t>
            </w:r>
          </w:p>
        </w:tc>
        <w:tc>
          <w:tcPr>
            <w:tcW w:w="1250" w:type="pct"/>
            <w:gridSpan w:val="2"/>
            <w:tcBorders>
              <w:top w:val="single" w:color="auto" w:sz="4" w:space="0"/>
              <w:left w:val="single" w:color="auto" w:sz="4" w:space="0"/>
              <w:bottom w:val="single" w:color="auto" w:sz="4" w:space="0"/>
              <w:right w:val="single" w:color="auto" w:sz="4" w:space="0"/>
            </w:tcBorders>
            <w:noWrap w:val="0"/>
            <w:vAlign w:val="center"/>
          </w:tcPr>
          <w:p w14:paraId="7BF66ACE">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未检出</w:t>
            </w:r>
          </w:p>
        </w:tc>
        <w:tc>
          <w:tcPr>
            <w:tcW w:w="1414" w:type="pct"/>
            <w:tcBorders>
              <w:top w:val="single" w:color="auto" w:sz="4" w:space="0"/>
              <w:left w:val="single" w:color="auto" w:sz="4" w:space="0"/>
              <w:bottom w:val="single" w:color="auto" w:sz="4" w:space="0"/>
              <w:right w:val="single" w:color="auto" w:sz="4" w:space="0"/>
            </w:tcBorders>
            <w:noWrap w:val="0"/>
            <w:vAlign w:val="center"/>
          </w:tcPr>
          <w:p w14:paraId="7C97D9E3">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w:t>
            </w:r>
          </w:p>
        </w:tc>
      </w:tr>
      <w:tr w14:paraId="36CAFA90">
        <w:tblPrEx>
          <w:tblCellMar>
            <w:top w:w="15" w:type="dxa"/>
            <w:left w:w="15" w:type="dxa"/>
            <w:bottom w:w="15" w:type="dxa"/>
            <w:right w:w="15" w:type="dxa"/>
          </w:tblCellMar>
        </w:tblPrEx>
        <w:trPr>
          <w:trHeight w:val="283" w:hRule="atLeast"/>
          <w:jc w:val="center"/>
        </w:trPr>
        <w:tc>
          <w:tcPr>
            <w:tcW w:w="1187" w:type="pct"/>
            <w:tcBorders>
              <w:top w:val="single" w:color="auto" w:sz="4" w:space="0"/>
              <w:left w:val="single" w:color="auto" w:sz="4" w:space="0"/>
              <w:bottom w:val="single" w:color="auto" w:sz="4" w:space="0"/>
              <w:right w:val="single" w:color="auto" w:sz="4" w:space="0"/>
            </w:tcBorders>
            <w:noWrap w:val="0"/>
            <w:vAlign w:val="center"/>
          </w:tcPr>
          <w:p w14:paraId="70E37A4A">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三氯乙烯</w:t>
            </w:r>
          </w:p>
        </w:tc>
        <w:tc>
          <w:tcPr>
            <w:tcW w:w="1147" w:type="pct"/>
            <w:tcBorders>
              <w:top w:val="single" w:color="auto" w:sz="4" w:space="0"/>
              <w:left w:val="single" w:color="auto" w:sz="4" w:space="0"/>
              <w:bottom w:val="single" w:color="auto" w:sz="4" w:space="0"/>
              <w:right w:val="single" w:color="auto" w:sz="4" w:space="0"/>
            </w:tcBorders>
            <w:noWrap w:val="0"/>
            <w:vAlign w:val="center"/>
          </w:tcPr>
          <w:p w14:paraId="35E8373F">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μ</w:t>
            </w:r>
            <w:r>
              <w:rPr>
                <w:rFonts w:hint="default" w:ascii="Times New Roman" w:hAnsi="Times New Roman" w:cs="Times New Roman"/>
                <w:color w:val="auto"/>
                <w:highlight w:val="none"/>
              </w:rPr>
              <w:t>g/</w:t>
            </w:r>
            <w:r>
              <w:rPr>
                <w:rFonts w:hint="default" w:ascii="Times New Roman" w:hAnsi="Times New Roman" w:cs="Times New Roman"/>
                <w:color w:val="auto"/>
                <w:highlight w:val="none"/>
                <w:lang w:val="en-US" w:eastAsia="zh-CN"/>
              </w:rPr>
              <w:t>kg</w:t>
            </w:r>
          </w:p>
        </w:tc>
        <w:tc>
          <w:tcPr>
            <w:tcW w:w="1250" w:type="pct"/>
            <w:gridSpan w:val="2"/>
            <w:tcBorders>
              <w:top w:val="single" w:color="auto" w:sz="4" w:space="0"/>
              <w:left w:val="single" w:color="auto" w:sz="4" w:space="0"/>
              <w:bottom w:val="single" w:color="auto" w:sz="4" w:space="0"/>
              <w:right w:val="single" w:color="auto" w:sz="4" w:space="0"/>
            </w:tcBorders>
            <w:noWrap w:val="0"/>
            <w:vAlign w:val="center"/>
          </w:tcPr>
          <w:p w14:paraId="5DC410BF">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未检出</w:t>
            </w:r>
          </w:p>
        </w:tc>
        <w:tc>
          <w:tcPr>
            <w:tcW w:w="1414" w:type="pct"/>
            <w:tcBorders>
              <w:top w:val="single" w:color="auto" w:sz="4" w:space="0"/>
              <w:left w:val="single" w:color="auto" w:sz="4" w:space="0"/>
              <w:bottom w:val="single" w:color="auto" w:sz="4" w:space="0"/>
              <w:right w:val="single" w:color="auto" w:sz="4" w:space="0"/>
            </w:tcBorders>
            <w:noWrap w:val="0"/>
            <w:vAlign w:val="center"/>
          </w:tcPr>
          <w:p w14:paraId="1392CBA5">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2.8</w:t>
            </w:r>
          </w:p>
        </w:tc>
      </w:tr>
      <w:tr w14:paraId="651DD530">
        <w:tblPrEx>
          <w:tblCellMar>
            <w:top w:w="15" w:type="dxa"/>
            <w:left w:w="15" w:type="dxa"/>
            <w:bottom w:w="15" w:type="dxa"/>
            <w:right w:w="15" w:type="dxa"/>
          </w:tblCellMar>
        </w:tblPrEx>
        <w:trPr>
          <w:trHeight w:val="283" w:hRule="atLeast"/>
          <w:jc w:val="center"/>
        </w:trPr>
        <w:tc>
          <w:tcPr>
            <w:tcW w:w="1187" w:type="pct"/>
            <w:tcBorders>
              <w:top w:val="single" w:color="auto" w:sz="4" w:space="0"/>
              <w:left w:val="single" w:color="auto" w:sz="4" w:space="0"/>
              <w:bottom w:val="single" w:color="auto" w:sz="4" w:space="0"/>
              <w:right w:val="single" w:color="auto" w:sz="4" w:space="0"/>
            </w:tcBorders>
            <w:noWrap w:val="0"/>
            <w:vAlign w:val="center"/>
          </w:tcPr>
          <w:p w14:paraId="5D3E851A">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1,2-二氯丙烷</w:t>
            </w:r>
          </w:p>
        </w:tc>
        <w:tc>
          <w:tcPr>
            <w:tcW w:w="1147" w:type="pct"/>
            <w:tcBorders>
              <w:top w:val="single" w:color="auto" w:sz="4" w:space="0"/>
              <w:left w:val="single" w:color="auto" w:sz="4" w:space="0"/>
              <w:bottom w:val="single" w:color="auto" w:sz="4" w:space="0"/>
              <w:right w:val="single" w:color="auto" w:sz="4" w:space="0"/>
            </w:tcBorders>
            <w:noWrap w:val="0"/>
            <w:vAlign w:val="center"/>
          </w:tcPr>
          <w:p w14:paraId="3E65A75C">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μ</w:t>
            </w:r>
            <w:r>
              <w:rPr>
                <w:rFonts w:hint="default" w:ascii="Times New Roman" w:hAnsi="Times New Roman" w:cs="Times New Roman"/>
                <w:color w:val="auto"/>
                <w:highlight w:val="none"/>
              </w:rPr>
              <w:t>g/</w:t>
            </w:r>
            <w:r>
              <w:rPr>
                <w:rFonts w:hint="default" w:ascii="Times New Roman" w:hAnsi="Times New Roman" w:cs="Times New Roman"/>
                <w:color w:val="auto"/>
                <w:highlight w:val="none"/>
                <w:lang w:val="en-US" w:eastAsia="zh-CN"/>
              </w:rPr>
              <w:t>kg</w:t>
            </w:r>
          </w:p>
        </w:tc>
        <w:tc>
          <w:tcPr>
            <w:tcW w:w="1250" w:type="pct"/>
            <w:gridSpan w:val="2"/>
            <w:tcBorders>
              <w:top w:val="single" w:color="auto" w:sz="4" w:space="0"/>
              <w:left w:val="single" w:color="auto" w:sz="4" w:space="0"/>
              <w:bottom w:val="single" w:color="auto" w:sz="4" w:space="0"/>
              <w:right w:val="single" w:color="auto" w:sz="4" w:space="0"/>
            </w:tcBorders>
            <w:noWrap w:val="0"/>
            <w:vAlign w:val="center"/>
          </w:tcPr>
          <w:p w14:paraId="0FFCD7C2">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未检出</w:t>
            </w:r>
          </w:p>
        </w:tc>
        <w:tc>
          <w:tcPr>
            <w:tcW w:w="1414" w:type="pct"/>
            <w:tcBorders>
              <w:top w:val="single" w:color="auto" w:sz="4" w:space="0"/>
              <w:left w:val="single" w:color="auto" w:sz="4" w:space="0"/>
              <w:bottom w:val="single" w:color="auto" w:sz="4" w:space="0"/>
              <w:right w:val="single" w:color="auto" w:sz="4" w:space="0"/>
            </w:tcBorders>
            <w:noWrap w:val="0"/>
            <w:vAlign w:val="center"/>
          </w:tcPr>
          <w:p w14:paraId="612BDECD">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w:t>
            </w:r>
          </w:p>
        </w:tc>
      </w:tr>
      <w:tr w14:paraId="3E6B06C0">
        <w:tblPrEx>
          <w:tblCellMar>
            <w:top w:w="15" w:type="dxa"/>
            <w:left w:w="15" w:type="dxa"/>
            <w:bottom w:w="15" w:type="dxa"/>
            <w:right w:w="15" w:type="dxa"/>
          </w:tblCellMar>
        </w:tblPrEx>
        <w:trPr>
          <w:trHeight w:val="283" w:hRule="atLeast"/>
          <w:jc w:val="center"/>
        </w:trPr>
        <w:tc>
          <w:tcPr>
            <w:tcW w:w="1187" w:type="pct"/>
            <w:tcBorders>
              <w:top w:val="single" w:color="auto" w:sz="4" w:space="0"/>
              <w:left w:val="single" w:color="auto" w:sz="4" w:space="0"/>
              <w:bottom w:val="single" w:color="auto" w:sz="4" w:space="0"/>
              <w:right w:val="single" w:color="auto" w:sz="4" w:space="0"/>
            </w:tcBorders>
            <w:noWrap w:val="0"/>
            <w:vAlign w:val="center"/>
          </w:tcPr>
          <w:p w14:paraId="3827BC17">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甲苯 </w:t>
            </w:r>
          </w:p>
        </w:tc>
        <w:tc>
          <w:tcPr>
            <w:tcW w:w="1147" w:type="pct"/>
            <w:tcBorders>
              <w:top w:val="single" w:color="auto" w:sz="4" w:space="0"/>
              <w:left w:val="single" w:color="auto" w:sz="4" w:space="0"/>
              <w:bottom w:val="single" w:color="auto" w:sz="4" w:space="0"/>
              <w:right w:val="single" w:color="auto" w:sz="4" w:space="0"/>
            </w:tcBorders>
            <w:noWrap w:val="0"/>
            <w:vAlign w:val="center"/>
          </w:tcPr>
          <w:p w14:paraId="63BFACE6">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μ</w:t>
            </w:r>
            <w:r>
              <w:rPr>
                <w:rFonts w:hint="default" w:ascii="Times New Roman" w:hAnsi="Times New Roman" w:cs="Times New Roman"/>
                <w:color w:val="auto"/>
                <w:highlight w:val="none"/>
              </w:rPr>
              <w:t>g/</w:t>
            </w:r>
            <w:r>
              <w:rPr>
                <w:rFonts w:hint="default" w:ascii="Times New Roman" w:hAnsi="Times New Roman" w:cs="Times New Roman"/>
                <w:color w:val="auto"/>
                <w:highlight w:val="none"/>
                <w:lang w:val="en-US" w:eastAsia="zh-CN"/>
              </w:rPr>
              <w:t>kg</w:t>
            </w:r>
          </w:p>
        </w:tc>
        <w:tc>
          <w:tcPr>
            <w:tcW w:w="1250" w:type="pct"/>
            <w:gridSpan w:val="2"/>
            <w:tcBorders>
              <w:top w:val="single" w:color="auto" w:sz="4" w:space="0"/>
              <w:left w:val="single" w:color="auto" w:sz="4" w:space="0"/>
              <w:bottom w:val="single" w:color="auto" w:sz="4" w:space="0"/>
              <w:right w:val="single" w:color="auto" w:sz="4" w:space="0"/>
            </w:tcBorders>
            <w:noWrap w:val="0"/>
            <w:vAlign w:val="center"/>
          </w:tcPr>
          <w:p w14:paraId="2B893D2B">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未检出</w:t>
            </w:r>
          </w:p>
        </w:tc>
        <w:tc>
          <w:tcPr>
            <w:tcW w:w="1414" w:type="pct"/>
            <w:tcBorders>
              <w:top w:val="single" w:color="auto" w:sz="4" w:space="0"/>
              <w:left w:val="single" w:color="auto" w:sz="4" w:space="0"/>
              <w:bottom w:val="single" w:color="auto" w:sz="4" w:space="0"/>
              <w:right w:val="single" w:color="auto" w:sz="4" w:space="0"/>
            </w:tcBorders>
            <w:noWrap w:val="0"/>
            <w:vAlign w:val="center"/>
          </w:tcPr>
          <w:p w14:paraId="2E6E6002">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1200</w:t>
            </w:r>
          </w:p>
        </w:tc>
      </w:tr>
      <w:tr w14:paraId="52BCA9FC">
        <w:tblPrEx>
          <w:tblCellMar>
            <w:top w:w="15" w:type="dxa"/>
            <w:left w:w="15" w:type="dxa"/>
            <w:bottom w:w="15" w:type="dxa"/>
            <w:right w:w="15" w:type="dxa"/>
          </w:tblCellMar>
        </w:tblPrEx>
        <w:trPr>
          <w:trHeight w:val="283" w:hRule="atLeast"/>
          <w:jc w:val="center"/>
        </w:trPr>
        <w:tc>
          <w:tcPr>
            <w:tcW w:w="1187" w:type="pct"/>
            <w:tcBorders>
              <w:top w:val="single" w:color="auto" w:sz="4" w:space="0"/>
              <w:left w:val="single" w:color="auto" w:sz="4" w:space="0"/>
              <w:bottom w:val="single" w:color="auto" w:sz="4" w:space="0"/>
              <w:right w:val="single" w:color="auto" w:sz="4" w:space="0"/>
            </w:tcBorders>
            <w:noWrap w:val="0"/>
            <w:vAlign w:val="center"/>
          </w:tcPr>
          <w:p w14:paraId="3A8D204B">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1,1,2-三氯乙烷</w:t>
            </w:r>
          </w:p>
        </w:tc>
        <w:tc>
          <w:tcPr>
            <w:tcW w:w="1147" w:type="pct"/>
            <w:tcBorders>
              <w:top w:val="single" w:color="auto" w:sz="4" w:space="0"/>
              <w:left w:val="single" w:color="auto" w:sz="4" w:space="0"/>
              <w:bottom w:val="single" w:color="auto" w:sz="4" w:space="0"/>
              <w:right w:val="single" w:color="auto" w:sz="4" w:space="0"/>
            </w:tcBorders>
            <w:noWrap w:val="0"/>
            <w:vAlign w:val="center"/>
          </w:tcPr>
          <w:p w14:paraId="14D2376B">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μ</w:t>
            </w:r>
            <w:r>
              <w:rPr>
                <w:rFonts w:hint="default" w:ascii="Times New Roman" w:hAnsi="Times New Roman" w:cs="Times New Roman"/>
                <w:color w:val="auto"/>
                <w:highlight w:val="none"/>
              </w:rPr>
              <w:t>g/</w:t>
            </w:r>
            <w:r>
              <w:rPr>
                <w:rFonts w:hint="default" w:ascii="Times New Roman" w:hAnsi="Times New Roman" w:cs="Times New Roman"/>
                <w:color w:val="auto"/>
                <w:highlight w:val="none"/>
                <w:lang w:val="en-US" w:eastAsia="zh-CN"/>
              </w:rPr>
              <w:t>kg</w:t>
            </w:r>
          </w:p>
        </w:tc>
        <w:tc>
          <w:tcPr>
            <w:tcW w:w="1250" w:type="pct"/>
            <w:gridSpan w:val="2"/>
            <w:tcBorders>
              <w:top w:val="single" w:color="auto" w:sz="4" w:space="0"/>
              <w:left w:val="single" w:color="auto" w:sz="4" w:space="0"/>
              <w:bottom w:val="single" w:color="auto" w:sz="4" w:space="0"/>
              <w:right w:val="single" w:color="auto" w:sz="4" w:space="0"/>
            </w:tcBorders>
            <w:noWrap w:val="0"/>
            <w:vAlign w:val="center"/>
          </w:tcPr>
          <w:p w14:paraId="381C1C65">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未检出</w:t>
            </w:r>
          </w:p>
        </w:tc>
        <w:tc>
          <w:tcPr>
            <w:tcW w:w="1414" w:type="pct"/>
            <w:tcBorders>
              <w:top w:val="single" w:color="auto" w:sz="4" w:space="0"/>
              <w:left w:val="single" w:color="auto" w:sz="4" w:space="0"/>
              <w:bottom w:val="single" w:color="auto" w:sz="4" w:space="0"/>
              <w:right w:val="single" w:color="auto" w:sz="4" w:space="0"/>
            </w:tcBorders>
            <w:noWrap w:val="0"/>
            <w:vAlign w:val="center"/>
          </w:tcPr>
          <w:p w14:paraId="35BB6CD7">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2.8</w:t>
            </w:r>
          </w:p>
        </w:tc>
      </w:tr>
      <w:tr w14:paraId="2D34EBB8">
        <w:tblPrEx>
          <w:tblCellMar>
            <w:top w:w="15" w:type="dxa"/>
            <w:left w:w="15" w:type="dxa"/>
            <w:bottom w:w="15" w:type="dxa"/>
            <w:right w:w="15" w:type="dxa"/>
          </w:tblCellMar>
        </w:tblPrEx>
        <w:trPr>
          <w:trHeight w:val="283" w:hRule="atLeast"/>
          <w:jc w:val="center"/>
        </w:trPr>
        <w:tc>
          <w:tcPr>
            <w:tcW w:w="1187" w:type="pct"/>
            <w:tcBorders>
              <w:top w:val="single" w:color="auto" w:sz="4" w:space="0"/>
              <w:left w:val="single" w:color="auto" w:sz="4" w:space="0"/>
              <w:bottom w:val="single" w:color="auto" w:sz="4" w:space="0"/>
              <w:right w:val="single" w:color="auto" w:sz="4" w:space="0"/>
            </w:tcBorders>
            <w:noWrap w:val="0"/>
            <w:vAlign w:val="center"/>
          </w:tcPr>
          <w:p w14:paraId="254650EA">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四氯乙烯</w:t>
            </w:r>
          </w:p>
        </w:tc>
        <w:tc>
          <w:tcPr>
            <w:tcW w:w="1147" w:type="pct"/>
            <w:tcBorders>
              <w:top w:val="single" w:color="auto" w:sz="4" w:space="0"/>
              <w:left w:val="single" w:color="auto" w:sz="4" w:space="0"/>
              <w:bottom w:val="single" w:color="auto" w:sz="4" w:space="0"/>
              <w:right w:val="single" w:color="auto" w:sz="4" w:space="0"/>
            </w:tcBorders>
            <w:noWrap w:val="0"/>
            <w:vAlign w:val="center"/>
          </w:tcPr>
          <w:p w14:paraId="1D7B7CFE">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μ</w:t>
            </w:r>
            <w:r>
              <w:rPr>
                <w:rFonts w:hint="default" w:ascii="Times New Roman" w:hAnsi="Times New Roman" w:cs="Times New Roman"/>
                <w:color w:val="auto"/>
                <w:highlight w:val="none"/>
              </w:rPr>
              <w:t>g/</w:t>
            </w:r>
            <w:r>
              <w:rPr>
                <w:rFonts w:hint="default" w:ascii="Times New Roman" w:hAnsi="Times New Roman" w:cs="Times New Roman"/>
                <w:color w:val="auto"/>
                <w:highlight w:val="none"/>
                <w:lang w:val="en-US" w:eastAsia="zh-CN"/>
              </w:rPr>
              <w:t>kg</w:t>
            </w:r>
          </w:p>
        </w:tc>
        <w:tc>
          <w:tcPr>
            <w:tcW w:w="1250" w:type="pct"/>
            <w:gridSpan w:val="2"/>
            <w:tcBorders>
              <w:top w:val="single" w:color="auto" w:sz="4" w:space="0"/>
              <w:left w:val="single" w:color="auto" w:sz="4" w:space="0"/>
              <w:bottom w:val="single" w:color="auto" w:sz="4" w:space="0"/>
              <w:right w:val="single" w:color="auto" w:sz="4" w:space="0"/>
            </w:tcBorders>
            <w:noWrap w:val="0"/>
            <w:vAlign w:val="center"/>
          </w:tcPr>
          <w:p w14:paraId="30CAAD76">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未检出</w:t>
            </w:r>
          </w:p>
        </w:tc>
        <w:tc>
          <w:tcPr>
            <w:tcW w:w="1414" w:type="pct"/>
            <w:tcBorders>
              <w:top w:val="single" w:color="auto" w:sz="4" w:space="0"/>
              <w:left w:val="single" w:color="auto" w:sz="4" w:space="0"/>
              <w:bottom w:val="single" w:color="auto" w:sz="4" w:space="0"/>
              <w:right w:val="single" w:color="auto" w:sz="4" w:space="0"/>
            </w:tcBorders>
            <w:noWrap w:val="0"/>
            <w:vAlign w:val="center"/>
          </w:tcPr>
          <w:p w14:paraId="2D7707B4">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53</w:t>
            </w:r>
          </w:p>
        </w:tc>
      </w:tr>
      <w:tr w14:paraId="26776F32">
        <w:tblPrEx>
          <w:tblCellMar>
            <w:top w:w="15" w:type="dxa"/>
            <w:left w:w="15" w:type="dxa"/>
            <w:bottom w:w="15" w:type="dxa"/>
            <w:right w:w="15" w:type="dxa"/>
          </w:tblCellMar>
        </w:tblPrEx>
        <w:trPr>
          <w:trHeight w:val="283" w:hRule="atLeast"/>
          <w:jc w:val="center"/>
        </w:trPr>
        <w:tc>
          <w:tcPr>
            <w:tcW w:w="1187" w:type="pct"/>
            <w:tcBorders>
              <w:top w:val="single" w:color="auto" w:sz="4" w:space="0"/>
              <w:left w:val="single" w:color="auto" w:sz="4" w:space="0"/>
              <w:bottom w:val="single" w:color="auto" w:sz="4" w:space="0"/>
              <w:right w:val="single" w:color="auto" w:sz="4" w:space="0"/>
            </w:tcBorders>
            <w:noWrap w:val="0"/>
            <w:vAlign w:val="center"/>
          </w:tcPr>
          <w:p w14:paraId="067A0B79">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氯苯</w:t>
            </w:r>
          </w:p>
        </w:tc>
        <w:tc>
          <w:tcPr>
            <w:tcW w:w="1147" w:type="pct"/>
            <w:tcBorders>
              <w:top w:val="single" w:color="auto" w:sz="4" w:space="0"/>
              <w:left w:val="single" w:color="auto" w:sz="4" w:space="0"/>
              <w:bottom w:val="single" w:color="auto" w:sz="4" w:space="0"/>
              <w:right w:val="single" w:color="auto" w:sz="4" w:space="0"/>
            </w:tcBorders>
            <w:noWrap w:val="0"/>
            <w:vAlign w:val="center"/>
          </w:tcPr>
          <w:p w14:paraId="2FF8AB55">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μ</w:t>
            </w:r>
            <w:r>
              <w:rPr>
                <w:rFonts w:hint="default" w:ascii="Times New Roman" w:hAnsi="Times New Roman" w:cs="Times New Roman"/>
                <w:color w:val="auto"/>
                <w:highlight w:val="none"/>
              </w:rPr>
              <w:t>g/</w:t>
            </w:r>
            <w:r>
              <w:rPr>
                <w:rFonts w:hint="default" w:ascii="Times New Roman" w:hAnsi="Times New Roman" w:cs="Times New Roman"/>
                <w:color w:val="auto"/>
                <w:highlight w:val="none"/>
                <w:lang w:val="en-US" w:eastAsia="zh-CN"/>
              </w:rPr>
              <w:t>kg</w:t>
            </w:r>
          </w:p>
        </w:tc>
        <w:tc>
          <w:tcPr>
            <w:tcW w:w="1250" w:type="pct"/>
            <w:gridSpan w:val="2"/>
            <w:tcBorders>
              <w:top w:val="single" w:color="auto" w:sz="4" w:space="0"/>
              <w:left w:val="single" w:color="auto" w:sz="4" w:space="0"/>
              <w:bottom w:val="single" w:color="auto" w:sz="4" w:space="0"/>
              <w:right w:val="single" w:color="auto" w:sz="4" w:space="0"/>
            </w:tcBorders>
            <w:noWrap w:val="0"/>
            <w:vAlign w:val="center"/>
          </w:tcPr>
          <w:p w14:paraId="63903754">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未检出</w:t>
            </w:r>
          </w:p>
        </w:tc>
        <w:tc>
          <w:tcPr>
            <w:tcW w:w="1414" w:type="pct"/>
            <w:tcBorders>
              <w:top w:val="single" w:color="auto" w:sz="4" w:space="0"/>
              <w:left w:val="single" w:color="auto" w:sz="4" w:space="0"/>
              <w:bottom w:val="single" w:color="auto" w:sz="4" w:space="0"/>
              <w:right w:val="single" w:color="auto" w:sz="4" w:space="0"/>
            </w:tcBorders>
            <w:noWrap w:val="0"/>
            <w:vAlign w:val="center"/>
          </w:tcPr>
          <w:p w14:paraId="7D311D60">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270</w:t>
            </w:r>
          </w:p>
        </w:tc>
      </w:tr>
      <w:tr w14:paraId="0E345E09">
        <w:tblPrEx>
          <w:tblCellMar>
            <w:top w:w="15" w:type="dxa"/>
            <w:left w:w="15" w:type="dxa"/>
            <w:bottom w:w="15" w:type="dxa"/>
            <w:right w:w="15" w:type="dxa"/>
          </w:tblCellMar>
        </w:tblPrEx>
        <w:trPr>
          <w:trHeight w:val="283" w:hRule="atLeast"/>
          <w:jc w:val="center"/>
        </w:trPr>
        <w:tc>
          <w:tcPr>
            <w:tcW w:w="1187" w:type="pct"/>
            <w:tcBorders>
              <w:top w:val="single" w:color="auto" w:sz="4" w:space="0"/>
              <w:left w:val="single" w:color="auto" w:sz="4" w:space="0"/>
              <w:bottom w:val="single" w:color="auto" w:sz="4" w:space="0"/>
              <w:right w:val="single" w:color="auto" w:sz="4" w:space="0"/>
            </w:tcBorders>
            <w:noWrap w:val="0"/>
            <w:vAlign w:val="center"/>
          </w:tcPr>
          <w:p w14:paraId="1A2CF94E">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1,1,1,2-四氯乙烷</w:t>
            </w:r>
          </w:p>
        </w:tc>
        <w:tc>
          <w:tcPr>
            <w:tcW w:w="1147" w:type="pct"/>
            <w:tcBorders>
              <w:top w:val="single" w:color="auto" w:sz="4" w:space="0"/>
              <w:left w:val="single" w:color="auto" w:sz="4" w:space="0"/>
              <w:bottom w:val="single" w:color="auto" w:sz="4" w:space="0"/>
              <w:right w:val="single" w:color="auto" w:sz="4" w:space="0"/>
            </w:tcBorders>
            <w:noWrap w:val="0"/>
            <w:vAlign w:val="center"/>
          </w:tcPr>
          <w:p w14:paraId="4942E6FB">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μ</w:t>
            </w:r>
            <w:r>
              <w:rPr>
                <w:rFonts w:hint="default" w:ascii="Times New Roman" w:hAnsi="Times New Roman" w:cs="Times New Roman"/>
                <w:color w:val="auto"/>
                <w:highlight w:val="none"/>
              </w:rPr>
              <w:t>g/</w:t>
            </w:r>
            <w:r>
              <w:rPr>
                <w:rFonts w:hint="default" w:ascii="Times New Roman" w:hAnsi="Times New Roman" w:cs="Times New Roman"/>
                <w:color w:val="auto"/>
                <w:highlight w:val="none"/>
                <w:lang w:val="en-US" w:eastAsia="zh-CN"/>
              </w:rPr>
              <w:t>kg</w:t>
            </w:r>
          </w:p>
        </w:tc>
        <w:tc>
          <w:tcPr>
            <w:tcW w:w="1250" w:type="pct"/>
            <w:gridSpan w:val="2"/>
            <w:tcBorders>
              <w:top w:val="single" w:color="auto" w:sz="4" w:space="0"/>
              <w:left w:val="single" w:color="auto" w:sz="4" w:space="0"/>
              <w:bottom w:val="single" w:color="auto" w:sz="4" w:space="0"/>
              <w:right w:val="single" w:color="auto" w:sz="4" w:space="0"/>
            </w:tcBorders>
            <w:noWrap w:val="0"/>
            <w:vAlign w:val="center"/>
          </w:tcPr>
          <w:p w14:paraId="5DF4328C">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未检出</w:t>
            </w:r>
          </w:p>
        </w:tc>
        <w:tc>
          <w:tcPr>
            <w:tcW w:w="1414" w:type="pct"/>
            <w:tcBorders>
              <w:top w:val="single" w:color="auto" w:sz="4" w:space="0"/>
              <w:left w:val="single" w:color="auto" w:sz="4" w:space="0"/>
              <w:bottom w:val="single" w:color="auto" w:sz="4" w:space="0"/>
              <w:right w:val="single" w:color="auto" w:sz="4" w:space="0"/>
            </w:tcBorders>
            <w:noWrap w:val="0"/>
            <w:vAlign w:val="center"/>
          </w:tcPr>
          <w:p w14:paraId="21B1076E">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10</w:t>
            </w:r>
          </w:p>
        </w:tc>
      </w:tr>
      <w:tr w14:paraId="5BAEA850">
        <w:tblPrEx>
          <w:tblCellMar>
            <w:top w:w="15" w:type="dxa"/>
            <w:left w:w="15" w:type="dxa"/>
            <w:bottom w:w="15" w:type="dxa"/>
            <w:right w:w="15" w:type="dxa"/>
          </w:tblCellMar>
        </w:tblPrEx>
        <w:trPr>
          <w:trHeight w:val="283" w:hRule="atLeast"/>
          <w:jc w:val="center"/>
        </w:trPr>
        <w:tc>
          <w:tcPr>
            <w:tcW w:w="1187" w:type="pct"/>
            <w:tcBorders>
              <w:top w:val="single" w:color="auto" w:sz="4" w:space="0"/>
              <w:left w:val="single" w:color="auto" w:sz="4" w:space="0"/>
              <w:bottom w:val="single" w:color="auto" w:sz="4" w:space="0"/>
              <w:right w:val="single" w:color="auto" w:sz="4" w:space="0"/>
            </w:tcBorders>
            <w:noWrap w:val="0"/>
            <w:vAlign w:val="center"/>
          </w:tcPr>
          <w:p w14:paraId="4D8434B2">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乙苯</w:t>
            </w:r>
          </w:p>
        </w:tc>
        <w:tc>
          <w:tcPr>
            <w:tcW w:w="1147" w:type="pct"/>
            <w:tcBorders>
              <w:top w:val="single" w:color="auto" w:sz="4" w:space="0"/>
              <w:left w:val="single" w:color="auto" w:sz="4" w:space="0"/>
              <w:bottom w:val="single" w:color="auto" w:sz="4" w:space="0"/>
              <w:right w:val="single" w:color="auto" w:sz="4" w:space="0"/>
            </w:tcBorders>
            <w:noWrap w:val="0"/>
            <w:vAlign w:val="center"/>
          </w:tcPr>
          <w:p w14:paraId="3C7402CF">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μ</w:t>
            </w:r>
            <w:r>
              <w:rPr>
                <w:rFonts w:hint="default" w:ascii="Times New Roman" w:hAnsi="Times New Roman" w:cs="Times New Roman"/>
                <w:color w:val="auto"/>
                <w:highlight w:val="none"/>
              </w:rPr>
              <w:t>g/</w:t>
            </w:r>
            <w:r>
              <w:rPr>
                <w:rFonts w:hint="default" w:ascii="Times New Roman" w:hAnsi="Times New Roman" w:cs="Times New Roman"/>
                <w:color w:val="auto"/>
                <w:highlight w:val="none"/>
                <w:lang w:val="en-US" w:eastAsia="zh-CN"/>
              </w:rPr>
              <w:t>kg</w:t>
            </w:r>
          </w:p>
        </w:tc>
        <w:tc>
          <w:tcPr>
            <w:tcW w:w="1250" w:type="pct"/>
            <w:gridSpan w:val="2"/>
            <w:tcBorders>
              <w:top w:val="single" w:color="auto" w:sz="4" w:space="0"/>
              <w:left w:val="single" w:color="auto" w:sz="4" w:space="0"/>
              <w:bottom w:val="single" w:color="auto" w:sz="4" w:space="0"/>
              <w:right w:val="single" w:color="auto" w:sz="4" w:space="0"/>
            </w:tcBorders>
            <w:noWrap w:val="0"/>
            <w:vAlign w:val="center"/>
          </w:tcPr>
          <w:p w14:paraId="7EF3AEA8">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未检出</w:t>
            </w:r>
          </w:p>
        </w:tc>
        <w:tc>
          <w:tcPr>
            <w:tcW w:w="1414" w:type="pct"/>
            <w:tcBorders>
              <w:top w:val="single" w:color="auto" w:sz="4" w:space="0"/>
              <w:left w:val="single" w:color="auto" w:sz="4" w:space="0"/>
              <w:bottom w:val="single" w:color="auto" w:sz="4" w:space="0"/>
              <w:right w:val="single" w:color="auto" w:sz="4" w:space="0"/>
            </w:tcBorders>
            <w:noWrap w:val="0"/>
            <w:vAlign w:val="center"/>
          </w:tcPr>
          <w:p w14:paraId="2410C8A5">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28</w:t>
            </w:r>
          </w:p>
        </w:tc>
      </w:tr>
      <w:tr w14:paraId="4DCA6744">
        <w:tblPrEx>
          <w:tblCellMar>
            <w:top w:w="15" w:type="dxa"/>
            <w:left w:w="15" w:type="dxa"/>
            <w:bottom w:w="15" w:type="dxa"/>
            <w:right w:w="15" w:type="dxa"/>
          </w:tblCellMar>
        </w:tblPrEx>
        <w:trPr>
          <w:trHeight w:val="283" w:hRule="atLeast"/>
          <w:jc w:val="center"/>
        </w:trPr>
        <w:tc>
          <w:tcPr>
            <w:tcW w:w="1187" w:type="pct"/>
            <w:tcBorders>
              <w:top w:val="single" w:color="auto" w:sz="4" w:space="0"/>
              <w:left w:val="single" w:color="auto" w:sz="4" w:space="0"/>
              <w:bottom w:val="single" w:color="auto" w:sz="4" w:space="0"/>
              <w:right w:val="single" w:color="auto" w:sz="4" w:space="0"/>
            </w:tcBorders>
            <w:noWrap w:val="0"/>
            <w:vAlign w:val="center"/>
          </w:tcPr>
          <w:p w14:paraId="5E041C0E">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间,对-二甲苯</w:t>
            </w:r>
          </w:p>
        </w:tc>
        <w:tc>
          <w:tcPr>
            <w:tcW w:w="1147" w:type="pct"/>
            <w:tcBorders>
              <w:top w:val="single" w:color="auto" w:sz="4" w:space="0"/>
              <w:left w:val="single" w:color="auto" w:sz="4" w:space="0"/>
              <w:bottom w:val="single" w:color="auto" w:sz="4" w:space="0"/>
              <w:right w:val="single" w:color="auto" w:sz="4" w:space="0"/>
            </w:tcBorders>
            <w:noWrap w:val="0"/>
            <w:vAlign w:val="center"/>
          </w:tcPr>
          <w:p w14:paraId="7DF02DE1">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μ</w:t>
            </w:r>
            <w:r>
              <w:rPr>
                <w:rFonts w:hint="default" w:ascii="Times New Roman" w:hAnsi="Times New Roman" w:cs="Times New Roman"/>
                <w:color w:val="auto"/>
                <w:highlight w:val="none"/>
              </w:rPr>
              <w:t>g/</w:t>
            </w:r>
            <w:r>
              <w:rPr>
                <w:rFonts w:hint="default" w:ascii="Times New Roman" w:hAnsi="Times New Roman" w:cs="Times New Roman"/>
                <w:color w:val="auto"/>
                <w:highlight w:val="none"/>
                <w:lang w:val="en-US" w:eastAsia="zh-CN"/>
              </w:rPr>
              <w:t>kg</w:t>
            </w:r>
          </w:p>
        </w:tc>
        <w:tc>
          <w:tcPr>
            <w:tcW w:w="1250" w:type="pct"/>
            <w:gridSpan w:val="2"/>
            <w:tcBorders>
              <w:top w:val="single" w:color="auto" w:sz="4" w:space="0"/>
              <w:left w:val="single" w:color="auto" w:sz="4" w:space="0"/>
              <w:bottom w:val="single" w:color="auto" w:sz="4" w:space="0"/>
              <w:right w:val="single" w:color="auto" w:sz="4" w:space="0"/>
            </w:tcBorders>
            <w:noWrap w:val="0"/>
            <w:vAlign w:val="center"/>
          </w:tcPr>
          <w:p w14:paraId="4EFE30E5">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未检出</w:t>
            </w:r>
          </w:p>
        </w:tc>
        <w:tc>
          <w:tcPr>
            <w:tcW w:w="1414" w:type="pct"/>
            <w:tcBorders>
              <w:top w:val="single" w:color="auto" w:sz="4" w:space="0"/>
              <w:left w:val="single" w:color="auto" w:sz="4" w:space="0"/>
              <w:bottom w:val="single" w:color="auto" w:sz="4" w:space="0"/>
              <w:right w:val="single" w:color="auto" w:sz="4" w:space="0"/>
            </w:tcBorders>
            <w:noWrap w:val="0"/>
            <w:vAlign w:val="center"/>
          </w:tcPr>
          <w:p w14:paraId="7320198C">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570</w:t>
            </w:r>
          </w:p>
        </w:tc>
      </w:tr>
      <w:tr w14:paraId="149D2A82">
        <w:tblPrEx>
          <w:tblCellMar>
            <w:top w:w="15" w:type="dxa"/>
            <w:left w:w="15" w:type="dxa"/>
            <w:bottom w:w="15" w:type="dxa"/>
            <w:right w:w="15" w:type="dxa"/>
          </w:tblCellMar>
        </w:tblPrEx>
        <w:trPr>
          <w:trHeight w:val="283" w:hRule="atLeast"/>
          <w:jc w:val="center"/>
        </w:trPr>
        <w:tc>
          <w:tcPr>
            <w:tcW w:w="1187" w:type="pct"/>
            <w:tcBorders>
              <w:top w:val="single" w:color="auto" w:sz="4" w:space="0"/>
              <w:left w:val="single" w:color="auto" w:sz="4" w:space="0"/>
              <w:bottom w:val="single" w:color="auto" w:sz="4" w:space="0"/>
              <w:right w:val="single" w:color="auto" w:sz="4" w:space="0"/>
            </w:tcBorders>
            <w:noWrap w:val="0"/>
            <w:vAlign w:val="center"/>
          </w:tcPr>
          <w:p w14:paraId="6CDC643D">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邻-二甲苯 </w:t>
            </w:r>
          </w:p>
        </w:tc>
        <w:tc>
          <w:tcPr>
            <w:tcW w:w="1147" w:type="pct"/>
            <w:tcBorders>
              <w:top w:val="single" w:color="auto" w:sz="4" w:space="0"/>
              <w:left w:val="single" w:color="auto" w:sz="4" w:space="0"/>
              <w:bottom w:val="single" w:color="auto" w:sz="4" w:space="0"/>
              <w:right w:val="single" w:color="auto" w:sz="4" w:space="0"/>
            </w:tcBorders>
            <w:noWrap w:val="0"/>
            <w:vAlign w:val="center"/>
          </w:tcPr>
          <w:p w14:paraId="3E455B85">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μ</w:t>
            </w:r>
            <w:r>
              <w:rPr>
                <w:rFonts w:hint="default" w:ascii="Times New Roman" w:hAnsi="Times New Roman" w:cs="Times New Roman"/>
                <w:color w:val="auto"/>
                <w:highlight w:val="none"/>
              </w:rPr>
              <w:t>g/</w:t>
            </w:r>
            <w:r>
              <w:rPr>
                <w:rFonts w:hint="default" w:ascii="Times New Roman" w:hAnsi="Times New Roman" w:cs="Times New Roman"/>
                <w:color w:val="auto"/>
                <w:highlight w:val="none"/>
                <w:lang w:val="en-US" w:eastAsia="zh-CN"/>
              </w:rPr>
              <w:t>kg</w:t>
            </w:r>
          </w:p>
        </w:tc>
        <w:tc>
          <w:tcPr>
            <w:tcW w:w="1250" w:type="pct"/>
            <w:gridSpan w:val="2"/>
            <w:tcBorders>
              <w:top w:val="single" w:color="auto" w:sz="4" w:space="0"/>
              <w:left w:val="single" w:color="auto" w:sz="4" w:space="0"/>
              <w:bottom w:val="single" w:color="auto" w:sz="4" w:space="0"/>
              <w:right w:val="single" w:color="auto" w:sz="4" w:space="0"/>
            </w:tcBorders>
            <w:noWrap w:val="0"/>
            <w:vAlign w:val="center"/>
          </w:tcPr>
          <w:p w14:paraId="7BF84370">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未检出</w:t>
            </w:r>
          </w:p>
        </w:tc>
        <w:tc>
          <w:tcPr>
            <w:tcW w:w="1414" w:type="pct"/>
            <w:tcBorders>
              <w:top w:val="single" w:color="auto" w:sz="4" w:space="0"/>
              <w:left w:val="single" w:color="auto" w:sz="4" w:space="0"/>
              <w:bottom w:val="single" w:color="auto" w:sz="4" w:space="0"/>
              <w:right w:val="single" w:color="auto" w:sz="4" w:space="0"/>
            </w:tcBorders>
            <w:noWrap w:val="0"/>
            <w:vAlign w:val="center"/>
          </w:tcPr>
          <w:p w14:paraId="7D51036A">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640</w:t>
            </w:r>
          </w:p>
        </w:tc>
      </w:tr>
      <w:tr w14:paraId="6D69E4E2">
        <w:tblPrEx>
          <w:tblCellMar>
            <w:top w:w="15" w:type="dxa"/>
            <w:left w:w="15" w:type="dxa"/>
            <w:bottom w:w="15" w:type="dxa"/>
            <w:right w:w="15" w:type="dxa"/>
          </w:tblCellMar>
        </w:tblPrEx>
        <w:trPr>
          <w:trHeight w:val="283" w:hRule="atLeast"/>
          <w:jc w:val="center"/>
        </w:trPr>
        <w:tc>
          <w:tcPr>
            <w:tcW w:w="1187" w:type="pct"/>
            <w:tcBorders>
              <w:top w:val="single" w:color="auto" w:sz="4" w:space="0"/>
              <w:left w:val="single" w:color="auto" w:sz="4" w:space="0"/>
              <w:bottom w:val="single" w:color="auto" w:sz="4" w:space="0"/>
              <w:right w:val="single" w:color="auto" w:sz="4" w:space="0"/>
            </w:tcBorders>
            <w:noWrap w:val="0"/>
            <w:vAlign w:val="center"/>
          </w:tcPr>
          <w:p w14:paraId="743816E3">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苯乙烯</w:t>
            </w:r>
          </w:p>
        </w:tc>
        <w:tc>
          <w:tcPr>
            <w:tcW w:w="1147" w:type="pct"/>
            <w:tcBorders>
              <w:top w:val="single" w:color="auto" w:sz="4" w:space="0"/>
              <w:left w:val="single" w:color="auto" w:sz="4" w:space="0"/>
              <w:bottom w:val="single" w:color="auto" w:sz="4" w:space="0"/>
              <w:right w:val="single" w:color="auto" w:sz="4" w:space="0"/>
            </w:tcBorders>
            <w:noWrap w:val="0"/>
            <w:vAlign w:val="center"/>
          </w:tcPr>
          <w:p w14:paraId="64221613">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μ</w:t>
            </w:r>
            <w:r>
              <w:rPr>
                <w:rFonts w:hint="default" w:ascii="Times New Roman" w:hAnsi="Times New Roman" w:cs="Times New Roman"/>
                <w:color w:val="auto"/>
                <w:highlight w:val="none"/>
              </w:rPr>
              <w:t>g/</w:t>
            </w:r>
            <w:r>
              <w:rPr>
                <w:rFonts w:hint="default" w:ascii="Times New Roman" w:hAnsi="Times New Roman" w:cs="Times New Roman"/>
                <w:color w:val="auto"/>
                <w:highlight w:val="none"/>
                <w:lang w:val="en-US" w:eastAsia="zh-CN"/>
              </w:rPr>
              <w:t>kg</w:t>
            </w:r>
          </w:p>
        </w:tc>
        <w:tc>
          <w:tcPr>
            <w:tcW w:w="1250" w:type="pct"/>
            <w:gridSpan w:val="2"/>
            <w:tcBorders>
              <w:top w:val="single" w:color="auto" w:sz="4" w:space="0"/>
              <w:left w:val="single" w:color="auto" w:sz="4" w:space="0"/>
              <w:bottom w:val="single" w:color="auto" w:sz="4" w:space="0"/>
              <w:right w:val="single" w:color="auto" w:sz="4" w:space="0"/>
            </w:tcBorders>
            <w:noWrap w:val="0"/>
            <w:vAlign w:val="center"/>
          </w:tcPr>
          <w:p w14:paraId="03E1A1D0">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未检出</w:t>
            </w:r>
          </w:p>
        </w:tc>
        <w:tc>
          <w:tcPr>
            <w:tcW w:w="1414" w:type="pct"/>
            <w:tcBorders>
              <w:top w:val="single" w:color="auto" w:sz="4" w:space="0"/>
              <w:left w:val="single" w:color="auto" w:sz="4" w:space="0"/>
              <w:bottom w:val="single" w:color="auto" w:sz="4" w:space="0"/>
              <w:right w:val="single" w:color="auto" w:sz="4" w:space="0"/>
            </w:tcBorders>
            <w:noWrap w:val="0"/>
            <w:vAlign w:val="center"/>
          </w:tcPr>
          <w:p w14:paraId="44436ACA">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1290</w:t>
            </w:r>
          </w:p>
        </w:tc>
      </w:tr>
      <w:tr w14:paraId="1274EC11">
        <w:tblPrEx>
          <w:tblCellMar>
            <w:top w:w="15" w:type="dxa"/>
            <w:left w:w="15" w:type="dxa"/>
            <w:bottom w:w="15" w:type="dxa"/>
            <w:right w:w="15" w:type="dxa"/>
          </w:tblCellMar>
        </w:tblPrEx>
        <w:trPr>
          <w:trHeight w:val="283" w:hRule="atLeast"/>
          <w:jc w:val="center"/>
        </w:trPr>
        <w:tc>
          <w:tcPr>
            <w:tcW w:w="1187" w:type="pct"/>
            <w:tcBorders>
              <w:top w:val="single" w:color="auto" w:sz="4" w:space="0"/>
              <w:left w:val="single" w:color="auto" w:sz="4" w:space="0"/>
              <w:bottom w:val="single" w:color="auto" w:sz="4" w:space="0"/>
              <w:right w:val="single" w:color="auto" w:sz="4" w:space="0"/>
            </w:tcBorders>
            <w:noWrap w:val="0"/>
            <w:vAlign w:val="center"/>
          </w:tcPr>
          <w:p w14:paraId="7CD9F31D">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1,1,2,2-四氯乙烷</w:t>
            </w:r>
          </w:p>
        </w:tc>
        <w:tc>
          <w:tcPr>
            <w:tcW w:w="1147" w:type="pct"/>
            <w:tcBorders>
              <w:top w:val="single" w:color="auto" w:sz="4" w:space="0"/>
              <w:left w:val="single" w:color="auto" w:sz="4" w:space="0"/>
              <w:bottom w:val="single" w:color="auto" w:sz="4" w:space="0"/>
              <w:right w:val="single" w:color="auto" w:sz="4" w:space="0"/>
            </w:tcBorders>
            <w:noWrap w:val="0"/>
            <w:vAlign w:val="center"/>
          </w:tcPr>
          <w:p w14:paraId="13A3C140">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μ</w:t>
            </w:r>
            <w:r>
              <w:rPr>
                <w:rFonts w:hint="default" w:ascii="Times New Roman" w:hAnsi="Times New Roman" w:cs="Times New Roman"/>
                <w:color w:val="auto"/>
                <w:highlight w:val="none"/>
              </w:rPr>
              <w:t>g/</w:t>
            </w:r>
            <w:r>
              <w:rPr>
                <w:rFonts w:hint="default" w:ascii="Times New Roman" w:hAnsi="Times New Roman" w:cs="Times New Roman"/>
                <w:color w:val="auto"/>
                <w:highlight w:val="none"/>
                <w:lang w:val="en-US" w:eastAsia="zh-CN"/>
              </w:rPr>
              <w:t>kg</w:t>
            </w:r>
          </w:p>
        </w:tc>
        <w:tc>
          <w:tcPr>
            <w:tcW w:w="1250" w:type="pct"/>
            <w:gridSpan w:val="2"/>
            <w:tcBorders>
              <w:top w:val="single" w:color="auto" w:sz="4" w:space="0"/>
              <w:left w:val="single" w:color="auto" w:sz="4" w:space="0"/>
              <w:bottom w:val="single" w:color="auto" w:sz="4" w:space="0"/>
              <w:right w:val="single" w:color="auto" w:sz="4" w:space="0"/>
            </w:tcBorders>
            <w:noWrap w:val="0"/>
            <w:vAlign w:val="center"/>
          </w:tcPr>
          <w:p w14:paraId="6846A151">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未检出</w:t>
            </w:r>
          </w:p>
        </w:tc>
        <w:tc>
          <w:tcPr>
            <w:tcW w:w="1414" w:type="pct"/>
            <w:tcBorders>
              <w:top w:val="single" w:color="auto" w:sz="4" w:space="0"/>
              <w:left w:val="single" w:color="auto" w:sz="4" w:space="0"/>
              <w:bottom w:val="single" w:color="auto" w:sz="4" w:space="0"/>
              <w:right w:val="single" w:color="auto" w:sz="4" w:space="0"/>
            </w:tcBorders>
            <w:noWrap w:val="0"/>
            <w:vAlign w:val="center"/>
          </w:tcPr>
          <w:p w14:paraId="64741A5D">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6.8</w:t>
            </w:r>
          </w:p>
        </w:tc>
      </w:tr>
      <w:tr w14:paraId="1C7C024B">
        <w:tblPrEx>
          <w:tblCellMar>
            <w:top w:w="15" w:type="dxa"/>
            <w:left w:w="15" w:type="dxa"/>
            <w:bottom w:w="15" w:type="dxa"/>
            <w:right w:w="15" w:type="dxa"/>
          </w:tblCellMar>
        </w:tblPrEx>
        <w:trPr>
          <w:trHeight w:val="283" w:hRule="atLeast"/>
          <w:jc w:val="center"/>
        </w:trPr>
        <w:tc>
          <w:tcPr>
            <w:tcW w:w="1187" w:type="pct"/>
            <w:tcBorders>
              <w:top w:val="single" w:color="auto" w:sz="4" w:space="0"/>
              <w:left w:val="single" w:color="auto" w:sz="4" w:space="0"/>
              <w:bottom w:val="single" w:color="auto" w:sz="4" w:space="0"/>
              <w:right w:val="single" w:color="auto" w:sz="4" w:space="0"/>
            </w:tcBorders>
            <w:noWrap w:val="0"/>
            <w:vAlign w:val="center"/>
          </w:tcPr>
          <w:p w14:paraId="343D1F0A">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1,2,3-三氯丙烷</w:t>
            </w:r>
          </w:p>
        </w:tc>
        <w:tc>
          <w:tcPr>
            <w:tcW w:w="1147" w:type="pct"/>
            <w:tcBorders>
              <w:top w:val="single" w:color="auto" w:sz="4" w:space="0"/>
              <w:left w:val="single" w:color="auto" w:sz="4" w:space="0"/>
              <w:bottom w:val="single" w:color="auto" w:sz="4" w:space="0"/>
              <w:right w:val="single" w:color="auto" w:sz="4" w:space="0"/>
            </w:tcBorders>
            <w:noWrap w:val="0"/>
            <w:vAlign w:val="center"/>
          </w:tcPr>
          <w:p w14:paraId="2C38863E">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μ</w:t>
            </w:r>
            <w:r>
              <w:rPr>
                <w:rFonts w:hint="default" w:ascii="Times New Roman" w:hAnsi="Times New Roman" w:cs="Times New Roman"/>
                <w:color w:val="auto"/>
                <w:highlight w:val="none"/>
              </w:rPr>
              <w:t>g/</w:t>
            </w:r>
            <w:r>
              <w:rPr>
                <w:rFonts w:hint="default" w:ascii="Times New Roman" w:hAnsi="Times New Roman" w:cs="Times New Roman"/>
                <w:color w:val="auto"/>
                <w:highlight w:val="none"/>
                <w:lang w:val="en-US" w:eastAsia="zh-CN"/>
              </w:rPr>
              <w:t>kg</w:t>
            </w:r>
          </w:p>
        </w:tc>
        <w:tc>
          <w:tcPr>
            <w:tcW w:w="1250" w:type="pct"/>
            <w:gridSpan w:val="2"/>
            <w:tcBorders>
              <w:top w:val="single" w:color="auto" w:sz="4" w:space="0"/>
              <w:left w:val="single" w:color="auto" w:sz="4" w:space="0"/>
              <w:bottom w:val="single" w:color="auto" w:sz="4" w:space="0"/>
              <w:right w:val="single" w:color="auto" w:sz="4" w:space="0"/>
            </w:tcBorders>
            <w:noWrap w:val="0"/>
            <w:vAlign w:val="center"/>
          </w:tcPr>
          <w:p w14:paraId="4540AC1F">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未检出</w:t>
            </w:r>
          </w:p>
        </w:tc>
        <w:tc>
          <w:tcPr>
            <w:tcW w:w="1414" w:type="pct"/>
            <w:tcBorders>
              <w:top w:val="single" w:color="auto" w:sz="4" w:space="0"/>
              <w:left w:val="single" w:color="auto" w:sz="4" w:space="0"/>
              <w:bottom w:val="single" w:color="auto" w:sz="4" w:space="0"/>
              <w:right w:val="single" w:color="auto" w:sz="4" w:space="0"/>
            </w:tcBorders>
            <w:noWrap w:val="0"/>
            <w:vAlign w:val="center"/>
          </w:tcPr>
          <w:p w14:paraId="5AA4BAC6">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0.5</w:t>
            </w:r>
          </w:p>
        </w:tc>
      </w:tr>
      <w:tr w14:paraId="62719609">
        <w:tblPrEx>
          <w:tblCellMar>
            <w:top w:w="15" w:type="dxa"/>
            <w:left w:w="15" w:type="dxa"/>
            <w:bottom w:w="15" w:type="dxa"/>
            <w:right w:w="15" w:type="dxa"/>
          </w:tblCellMar>
        </w:tblPrEx>
        <w:trPr>
          <w:trHeight w:val="283" w:hRule="atLeast"/>
          <w:jc w:val="center"/>
        </w:trPr>
        <w:tc>
          <w:tcPr>
            <w:tcW w:w="1187" w:type="pct"/>
            <w:tcBorders>
              <w:top w:val="single" w:color="auto" w:sz="4" w:space="0"/>
              <w:left w:val="single" w:color="auto" w:sz="4" w:space="0"/>
              <w:bottom w:val="single" w:color="auto" w:sz="4" w:space="0"/>
              <w:right w:val="single" w:color="auto" w:sz="4" w:space="0"/>
            </w:tcBorders>
            <w:noWrap w:val="0"/>
            <w:vAlign w:val="center"/>
          </w:tcPr>
          <w:p w14:paraId="3FF4F995">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1,4-二氯苯</w:t>
            </w:r>
          </w:p>
        </w:tc>
        <w:tc>
          <w:tcPr>
            <w:tcW w:w="1147" w:type="pct"/>
            <w:tcBorders>
              <w:top w:val="single" w:color="auto" w:sz="4" w:space="0"/>
              <w:left w:val="single" w:color="auto" w:sz="4" w:space="0"/>
              <w:bottom w:val="single" w:color="auto" w:sz="4" w:space="0"/>
              <w:right w:val="single" w:color="auto" w:sz="4" w:space="0"/>
            </w:tcBorders>
            <w:noWrap w:val="0"/>
            <w:vAlign w:val="center"/>
          </w:tcPr>
          <w:p w14:paraId="6B1C3D8F">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μ</w:t>
            </w:r>
            <w:r>
              <w:rPr>
                <w:rFonts w:hint="default" w:ascii="Times New Roman" w:hAnsi="Times New Roman" w:cs="Times New Roman"/>
                <w:color w:val="auto"/>
                <w:highlight w:val="none"/>
              </w:rPr>
              <w:t>g/</w:t>
            </w:r>
            <w:r>
              <w:rPr>
                <w:rFonts w:hint="default" w:ascii="Times New Roman" w:hAnsi="Times New Roman" w:cs="Times New Roman"/>
                <w:color w:val="auto"/>
                <w:highlight w:val="none"/>
                <w:lang w:val="en-US" w:eastAsia="zh-CN"/>
              </w:rPr>
              <w:t>kg</w:t>
            </w:r>
          </w:p>
        </w:tc>
        <w:tc>
          <w:tcPr>
            <w:tcW w:w="1250" w:type="pct"/>
            <w:gridSpan w:val="2"/>
            <w:tcBorders>
              <w:top w:val="single" w:color="auto" w:sz="4" w:space="0"/>
              <w:left w:val="single" w:color="auto" w:sz="4" w:space="0"/>
              <w:bottom w:val="single" w:color="auto" w:sz="4" w:space="0"/>
              <w:right w:val="single" w:color="auto" w:sz="4" w:space="0"/>
            </w:tcBorders>
            <w:noWrap w:val="0"/>
            <w:vAlign w:val="center"/>
          </w:tcPr>
          <w:p w14:paraId="10A80B92">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未检出</w:t>
            </w:r>
          </w:p>
        </w:tc>
        <w:tc>
          <w:tcPr>
            <w:tcW w:w="1414" w:type="pct"/>
            <w:tcBorders>
              <w:top w:val="single" w:color="auto" w:sz="4" w:space="0"/>
              <w:left w:val="single" w:color="auto" w:sz="4" w:space="0"/>
              <w:bottom w:val="single" w:color="auto" w:sz="4" w:space="0"/>
              <w:right w:val="single" w:color="auto" w:sz="4" w:space="0"/>
            </w:tcBorders>
            <w:noWrap w:val="0"/>
            <w:vAlign w:val="center"/>
          </w:tcPr>
          <w:p w14:paraId="4D3BC3A9">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20</w:t>
            </w:r>
          </w:p>
        </w:tc>
      </w:tr>
      <w:tr w14:paraId="35C63EF2">
        <w:tblPrEx>
          <w:tblCellMar>
            <w:top w:w="15" w:type="dxa"/>
            <w:left w:w="15" w:type="dxa"/>
            <w:bottom w:w="15" w:type="dxa"/>
            <w:right w:w="15" w:type="dxa"/>
          </w:tblCellMar>
        </w:tblPrEx>
        <w:trPr>
          <w:trHeight w:val="283" w:hRule="atLeast"/>
          <w:jc w:val="center"/>
        </w:trPr>
        <w:tc>
          <w:tcPr>
            <w:tcW w:w="1187" w:type="pct"/>
            <w:tcBorders>
              <w:top w:val="single" w:color="auto" w:sz="4" w:space="0"/>
              <w:left w:val="single" w:color="auto" w:sz="4" w:space="0"/>
              <w:bottom w:val="single" w:color="auto" w:sz="4" w:space="0"/>
              <w:right w:val="single" w:color="auto" w:sz="4" w:space="0"/>
            </w:tcBorders>
            <w:noWrap w:val="0"/>
            <w:vAlign w:val="center"/>
          </w:tcPr>
          <w:p w14:paraId="64C505E7">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1,2-二氯苯</w:t>
            </w:r>
          </w:p>
        </w:tc>
        <w:tc>
          <w:tcPr>
            <w:tcW w:w="1147" w:type="pct"/>
            <w:tcBorders>
              <w:top w:val="single" w:color="auto" w:sz="4" w:space="0"/>
              <w:left w:val="single" w:color="auto" w:sz="4" w:space="0"/>
              <w:bottom w:val="single" w:color="auto" w:sz="4" w:space="0"/>
              <w:right w:val="single" w:color="auto" w:sz="4" w:space="0"/>
            </w:tcBorders>
            <w:noWrap w:val="0"/>
            <w:vAlign w:val="center"/>
          </w:tcPr>
          <w:p w14:paraId="3921139E">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μ</w:t>
            </w:r>
            <w:r>
              <w:rPr>
                <w:rFonts w:hint="default" w:ascii="Times New Roman" w:hAnsi="Times New Roman" w:cs="Times New Roman"/>
                <w:color w:val="auto"/>
                <w:highlight w:val="none"/>
              </w:rPr>
              <w:t>g/</w:t>
            </w:r>
            <w:r>
              <w:rPr>
                <w:rFonts w:hint="default" w:ascii="Times New Roman" w:hAnsi="Times New Roman" w:cs="Times New Roman"/>
                <w:color w:val="auto"/>
                <w:highlight w:val="none"/>
                <w:lang w:val="en-US" w:eastAsia="zh-CN"/>
              </w:rPr>
              <w:t>kg</w:t>
            </w:r>
          </w:p>
        </w:tc>
        <w:tc>
          <w:tcPr>
            <w:tcW w:w="1250" w:type="pct"/>
            <w:gridSpan w:val="2"/>
            <w:tcBorders>
              <w:top w:val="single" w:color="auto" w:sz="4" w:space="0"/>
              <w:left w:val="single" w:color="auto" w:sz="4" w:space="0"/>
              <w:bottom w:val="single" w:color="auto" w:sz="4" w:space="0"/>
              <w:right w:val="single" w:color="auto" w:sz="4" w:space="0"/>
            </w:tcBorders>
            <w:noWrap w:val="0"/>
            <w:vAlign w:val="center"/>
          </w:tcPr>
          <w:p w14:paraId="03A4D644">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未检出</w:t>
            </w:r>
          </w:p>
        </w:tc>
        <w:tc>
          <w:tcPr>
            <w:tcW w:w="1414" w:type="pct"/>
            <w:tcBorders>
              <w:top w:val="single" w:color="auto" w:sz="4" w:space="0"/>
              <w:left w:val="single" w:color="auto" w:sz="4" w:space="0"/>
              <w:bottom w:val="single" w:color="auto" w:sz="4" w:space="0"/>
              <w:right w:val="single" w:color="auto" w:sz="4" w:space="0"/>
            </w:tcBorders>
            <w:noWrap w:val="0"/>
            <w:vAlign w:val="center"/>
          </w:tcPr>
          <w:p w14:paraId="59B39430">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560</w:t>
            </w:r>
          </w:p>
        </w:tc>
      </w:tr>
      <w:tr w14:paraId="0AE5F07D">
        <w:tblPrEx>
          <w:tblCellMar>
            <w:top w:w="15" w:type="dxa"/>
            <w:left w:w="15" w:type="dxa"/>
            <w:bottom w:w="15" w:type="dxa"/>
            <w:right w:w="15" w:type="dxa"/>
          </w:tblCellMar>
        </w:tblPrEx>
        <w:trPr>
          <w:trHeight w:val="320" w:hRule="atLeast"/>
          <w:jc w:val="center"/>
        </w:trPr>
        <w:tc>
          <w:tcPr>
            <w:tcW w:w="1187" w:type="pct"/>
            <w:tcBorders>
              <w:top w:val="single" w:color="auto" w:sz="4" w:space="0"/>
              <w:left w:val="single" w:color="auto" w:sz="4" w:space="0"/>
              <w:bottom w:val="single" w:color="auto" w:sz="4" w:space="0"/>
              <w:right w:val="single" w:color="auto" w:sz="4" w:space="0"/>
            </w:tcBorders>
            <w:noWrap w:val="0"/>
            <w:vAlign w:val="center"/>
          </w:tcPr>
          <w:p w14:paraId="701C7D74">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氯甲烷 </w:t>
            </w:r>
          </w:p>
        </w:tc>
        <w:tc>
          <w:tcPr>
            <w:tcW w:w="1147" w:type="pct"/>
            <w:tcBorders>
              <w:top w:val="single" w:color="auto" w:sz="4" w:space="0"/>
              <w:left w:val="single" w:color="auto" w:sz="4" w:space="0"/>
              <w:bottom w:val="single" w:color="auto" w:sz="4" w:space="0"/>
              <w:right w:val="single" w:color="auto" w:sz="4" w:space="0"/>
            </w:tcBorders>
            <w:noWrap w:val="0"/>
            <w:vAlign w:val="center"/>
          </w:tcPr>
          <w:p w14:paraId="51EC7DF8">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μ</w:t>
            </w:r>
            <w:r>
              <w:rPr>
                <w:rFonts w:hint="default" w:ascii="Times New Roman" w:hAnsi="Times New Roman" w:cs="Times New Roman"/>
                <w:color w:val="auto"/>
                <w:highlight w:val="none"/>
              </w:rPr>
              <w:t>g/</w:t>
            </w:r>
            <w:r>
              <w:rPr>
                <w:rFonts w:hint="default" w:ascii="Times New Roman" w:hAnsi="Times New Roman" w:cs="Times New Roman"/>
                <w:color w:val="auto"/>
                <w:highlight w:val="none"/>
                <w:lang w:val="en-US" w:eastAsia="zh-CN"/>
              </w:rPr>
              <w:t>kg</w:t>
            </w:r>
          </w:p>
        </w:tc>
        <w:tc>
          <w:tcPr>
            <w:tcW w:w="1250" w:type="pct"/>
            <w:gridSpan w:val="2"/>
            <w:tcBorders>
              <w:top w:val="single" w:color="auto" w:sz="4" w:space="0"/>
              <w:left w:val="single" w:color="auto" w:sz="4" w:space="0"/>
              <w:bottom w:val="single" w:color="auto" w:sz="4" w:space="0"/>
              <w:right w:val="single" w:color="auto" w:sz="4" w:space="0"/>
            </w:tcBorders>
            <w:noWrap w:val="0"/>
            <w:vAlign w:val="center"/>
          </w:tcPr>
          <w:p w14:paraId="6F4B5D62">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未检出</w:t>
            </w:r>
          </w:p>
        </w:tc>
        <w:tc>
          <w:tcPr>
            <w:tcW w:w="1414" w:type="pct"/>
            <w:tcBorders>
              <w:top w:val="single" w:color="auto" w:sz="4" w:space="0"/>
              <w:left w:val="single" w:color="auto" w:sz="4" w:space="0"/>
              <w:bottom w:val="single" w:color="auto" w:sz="4" w:space="0"/>
              <w:right w:val="single" w:color="auto" w:sz="4" w:space="0"/>
            </w:tcBorders>
            <w:noWrap w:val="0"/>
            <w:vAlign w:val="center"/>
          </w:tcPr>
          <w:p w14:paraId="78D42C41">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37</w:t>
            </w:r>
          </w:p>
        </w:tc>
      </w:tr>
      <w:tr w14:paraId="59DA7019">
        <w:tblPrEx>
          <w:tblCellMar>
            <w:top w:w="15" w:type="dxa"/>
            <w:left w:w="15" w:type="dxa"/>
            <w:bottom w:w="15" w:type="dxa"/>
            <w:right w:w="15" w:type="dxa"/>
          </w:tblCellMar>
        </w:tblPrEx>
        <w:trPr>
          <w:trHeight w:val="283" w:hRule="atLeast"/>
          <w:jc w:val="center"/>
        </w:trPr>
        <w:tc>
          <w:tcPr>
            <w:tcW w:w="1187" w:type="pct"/>
            <w:tcBorders>
              <w:top w:val="single" w:color="auto" w:sz="4" w:space="0"/>
              <w:left w:val="single" w:color="auto" w:sz="4" w:space="0"/>
              <w:bottom w:val="single" w:color="auto" w:sz="4" w:space="0"/>
              <w:right w:val="single" w:color="auto" w:sz="4" w:space="0"/>
            </w:tcBorders>
            <w:noWrap w:val="0"/>
            <w:vAlign w:val="center"/>
          </w:tcPr>
          <w:p w14:paraId="0E940050">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硝基苯</w:t>
            </w:r>
          </w:p>
        </w:tc>
        <w:tc>
          <w:tcPr>
            <w:tcW w:w="1147" w:type="pct"/>
            <w:tcBorders>
              <w:top w:val="single" w:color="auto" w:sz="4" w:space="0"/>
              <w:left w:val="single" w:color="auto" w:sz="4" w:space="0"/>
              <w:bottom w:val="single" w:color="auto" w:sz="4" w:space="0"/>
              <w:right w:val="single" w:color="auto" w:sz="4" w:space="0"/>
            </w:tcBorders>
            <w:noWrap w:val="0"/>
            <w:vAlign w:val="center"/>
          </w:tcPr>
          <w:p w14:paraId="58824C30">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mg/</w:t>
            </w:r>
            <w:r>
              <w:rPr>
                <w:rFonts w:hint="default" w:ascii="Times New Roman" w:hAnsi="Times New Roman" w:cs="Times New Roman"/>
                <w:color w:val="auto"/>
                <w:highlight w:val="none"/>
                <w:lang w:val="en-US" w:eastAsia="zh-CN"/>
              </w:rPr>
              <w:t>kg</w:t>
            </w:r>
          </w:p>
        </w:tc>
        <w:tc>
          <w:tcPr>
            <w:tcW w:w="1250" w:type="pct"/>
            <w:gridSpan w:val="2"/>
            <w:tcBorders>
              <w:top w:val="single" w:color="auto" w:sz="4" w:space="0"/>
              <w:left w:val="single" w:color="auto" w:sz="4" w:space="0"/>
              <w:bottom w:val="single" w:color="auto" w:sz="4" w:space="0"/>
              <w:right w:val="single" w:color="auto" w:sz="4" w:space="0"/>
            </w:tcBorders>
            <w:noWrap w:val="0"/>
            <w:vAlign w:val="center"/>
          </w:tcPr>
          <w:p w14:paraId="3B36C61A">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未检出</w:t>
            </w:r>
          </w:p>
        </w:tc>
        <w:tc>
          <w:tcPr>
            <w:tcW w:w="1414" w:type="pct"/>
            <w:tcBorders>
              <w:top w:val="single" w:color="auto" w:sz="4" w:space="0"/>
              <w:left w:val="single" w:color="auto" w:sz="4" w:space="0"/>
              <w:bottom w:val="single" w:color="auto" w:sz="4" w:space="0"/>
              <w:right w:val="single" w:color="auto" w:sz="4" w:space="0"/>
            </w:tcBorders>
            <w:noWrap w:val="0"/>
            <w:vAlign w:val="center"/>
          </w:tcPr>
          <w:p w14:paraId="2697C799">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76</w:t>
            </w:r>
          </w:p>
        </w:tc>
      </w:tr>
      <w:tr w14:paraId="0B510921">
        <w:tblPrEx>
          <w:tblCellMar>
            <w:top w:w="15" w:type="dxa"/>
            <w:left w:w="15" w:type="dxa"/>
            <w:bottom w:w="15" w:type="dxa"/>
            <w:right w:w="15" w:type="dxa"/>
          </w:tblCellMar>
        </w:tblPrEx>
        <w:trPr>
          <w:trHeight w:val="283" w:hRule="atLeast"/>
          <w:jc w:val="center"/>
        </w:trPr>
        <w:tc>
          <w:tcPr>
            <w:tcW w:w="1187" w:type="pct"/>
            <w:tcBorders>
              <w:top w:val="single" w:color="auto" w:sz="4" w:space="0"/>
              <w:left w:val="single" w:color="auto" w:sz="4" w:space="0"/>
              <w:bottom w:val="single" w:color="auto" w:sz="4" w:space="0"/>
              <w:right w:val="single" w:color="auto" w:sz="4" w:space="0"/>
            </w:tcBorders>
            <w:noWrap w:val="0"/>
            <w:vAlign w:val="center"/>
          </w:tcPr>
          <w:p w14:paraId="79DB9A4E">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苯胺</w:t>
            </w:r>
          </w:p>
        </w:tc>
        <w:tc>
          <w:tcPr>
            <w:tcW w:w="1147" w:type="pct"/>
            <w:tcBorders>
              <w:top w:val="single" w:color="auto" w:sz="4" w:space="0"/>
              <w:left w:val="single" w:color="auto" w:sz="4" w:space="0"/>
              <w:bottom w:val="single" w:color="auto" w:sz="4" w:space="0"/>
              <w:right w:val="single" w:color="auto" w:sz="4" w:space="0"/>
            </w:tcBorders>
            <w:noWrap w:val="0"/>
            <w:vAlign w:val="center"/>
          </w:tcPr>
          <w:p w14:paraId="51C56266">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mg/</w:t>
            </w:r>
            <w:r>
              <w:rPr>
                <w:rFonts w:hint="default" w:ascii="Times New Roman" w:hAnsi="Times New Roman" w:cs="Times New Roman"/>
                <w:color w:val="auto"/>
                <w:highlight w:val="none"/>
                <w:lang w:val="en-US" w:eastAsia="zh-CN"/>
              </w:rPr>
              <w:t>kg</w:t>
            </w:r>
          </w:p>
        </w:tc>
        <w:tc>
          <w:tcPr>
            <w:tcW w:w="1250" w:type="pct"/>
            <w:gridSpan w:val="2"/>
            <w:tcBorders>
              <w:top w:val="single" w:color="auto" w:sz="4" w:space="0"/>
              <w:left w:val="single" w:color="auto" w:sz="4" w:space="0"/>
              <w:bottom w:val="single" w:color="auto" w:sz="4" w:space="0"/>
              <w:right w:val="single" w:color="auto" w:sz="4" w:space="0"/>
            </w:tcBorders>
            <w:noWrap w:val="0"/>
            <w:vAlign w:val="center"/>
          </w:tcPr>
          <w:p w14:paraId="4B308513">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未检出</w:t>
            </w:r>
          </w:p>
        </w:tc>
        <w:tc>
          <w:tcPr>
            <w:tcW w:w="1414" w:type="pct"/>
            <w:tcBorders>
              <w:top w:val="single" w:color="auto" w:sz="4" w:space="0"/>
              <w:left w:val="single" w:color="auto" w:sz="4" w:space="0"/>
              <w:bottom w:val="single" w:color="auto" w:sz="4" w:space="0"/>
              <w:right w:val="single" w:color="auto" w:sz="4" w:space="0"/>
            </w:tcBorders>
            <w:noWrap w:val="0"/>
            <w:vAlign w:val="center"/>
          </w:tcPr>
          <w:p w14:paraId="7ED1AF0E">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260</w:t>
            </w:r>
          </w:p>
        </w:tc>
      </w:tr>
      <w:tr w14:paraId="13EE2D01">
        <w:tblPrEx>
          <w:tblCellMar>
            <w:top w:w="15" w:type="dxa"/>
            <w:left w:w="15" w:type="dxa"/>
            <w:bottom w:w="15" w:type="dxa"/>
            <w:right w:w="15" w:type="dxa"/>
          </w:tblCellMar>
        </w:tblPrEx>
        <w:trPr>
          <w:trHeight w:val="283" w:hRule="atLeast"/>
          <w:jc w:val="center"/>
        </w:trPr>
        <w:tc>
          <w:tcPr>
            <w:tcW w:w="1187" w:type="pct"/>
            <w:tcBorders>
              <w:top w:val="single" w:color="auto" w:sz="4" w:space="0"/>
              <w:left w:val="single" w:color="auto" w:sz="4" w:space="0"/>
              <w:bottom w:val="single" w:color="auto" w:sz="4" w:space="0"/>
              <w:right w:val="single" w:color="auto" w:sz="4" w:space="0"/>
            </w:tcBorders>
            <w:noWrap w:val="0"/>
            <w:vAlign w:val="center"/>
          </w:tcPr>
          <w:p w14:paraId="5CB89967">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2-氯苯酚</w:t>
            </w:r>
          </w:p>
        </w:tc>
        <w:tc>
          <w:tcPr>
            <w:tcW w:w="1147" w:type="pct"/>
            <w:tcBorders>
              <w:top w:val="single" w:color="auto" w:sz="4" w:space="0"/>
              <w:left w:val="single" w:color="auto" w:sz="4" w:space="0"/>
              <w:bottom w:val="single" w:color="auto" w:sz="4" w:space="0"/>
              <w:right w:val="single" w:color="auto" w:sz="4" w:space="0"/>
            </w:tcBorders>
            <w:noWrap w:val="0"/>
            <w:vAlign w:val="center"/>
          </w:tcPr>
          <w:p w14:paraId="746E368D">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mg/</w:t>
            </w:r>
            <w:r>
              <w:rPr>
                <w:rFonts w:hint="default" w:ascii="Times New Roman" w:hAnsi="Times New Roman" w:cs="Times New Roman"/>
                <w:color w:val="auto"/>
                <w:highlight w:val="none"/>
                <w:lang w:val="en-US" w:eastAsia="zh-CN"/>
              </w:rPr>
              <w:t>kg</w:t>
            </w:r>
          </w:p>
        </w:tc>
        <w:tc>
          <w:tcPr>
            <w:tcW w:w="1250" w:type="pct"/>
            <w:gridSpan w:val="2"/>
            <w:tcBorders>
              <w:top w:val="single" w:color="auto" w:sz="4" w:space="0"/>
              <w:left w:val="single" w:color="auto" w:sz="4" w:space="0"/>
              <w:bottom w:val="single" w:color="auto" w:sz="4" w:space="0"/>
              <w:right w:val="single" w:color="auto" w:sz="4" w:space="0"/>
            </w:tcBorders>
            <w:noWrap w:val="0"/>
            <w:vAlign w:val="center"/>
          </w:tcPr>
          <w:p w14:paraId="578D1700">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未检出</w:t>
            </w:r>
          </w:p>
        </w:tc>
        <w:tc>
          <w:tcPr>
            <w:tcW w:w="1414" w:type="pct"/>
            <w:tcBorders>
              <w:top w:val="single" w:color="auto" w:sz="4" w:space="0"/>
              <w:left w:val="single" w:color="auto" w:sz="4" w:space="0"/>
              <w:bottom w:val="single" w:color="auto" w:sz="4" w:space="0"/>
              <w:right w:val="single" w:color="auto" w:sz="4" w:space="0"/>
            </w:tcBorders>
            <w:noWrap w:val="0"/>
            <w:vAlign w:val="center"/>
          </w:tcPr>
          <w:p w14:paraId="48009261">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2256</w:t>
            </w:r>
          </w:p>
        </w:tc>
      </w:tr>
      <w:tr w14:paraId="7DC0BC84">
        <w:tblPrEx>
          <w:tblCellMar>
            <w:top w:w="15" w:type="dxa"/>
            <w:left w:w="15" w:type="dxa"/>
            <w:bottom w:w="15" w:type="dxa"/>
            <w:right w:w="15" w:type="dxa"/>
          </w:tblCellMar>
        </w:tblPrEx>
        <w:trPr>
          <w:trHeight w:val="283" w:hRule="atLeast"/>
          <w:jc w:val="center"/>
        </w:trPr>
        <w:tc>
          <w:tcPr>
            <w:tcW w:w="1187" w:type="pct"/>
            <w:tcBorders>
              <w:top w:val="single" w:color="auto" w:sz="4" w:space="0"/>
              <w:left w:val="single" w:color="auto" w:sz="4" w:space="0"/>
              <w:bottom w:val="single" w:color="auto" w:sz="4" w:space="0"/>
              <w:right w:val="single" w:color="auto" w:sz="4" w:space="0"/>
            </w:tcBorders>
            <w:noWrap w:val="0"/>
            <w:vAlign w:val="center"/>
          </w:tcPr>
          <w:p w14:paraId="3EF2F774">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苯并[a]蒽</w:t>
            </w:r>
          </w:p>
        </w:tc>
        <w:tc>
          <w:tcPr>
            <w:tcW w:w="1221" w:type="pct"/>
            <w:gridSpan w:val="2"/>
            <w:tcBorders>
              <w:top w:val="single" w:color="auto" w:sz="4" w:space="0"/>
              <w:left w:val="single" w:color="auto" w:sz="4" w:space="0"/>
              <w:bottom w:val="single" w:color="auto" w:sz="4" w:space="0"/>
              <w:right w:val="single" w:color="auto" w:sz="4" w:space="0"/>
            </w:tcBorders>
            <w:noWrap w:val="0"/>
            <w:vAlign w:val="center"/>
          </w:tcPr>
          <w:p w14:paraId="5D1856B9">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mg/</w:t>
            </w:r>
            <w:r>
              <w:rPr>
                <w:rFonts w:hint="default" w:ascii="Times New Roman" w:hAnsi="Times New Roman" w:cs="Times New Roman"/>
                <w:color w:val="auto"/>
                <w:highlight w:val="none"/>
                <w:lang w:val="en-US" w:eastAsia="zh-CN"/>
              </w:rPr>
              <w:t>kg</w:t>
            </w:r>
          </w:p>
        </w:tc>
        <w:tc>
          <w:tcPr>
            <w:tcW w:w="1177" w:type="pct"/>
            <w:tcBorders>
              <w:top w:val="single" w:color="auto" w:sz="4" w:space="0"/>
              <w:left w:val="single" w:color="auto" w:sz="4" w:space="0"/>
              <w:bottom w:val="single" w:color="auto" w:sz="4" w:space="0"/>
              <w:right w:val="single" w:color="auto" w:sz="4" w:space="0"/>
            </w:tcBorders>
            <w:noWrap w:val="0"/>
            <w:vAlign w:val="center"/>
          </w:tcPr>
          <w:p w14:paraId="0A9385A0">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未检出</w:t>
            </w:r>
          </w:p>
        </w:tc>
        <w:tc>
          <w:tcPr>
            <w:tcW w:w="1414" w:type="pct"/>
            <w:tcBorders>
              <w:top w:val="single" w:color="auto" w:sz="4" w:space="0"/>
              <w:left w:val="single" w:color="auto" w:sz="4" w:space="0"/>
              <w:bottom w:val="single" w:color="auto" w:sz="4" w:space="0"/>
              <w:right w:val="single" w:color="auto" w:sz="4" w:space="0"/>
            </w:tcBorders>
            <w:noWrap w:val="0"/>
            <w:vAlign w:val="center"/>
          </w:tcPr>
          <w:p w14:paraId="0A651271">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15</w:t>
            </w:r>
          </w:p>
        </w:tc>
      </w:tr>
      <w:tr w14:paraId="45E57B95">
        <w:tblPrEx>
          <w:tblCellMar>
            <w:top w:w="15" w:type="dxa"/>
            <w:left w:w="15" w:type="dxa"/>
            <w:bottom w:w="15" w:type="dxa"/>
            <w:right w:w="15" w:type="dxa"/>
          </w:tblCellMar>
        </w:tblPrEx>
        <w:trPr>
          <w:trHeight w:val="283" w:hRule="atLeast"/>
          <w:jc w:val="center"/>
        </w:trPr>
        <w:tc>
          <w:tcPr>
            <w:tcW w:w="1187" w:type="pct"/>
            <w:tcBorders>
              <w:top w:val="single" w:color="auto" w:sz="4" w:space="0"/>
              <w:left w:val="single" w:color="auto" w:sz="4" w:space="0"/>
              <w:bottom w:val="single" w:color="auto" w:sz="4" w:space="0"/>
              <w:right w:val="single" w:color="auto" w:sz="4" w:space="0"/>
            </w:tcBorders>
            <w:noWrap w:val="0"/>
            <w:vAlign w:val="center"/>
          </w:tcPr>
          <w:p w14:paraId="22EB8056">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苯并[a]芘 </w:t>
            </w:r>
          </w:p>
        </w:tc>
        <w:tc>
          <w:tcPr>
            <w:tcW w:w="1221" w:type="pct"/>
            <w:gridSpan w:val="2"/>
            <w:tcBorders>
              <w:top w:val="single" w:color="auto" w:sz="4" w:space="0"/>
              <w:left w:val="single" w:color="auto" w:sz="4" w:space="0"/>
              <w:bottom w:val="single" w:color="auto" w:sz="4" w:space="0"/>
              <w:right w:val="single" w:color="auto" w:sz="4" w:space="0"/>
            </w:tcBorders>
            <w:noWrap w:val="0"/>
            <w:vAlign w:val="center"/>
          </w:tcPr>
          <w:p w14:paraId="406D1D24">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mg/</w:t>
            </w:r>
            <w:r>
              <w:rPr>
                <w:rFonts w:hint="default" w:ascii="Times New Roman" w:hAnsi="Times New Roman" w:cs="Times New Roman"/>
                <w:color w:val="auto"/>
                <w:highlight w:val="none"/>
                <w:lang w:val="en-US" w:eastAsia="zh-CN"/>
              </w:rPr>
              <w:t>kg</w:t>
            </w:r>
          </w:p>
        </w:tc>
        <w:tc>
          <w:tcPr>
            <w:tcW w:w="1177" w:type="pct"/>
            <w:tcBorders>
              <w:top w:val="single" w:color="auto" w:sz="4" w:space="0"/>
              <w:left w:val="single" w:color="auto" w:sz="4" w:space="0"/>
              <w:bottom w:val="single" w:color="auto" w:sz="4" w:space="0"/>
              <w:right w:val="single" w:color="auto" w:sz="4" w:space="0"/>
            </w:tcBorders>
            <w:noWrap w:val="0"/>
            <w:vAlign w:val="center"/>
          </w:tcPr>
          <w:p w14:paraId="258F7D80">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未检出</w:t>
            </w:r>
          </w:p>
        </w:tc>
        <w:tc>
          <w:tcPr>
            <w:tcW w:w="1414" w:type="pct"/>
            <w:tcBorders>
              <w:top w:val="single" w:color="auto" w:sz="4" w:space="0"/>
              <w:left w:val="single" w:color="auto" w:sz="4" w:space="0"/>
              <w:bottom w:val="single" w:color="auto" w:sz="4" w:space="0"/>
              <w:right w:val="single" w:color="auto" w:sz="4" w:space="0"/>
            </w:tcBorders>
            <w:noWrap w:val="0"/>
            <w:vAlign w:val="center"/>
          </w:tcPr>
          <w:p w14:paraId="0D93DD29">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1.5</w:t>
            </w:r>
          </w:p>
        </w:tc>
      </w:tr>
      <w:tr w14:paraId="7F51618D">
        <w:tblPrEx>
          <w:tblCellMar>
            <w:top w:w="15" w:type="dxa"/>
            <w:left w:w="15" w:type="dxa"/>
            <w:bottom w:w="15" w:type="dxa"/>
            <w:right w:w="15" w:type="dxa"/>
          </w:tblCellMar>
        </w:tblPrEx>
        <w:trPr>
          <w:trHeight w:val="283" w:hRule="atLeast"/>
          <w:jc w:val="center"/>
        </w:trPr>
        <w:tc>
          <w:tcPr>
            <w:tcW w:w="1187" w:type="pct"/>
            <w:tcBorders>
              <w:top w:val="single" w:color="auto" w:sz="4" w:space="0"/>
              <w:left w:val="single" w:color="auto" w:sz="4" w:space="0"/>
              <w:bottom w:val="single" w:color="auto" w:sz="4" w:space="0"/>
              <w:right w:val="single" w:color="auto" w:sz="4" w:space="0"/>
            </w:tcBorders>
            <w:noWrap w:val="0"/>
            <w:vAlign w:val="center"/>
          </w:tcPr>
          <w:p w14:paraId="25B6FAB1">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苯并[b]荧蒽</w:t>
            </w:r>
          </w:p>
        </w:tc>
        <w:tc>
          <w:tcPr>
            <w:tcW w:w="1221" w:type="pct"/>
            <w:gridSpan w:val="2"/>
            <w:tcBorders>
              <w:top w:val="single" w:color="auto" w:sz="4" w:space="0"/>
              <w:left w:val="single" w:color="auto" w:sz="4" w:space="0"/>
              <w:bottom w:val="single" w:color="auto" w:sz="4" w:space="0"/>
              <w:right w:val="single" w:color="auto" w:sz="4" w:space="0"/>
            </w:tcBorders>
            <w:noWrap w:val="0"/>
            <w:vAlign w:val="center"/>
          </w:tcPr>
          <w:p w14:paraId="780E174B">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mg/</w:t>
            </w:r>
            <w:r>
              <w:rPr>
                <w:rFonts w:hint="default" w:ascii="Times New Roman" w:hAnsi="Times New Roman" w:cs="Times New Roman"/>
                <w:color w:val="auto"/>
                <w:highlight w:val="none"/>
                <w:lang w:val="en-US" w:eastAsia="zh-CN"/>
              </w:rPr>
              <w:t>kg</w:t>
            </w:r>
          </w:p>
        </w:tc>
        <w:tc>
          <w:tcPr>
            <w:tcW w:w="1177" w:type="pct"/>
            <w:tcBorders>
              <w:top w:val="single" w:color="auto" w:sz="4" w:space="0"/>
              <w:left w:val="single" w:color="auto" w:sz="4" w:space="0"/>
              <w:bottom w:val="single" w:color="auto" w:sz="4" w:space="0"/>
              <w:right w:val="single" w:color="auto" w:sz="4" w:space="0"/>
            </w:tcBorders>
            <w:noWrap w:val="0"/>
            <w:vAlign w:val="center"/>
          </w:tcPr>
          <w:p w14:paraId="4CE914DF">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未检出</w:t>
            </w:r>
          </w:p>
        </w:tc>
        <w:tc>
          <w:tcPr>
            <w:tcW w:w="1414" w:type="pct"/>
            <w:tcBorders>
              <w:top w:val="single" w:color="auto" w:sz="4" w:space="0"/>
              <w:left w:val="single" w:color="auto" w:sz="4" w:space="0"/>
              <w:bottom w:val="single" w:color="auto" w:sz="4" w:space="0"/>
              <w:right w:val="single" w:color="auto" w:sz="4" w:space="0"/>
            </w:tcBorders>
            <w:noWrap w:val="0"/>
            <w:vAlign w:val="center"/>
          </w:tcPr>
          <w:p w14:paraId="46B9D46D">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15</w:t>
            </w:r>
          </w:p>
        </w:tc>
      </w:tr>
      <w:tr w14:paraId="38B0C967">
        <w:tblPrEx>
          <w:tblCellMar>
            <w:top w:w="15" w:type="dxa"/>
            <w:left w:w="15" w:type="dxa"/>
            <w:bottom w:w="15" w:type="dxa"/>
            <w:right w:w="15" w:type="dxa"/>
          </w:tblCellMar>
        </w:tblPrEx>
        <w:trPr>
          <w:trHeight w:val="283" w:hRule="atLeast"/>
          <w:jc w:val="center"/>
        </w:trPr>
        <w:tc>
          <w:tcPr>
            <w:tcW w:w="1187" w:type="pct"/>
            <w:tcBorders>
              <w:top w:val="single" w:color="auto" w:sz="4" w:space="0"/>
              <w:left w:val="single" w:color="auto" w:sz="4" w:space="0"/>
              <w:bottom w:val="single" w:color="auto" w:sz="4" w:space="0"/>
              <w:right w:val="single" w:color="auto" w:sz="4" w:space="0"/>
            </w:tcBorders>
            <w:noWrap w:val="0"/>
            <w:vAlign w:val="center"/>
          </w:tcPr>
          <w:p w14:paraId="71886438">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苯并[k]荧蒽</w:t>
            </w:r>
          </w:p>
        </w:tc>
        <w:tc>
          <w:tcPr>
            <w:tcW w:w="1221" w:type="pct"/>
            <w:gridSpan w:val="2"/>
            <w:tcBorders>
              <w:top w:val="single" w:color="auto" w:sz="4" w:space="0"/>
              <w:left w:val="single" w:color="auto" w:sz="4" w:space="0"/>
              <w:bottom w:val="single" w:color="auto" w:sz="4" w:space="0"/>
              <w:right w:val="single" w:color="auto" w:sz="4" w:space="0"/>
            </w:tcBorders>
            <w:noWrap w:val="0"/>
            <w:vAlign w:val="center"/>
          </w:tcPr>
          <w:p w14:paraId="170CD773">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mg/</w:t>
            </w:r>
            <w:r>
              <w:rPr>
                <w:rFonts w:hint="default" w:ascii="Times New Roman" w:hAnsi="Times New Roman" w:cs="Times New Roman"/>
                <w:color w:val="auto"/>
                <w:highlight w:val="none"/>
                <w:lang w:val="en-US" w:eastAsia="zh-CN"/>
              </w:rPr>
              <w:t>kg</w:t>
            </w:r>
          </w:p>
        </w:tc>
        <w:tc>
          <w:tcPr>
            <w:tcW w:w="1177" w:type="pct"/>
            <w:tcBorders>
              <w:top w:val="single" w:color="auto" w:sz="4" w:space="0"/>
              <w:left w:val="single" w:color="auto" w:sz="4" w:space="0"/>
              <w:bottom w:val="single" w:color="auto" w:sz="4" w:space="0"/>
              <w:right w:val="single" w:color="auto" w:sz="4" w:space="0"/>
            </w:tcBorders>
            <w:noWrap w:val="0"/>
            <w:vAlign w:val="center"/>
          </w:tcPr>
          <w:p w14:paraId="3FA9B2B6">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未检出</w:t>
            </w:r>
          </w:p>
        </w:tc>
        <w:tc>
          <w:tcPr>
            <w:tcW w:w="1414" w:type="pct"/>
            <w:tcBorders>
              <w:top w:val="single" w:color="auto" w:sz="4" w:space="0"/>
              <w:left w:val="single" w:color="auto" w:sz="4" w:space="0"/>
              <w:bottom w:val="single" w:color="auto" w:sz="4" w:space="0"/>
              <w:right w:val="single" w:color="auto" w:sz="4" w:space="0"/>
            </w:tcBorders>
            <w:noWrap w:val="0"/>
            <w:vAlign w:val="center"/>
          </w:tcPr>
          <w:p w14:paraId="70F8D48D">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151</w:t>
            </w:r>
          </w:p>
        </w:tc>
      </w:tr>
      <w:tr w14:paraId="48ABB6F9">
        <w:tblPrEx>
          <w:tblCellMar>
            <w:top w:w="15" w:type="dxa"/>
            <w:left w:w="15" w:type="dxa"/>
            <w:bottom w:w="15" w:type="dxa"/>
            <w:right w:w="15" w:type="dxa"/>
          </w:tblCellMar>
        </w:tblPrEx>
        <w:trPr>
          <w:trHeight w:val="283" w:hRule="atLeast"/>
          <w:jc w:val="center"/>
        </w:trPr>
        <w:tc>
          <w:tcPr>
            <w:tcW w:w="1187" w:type="pct"/>
            <w:tcBorders>
              <w:top w:val="single" w:color="auto" w:sz="4" w:space="0"/>
              <w:left w:val="single" w:color="auto" w:sz="4" w:space="0"/>
              <w:bottom w:val="single" w:color="auto" w:sz="4" w:space="0"/>
              <w:right w:val="single" w:color="auto" w:sz="4" w:space="0"/>
            </w:tcBorders>
            <w:noWrap w:val="0"/>
            <w:vAlign w:val="center"/>
          </w:tcPr>
          <w:p w14:paraId="4A8C0022">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䓛</w:t>
            </w:r>
          </w:p>
        </w:tc>
        <w:tc>
          <w:tcPr>
            <w:tcW w:w="1221" w:type="pct"/>
            <w:gridSpan w:val="2"/>
            <w:tcBorders>
              <w:top w:val="single" w:color="auto" w:sz="4" w:space="0"/>
              <w:left w:val="single" w:color="auto" w:sz="4" w:space="0"/>
              <w:bottom w:val="single" w:color="auto" w:sz="4" w:space="0"/>
              <w:right w:val="single" w:color="auto" w:sz="4" w:space="0"/>
            </w:tcBorders>
            <w:noWrap w:val="0"/>
            <w:vAlign w:val="center"/>
          </w:tcPr>
          <w:p w14:paraId="0C8C8B1F">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mg/</w:t>
            </w:r>
            <w:r>
              <w:rPr>
                <w:rFonts w:hint="default" w:ascii="Times New Roman" w:hAnsi="Times New Roman" w:cs="Times New Roman"/>
                <w:color w:val="auto"/>
                <w:highlight w:val="none"/>
                <w:lang w:val="en-US" w:eastAsia="zh-CN"/>
              </w:rPr>
              <w:t>kg</w:t>
            </w:r>
          </w:p>
        </w:tc>
        <w:tc>
          <w:tcPr>
            <w:tcW w:w="1177" w:type="pct"/>
            <w:tcBorders>
              <w:top w:val="single" w:color="auto" w:sz="4" w:space="0"/>
              <w:left w:val="single" w:color="auto" w:sz="4" w:space="0"/>
              <w:bottom w:val="single" w:color="auto" w:sz="4" w:space="0"/>
              <w:right w:val="single" w:color="auto" w:sz="4" w:space="0"/>
            </w:tcBorders>
            <w:noWrap w:val="0"/>
            <w:vAlign w:val="center"/>
          </w:tcPr>
          <w:p w14:paraId="43E1C0CF">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未检出</w:t>
            </w:r>
          </w:p>
        </w:tc>
        <w:tc>
          <w:tcPr>
            <w:tcW w:w="1414" w:type="pct"/>
            <w:tcBorders>
              <w:top w:val="single" w:color="auto" w:sz="4" w:space="0"/>
              <w:left w:val="single" w:color="auto" w:sz="4" w:space="0"/>
              <w:bottom w:val="single" w:color="auto" w:sz="4" w:space="0"/>
              <w:right w:val="single" w:color="auto" w:sz="4" w:space="0"/>
            </w:tcBorders>
            <w:noWrap w:val="0"/>
            <w:vAlign w:val="center"/>
          </w:tcPr>
          <w:p w14:paraId="3DB6AD45">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1293</w:t>
            </w:r>
          </w:p>
        </w:tc>
      </w:tr>
      <w:tr w14:paraId="1CA94662">
        <w:tblPrEx>
          <w:tblCellMar>
            <w:top w:w="15" w:type="dxa"/>
            <w:left w:w="15" w:type="dxa"/>
            <w:bottom w:w="15" w:type="dxa"/>
            <w:right w:w="15" w:type="dxa"/>
          </w:tblCellMar>
        </w:tblPrEx>
        <w:trPr>
          <w:trHeight w:val="283" w:hRule="atLeast"/>
          <w:jc w:val="center"/>
        </w:trPr>
        <w:tc>
          <w:tcPr>
            <w:tcW w:w="1187" w:type="pct"/>
            <w:tcBorders>
              <w:top w:val="single" w:color="auto" w:sz="4" w:space="0"/>
              <w:left w:val="single" w:color="auto" w:sz="4" w:space="0"/>
              <w:bottom w:val="single" w:color="auto" w:sz="4" w:space="0"/>
              <w:right w:val="single" w:color="auto" w:sz="4" w:space="0"/>
            </w:tcBorders>
            <w:noWrap w:val="0"/>
            <w:vAlign w:val="center"/>
          </w:tcPr>
          <w:p w14:paraId="32269348">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二苯并[a,h]蒽</w:t>
            </w:r>
          </w:p>
        </w:tc>
        <w:tc>
          <w:tcPr>
            <w:tcW w:w="1221" w:type="pct"/>
            <w:gridSpan w:val="2"/>
            <w:tcBorders>
              <w:top w:val="single" w:color="auto" w:sz="4" w:space="0"/>
              <w:left w:val="single" w:color="auto" w:sz="4" w:space="0"/>
              <w:bottom w:val="single" w:color="auto" w:sz="4" w:space="0"/>
              <w:right w:val="single" w:color="auto" w:sz="4" w:space="0"/>
            </w:tcBorders>
            <w:noWrap w:val="0"/>
            <w:vAlign w:val="center"/>
          </w:tcPr>
          <w:p w14:paraId="7148A003">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mg/</w:t>
            </w:r>
            <w:r>
              <w:rPr>
                <w:rFonts w:hint="default" w:ascii="Times New Roman" w:hAnsi="Times New Roman" w:cs="Times New Roman"/>
                <w:color w:val="auto"/>
                <w:highlight w:val="none"/>
                <w:lang w:val="en-US" w:eastAsia="zh-CN"/>
              </w:rPr>
              <w:t>kg</w:t>
            </w:r>
          </w:p>
        </w:tc>
        <w:tc>
          <w:tcPr>
            <w:tcW w:w="1177" w:type="pct"/>
            <w:tcBorders>
              <w:top w:val="single" w:color="auto" w:sz="4" w:space="0"/>
              <w:left w:val="single" w:color="auto" w:sz="4" w:space="0"/>
              <w:bottom w:val="single" w:color="auto" w:sz="4" w:space="0"/>
              <w:right w:val="single" w:color="auto" w:sz="4" w:space="0"/>
            </w:tcBorders>
            <w:noWrap w:val="0"/>
            <w:vAlign w:val="center"/>
          </w:tcPr>
          <w:p w14:paraId="6FBE620F">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未检出</w:t>
            </w:r>
          </w:p>
        </w:tc>
        <w:tc>
          <w:tcPr>
            <w:tcW w:w="1414" w:type="pct"/>
            <w:tcBorders>
              <w:top w:val="single" w:color="auto" w:sz="4" w:space="0"/>
              <w:left w:val="single" w:color="auto" w:sz="4" w:space="0"/>
              <w:bottom w:val="single" w:color="auto" w:sz="4" w:space="0"/>
              <w:right w:val="single" w:color="auto" w:sz="4" w:space="0"/>
            </w:tcBorders>
            <w:noWrap w:val="0"/>
            <w:vAlign w:val="center"/>
          </w:tcPr>
          <w:p w14:paraId="722C2D14">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1.5</w:t>
            </w:r>
          </w:p>
        </w:tc>
      </w:tr>
      <w:tr w14:paraId="10FC32F1">
        <w:tblPrEx>
          <w:tblCellMar>
            <w:top w:w="15" w:type="dxa"/>
            <w:left w:w="15" w:type="dxa"/>
            <w:bottom w:w="15" w:type="dxa"/>
            <w:right w:w="15" w:type="dxa"/>
          </w:tblCellMar>
        </w:tblPrEx>
        <w:trPr>
          <w:trHeight w:val="283" w:hRule="atLeast"/>
          <w:jc w:val="center"/>
        </w:trPr>
        <w:tc>
          <w:tcPr>
            <w:tcW w:w="1187" w:type="pct"/>
            <w:tcBorders>
              <w:top w:val="single" w:color="auto" w:sz="4" w:space="0"/>
              <w:left w:val="single" w:color="auto" w:sz="4" w:space="0"/>
              <w:bottom w:val="single" w:color="auto" w:sz="4" w:space="0"/>
              <w:right w:val="single" w:color="auto" w:sz="4" w:space="0"/>
            </w:tcBorders>
            <w:noWrap w:val="0"/>
            <w:vAlign w:val="center"/>
          </w:tcPr>
          <w:p w14:paraId="49CE7072">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茚并[1,2,3-cd]芘</w:t>
            </w:r>
          </w:p>
        </w:tc>
        <w:tc>
          <w:tcPr>
            <w:tcW w:w="1221" w:type="pct"/>
            <w:gridSpan w:val="2"/>
            <w:tcBorders>
              <w:top w:val="single" w:color="auto" w:sz="4" w:space="0"/>
              <w:left w:val="single" w:color="auto" w:sz="4" w:space="0"/>
              <w:bottom w:val="single" w:color="auto" w:sz="4" w:space="0"/>
              <w:right w:val="single" w:color="auto" w:sz="4" w:space="0"/>
            </w:tcBorders>
            <w:noWrap w:val="0"/>
            <w:vAlign w:val="center"/>
          </w:tcPr>
          <w:p w14:paraId="61D850D6">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mg/</w:t>
            </w:r>
            <w:r>
              <w:rPr>
                <w:rFonts w:hint="default" w:ascii="Times New Roman" w:hAnsi="Times New Roman" w:cs="Times New Roman"/>
                <w:color w:val="auto"/>
                <w:highlight w:val="none"/>
                <w:lang w:val="en-US" w:eastAsia="zh-CN"/>
              </w:rPr>
              <w:t>kg</w:t>
            </w:r>
          </w:p>
        </w:tc>
        <w:tc>
          <w:tcPr>
            <w:tcW w:w="1177" w:type="pct"/>
            <w:tcBorders>
              <w:top w:val="single" w:color="auto" w:sz="4" w:space="0"/>
              <w:left w:val="single" w:color="auto" w:sz="4" w:space="0"/>
              <w:bottom w:val="single" w:color="auto" w:sz="4" w:space="0"/>
              <w:right w:val="single" w:color="auto" w:sz="4" w:space="0"/>
            </w:tcBorders>
            <w:noWrap w:val="0"/>
            <w:vAlign w:val="center"/>
          </w:tcPr>
          <w:p w14:paraId="1F022A55">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未检出</w:t>
            </w:r>
          </w:p>
        </w:tc>
        <w:tc>
          <w:tcPr>
            <w:tcW w:w="1414" w:type="pct"/>
            <w:tcBorders>
              <w:top w:val="single" w:color="auto" w:sz="4" w:space="0"/>
              <w:left w:val="single" w:color="auto" w:sz="4" w:space="0"/>
              <w:bottom w:val="single" w:color="auto" w:sz="4" w:space="0"/>
              <w:right w:val="single" w:color="auto" w:sz="4" w:space="0"/>
            </w:tcBorders>
            <w:noWrap w:val="0"/>
            <w:vAlign w:val="center"/>
          </w:tcPr>
          <w:p w14:paraId="1AAAA88C">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15</w:t>
            </w:r>
          </w:p>
        </w:tc>
      </w:tr>
      <w:tr w14:paraId="0AD89B3F">
        <w:tblPrEx>
          <w:tblCellMar>
            <w:top w:w="15" w:type="dxa"/>
            <w:left w:w="15" w:type="dxa"/>
            <w:bottom w:w="15" w:type="dxa"/>
            <w:right w:w="15" w:type="dxa"/>
          </w:tblCellMar>
        </w:tblPrEx>
        <w:trPr>
          <w:trHeight w:val="283" w:hRule="atLeast"/>
          <w:jc w:val="center"/>
        </w:trPr>
        <w:tc>
          <w:tcPr>
            <w:tcW w:w="1187" w:type="pct"/>
            <w:tcBorders>
              <w:top w:val="single" w:color="auto" w:sz="4" w:space="0"/>
              <w:left w:val="single" w:color="auto" w:sz="4" w:space="0"/>
              <w:bottom w:val="single" w:color="auto" w:sz="4" w:space="0"/>
              <w:right w:val="single" w:color="auto" w:sz="4" w:space="0"/>
            </w:tcBorders>
            <w:noWrap w:val="0"/>
            <w:vAlign w:val="center"/>
          </w:tcPr>
          <w:p w14:paraId="70F27706">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萘 </w:t>
            </w:r>
          </w:p>
        </w:tc>
        <w:tc>
          <w:tcPr>
            <w:tcW w:w="1221" w:type="pct"/>
            <w:gridSpan w:val="2"/>
            <w:tcBorders>
              <w:top w:val="single" w:color="auto" w:sz="4" w:space="0"/>
              <w:left w:val="single" w:color="auto" w:sz="4" w:space="0"/>
              <w:bottom w:val="single" w:color="auto" w:sz="4" w:space="0"/>
              <w:right w:val="single" w:color="auto" w:sz="4" w:space="0"/>
            </w:tcBorders>
            <w:noWrap w:val="0"/>
            <w:vAlign w:val="center"/>
          </w:tcPr>
          <w:p w14:paraId="2ACCABFE">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mg/</w:t>
            </w:r>
            <w:r>
              <w:rPr>
                <w:rFonts w:hint="default" w:ascii="Times New Roman" w:hAnsi="Times New Roman" w:cs="Times New Roman"/>
                <w:color w:val="auto"/>
                <w:highlight w:val="none"/>
                <w:lang w:val="en-US" w:eastAsia="zh-CN"/>
              </w:rPr>
              <w:t>kg</w:t>
            </w:r>
          </w:p>
        </w:tc>
        <w:tc>
          <w:tcPr>
            <w:tcW w:w="1177" w:type="pct"/>
            <w:tcBorders>
              <w:top w:val="single" w:color="auto" w:sz="4" w:space="0"/>
              <w:left w:val="single" w:color="auto" w:sz="4" w:space="0"/>
              <w:bottom w:val="single" w:color="auto" w:sz="4" w:space="0"/>
              <w:right w:val="single" w:color="auto" w:sz="4" w:space="0"/>
            </w:tcBorders>
            <w:noWrap w:val="0"/>
            <w:vAlign w:val="center"/>
          </w:tcPr>
          <w:p w14:paraId="33366015">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未检出</w:t>
            </w:r>
          </w:p>
        </w:tc>
        <w:tc>
          <w:tcPr>
            <w:tcW w:w="1414" w:type="pct"/>
            <w:tcBorders>
              <w:top w:val="single" w:color="auto" w:sz="4" w:space="0"/>
              <w:left w:val="single" w:color="auto" w:sz="4" w:space="0"/>
              <w:bottom w:val="single" w:color="auto" w:sz="4" w:space="0"/>
              <w:right w:val="single" w:color="auto" w:sz="4" w:space="0"/>
            </w:tcBorders>
            <w:noWrap w:val="0"/>
            <w:vAlign w:val="center"/>
          </w:tcPr>
          <w:p w14:paraId="405D169B">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70</w:t>
            </w:r>
          </w:p>
        </w:tc>
      </w:tr>
      <w:tr w14:paraId="62A000AE">
        <w:tblPrEx>
          <w:tblCellMar>
            <w:top w:w="15" w:type="dxa"/>
            <w:left w:w="15" w:type="dxa"/>
            <w:bottom w:w="15" w:type="dxa"/>
            <w:right w:w="15" w:type="dxa"/>
          </w:tblCellMar>
        </w:tblPrEx>
        <w:trPr>
          <w:trHeight w:val="283" w:hRule="atLeast"/>
          <w:jc w:val="center"/>
        </w:trPr>
        <w:tc>
          <w:tcPr>
            <w:tcW w:w="1187" w:type="pct"/>
            <w:tcBorders>
              <w:top w:val="single" w:color="auto" w:sz="4" w:space="0"/>
              <w:left w:val="single" w:color="auto" w:sz="4" w:space="0"/>
              <w:bottom w:val="single" w:color="auto" w:sz="4" w:space="0"/>
              <w:right w:val="single" w:color="auto" w:sz="4" w:space="0"/>
            </w:tcBorders>
            <w:noWrap w:val="0"/>
            <w:vAlign w:val="center"/>
          </w:tcPr>
          <w:p w14:paraId="3B80C78B">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pH</w:t>
            </w:r>
          </w:p>
        </w:tc>
        <w:tc>
          <w:tcPr>
            <w:tcW w:w="1221" w:type="pct"/>
            <w:gridSpan w:val="2"/>
            <w:tcBorders>
              <w:top w:val="single" w:color="auto" w:sz="4" w:space="0"/>
              <w:left w:val="single" w:color="auto" w:sz="4" w:space="0"/>
              <w:bottom w:val="single" w:color="auto" w:sz="4" w:space="0"/>
              <w:right w:val="single" w:color="auto" w:sz="4" w:space="0"/>
            </w:tcBorders>
            <w:noWrap w:val="0"/>
            <w:vAlign w:val="center"/>
          </w:tcPr>
          <w:p w14:paraId="1BAB432C">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无量纲</w:t>
            </w:r>
          </w:p>
        </w:tc>
        <w:tc>
          <w:tcPr>
            <w:tcW w:w="1177" w:type="pct"/>
            <w:tcBorders>
              <w:top w:val="single" w:color="auto" w:sz="4" w:space="0"/>
              <w:left w:val="single" w:color="auto" w:sz="4" w:space="0"/>
              <w:bottom w:val="single" w:color="auto" w:sz="4" w:space="0"/>
              <w:right w:val="single" w:color="auto" w:sz="4" w:space="0"/>
            </w:tcBorders>
            <w:noWrap w:val="0"/>
            <w:vAlign w:val="center"/>
          </w:tcPr>
          <w:p w14:paraId="4E8B3415">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8.17</w:t>
            </w:r>
          </w:p>
        </w:tc>
        <w:tc>
          <w:tcPr>
            <w:tcW w:w="1414" w:type="pct"/>
            <w:tcBorders>
              <w:top w:val="single" w:color="auto" w:sz="4" w:space="0"/>
              <w:left w:val="single" w:color="auto" w:sz="4" w:space="0"/>
              <w:bottom w:val="single" w:color="auto" w:sz="4" w:space="0"/>
              <w:right w:val="single" w:color="auto" w:sz="4" w:space="0"/>
            </w:tcBorders>
            <w:noWrap w:val="0"/>
            <w:vAlign w:val="center"/>
          </w:tcPr>
          <w:p w14:paraId="10CB5D71">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r>
      <w:tr w14:paraId="5780EEA5">
        <w:tblPrEx>
          <w:tblCellMar>
            <w:top w:w="15" w:type="dxa"/>
            <w:left w:w="15" w:type="dxa"/>
            <w:bottom w:w="15" w:type="dxa"/>
            <w:right w:w="15" w:type="dxa"/>
          </w:tblCellMar>
        </w:tblPrEx>
        <w:trPr>
          <w:trHeight w:val="283" w:hRule="atLeast"/>
          <w:jc w:val="center"/>
        </w:trPr>
        <w:tc>
          <w:tcPr>
            <w:tcW w:w="1187" w:type="pct"/>
            <w:tcBorders>
              <w:top w:val="single" w:color="auto" w:sz="4" w:space="0"/>
              <w:left w:val="single" w:color="auto" w:sz="4" w:space="0"/>
              <w:bottom w:val="single" w:color="auto" w:sz="4" w:space="0"/>
              <w:right w:val="single" w:color="auto" w:sz="4" w:space="0"/>
            </w:tcBorders>
            <w:noWrap w:val="0"/>
            <w:vAlign w:val="center"/>
          </w:tcPr>
          <w:p w14:paraId="77D94F07">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水溶性盐总量</w:t>
            </w:r>
          </w:p>
        </w:tc>
        <w:tc>
          <w:tcPr>
            <w:tcW w:w="1221" w:type="pct"/>
            <w:gridSpan w:val="2"/>
            <w:tcBorders>
              <w:top w:val="single" w:color="auto" w:sz="4" w:space="0"/>
              <w:left w:val="single" w:color="auto" w:sz="4" w:space="0"/>
              <w:bottom w:val="single" w:color="auto" w:sz="4" w:space="0"/>
              <w:right w:val="single" w:color="auto" w:sz="4" w:space="0"/>
            </w:tcBorders>
            <w:noWrap w:val="0"/>
            <w:vAlign w:val="center"/>
          </w:tcPr>
          <w:p w14:paraId="14D32296">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g/</w:t>
            </w:r>
            <w:r>
              <w:rPr>
                <w:rFonts w:hint="default" w:ascii="Times New Roman" w:hAnsi="Times New Roman" w:cs="Times New Roman"/>
                <w:color w:val="auto"/>
                <w:highlight w:val="none"/>
                <w:lang w:val="en-US" w:eastAsia="zh-CN"/>
              </w:rPr>
              <w:t>kg</w:t>
            </w:r>
          </w:p>
        </w:tc>
        <w:tc>
          <w:tcPr>
            <w:tcW w:w="1177" w:type="pct"/>
            <w:tcBorders>
              <w:top w:val="single" w:color="auto" w:sz="4" w:space="0"/>
              <w:left w:val="single" w:color="auto" w:sz="4" w:space="0"/>
              <w:bottom w:val="single" w:color="auto" w:sz="4" w:space="0"/>
              <w:right w:val="single" w:color="auto" w:sz="4" w:space="0"/>
            </w:tcBorders>
            <w:noWrap w:val="0"/>
            <w:vAlign w:val="center"/>
          </w:tcPr>
          <w:p w14:paraId="7EB533BD">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1.5</w:t>
            </w:r>
          </w:p>
        </w:tc>
        <w:tc>
          <w:tcPr>
            <w:tcW w:w="1414" w:type="pct"/>
            <w:tcBorders>
              <w:top w:val="single" w:color="auto" w:sz="4" w:space="0"/>
              <w:left w:val="single" w:color="auto" w:sz="4" w:space="0"/>
              <w:bottom w:val="single" w:color="auto" w:sz="4" w:space="0"/>
              <w:right w:val="single" w:color="auto" w:sz="4" w:space="0"/>
            </w:tcBorders>
            <w:noWrap w:val="0"/>
            <w:vAlign w:val="center"/>
          </w:tcPr>
          <w:p w14:paraId="32708B7D">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r>
      <w:tr w14:paraId="09AE9914">
        <w:tblPrEx>
          <w:tblCellMar>
            <w:top w:w="15" w:type="dxa"/>
            <w:left w:w="15" w:type="dxa"/>
            <w:bottom w:w="15" w:type="dxa"/>
            <w:right w:w="15" w:type="dxa"/>
          </w:tblCellMar>
        </w:tblPrEx>
        <w:trPr>
          <w:trHeight w:val="283" w:hRule="atLeast"/>
          <w:jc w:val="center"/>
        </w:trPr>
        <w:tc>
          <w:tcPr>
            <w:tcW w:w="1187" w:type="pct"/>
            <w:tcBorders>
              <w:top w:val="single" w:color="auto" w:sz="4" w:space="0"/>
              <w:left w:val="single" w:color="auto" w:sz="4" w:space="0"/>
              <w:bottom w:val="single" w:color="auto" w:sz="4" w:space="0"/>
              <w:right w:val="single" w:color="auto" w:sz="4" w:space="0"/>
            </w:tcBorders>
            <w:noWrap w:val="0"/>
            <w:vAlign w:val="center"/>
          </w:tcPr>
          <w:p w14:paraId="0ECBF558">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砷</w:t>
            </w:r>
          </w:p>
        </w:tc>
        <w:tc>
          <w:tcPr>
            <w:tcW w:w="1221" w:type="pct"/>
            <w:gridSpan w:val="2"/>
            <w:tcBorders>
              <w:top w:val="single" w:color="auto" w:sz="4" w:space="0"/>
              <w:left w:val="single" w:color="auto" w:sz="4" w:space="0"/>
              <w:bottom w:val="single" w:color="auto" w:sz="4" w:space="0"/>
              <w:right w:val="single" w:color="auto" w:sz="4" w:space="0"/>
            </w:tcBorders>
            <w:noWrap w:val="0"/>
            <w:vAlign w:val="center"/>
          </w:tcPr>
          <w:p w14:paraId="18106C7F">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mg/</w:t>
            </w:r>
            <w:r>
              <w:rPr>
                <w:rFonts w:hint="default" w:ascii="Times New Roman" w:hAnsi="Times New Roman" w:cs="Times New Roman"/>
                <w:color w:val="auto"/>
                <w:highlight w:val="none"/>
                <w:lang w:val="en-US" w:eastAsia="zh-CN"/>
              </w:rPr>
              <w:t>kg</w:t>
            </w:r>
          </w:p>
        </w:tc>
        <w:tc>
          <w:tcPr>
            <w:tcW w:w="1177" w:type="pct"/>
            <w:tcBorders>
              <w:top w:val="single" w:color="auto" w:sz="4" w:space="0"/>
              <w:left w:val="single" w:color="auto" w:sz="4" w:space="0"/>
              <w:bottom w:val="single" w:color="auto" w:sz="4" w:space="0"/>
              <w:right w:val="single" w:color="auto" w:sz="4" w:space="0"/>
            </w:tcBorders>
            <w:noWrap w:val="0"/>
            <w:vAlign w:val="center"/>
          </w:tcPr>
          <w:p w14:paraId="338D8B94">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14.6</w:t>
            </w:r>
          </w:p>
        </w:tc>
        <w:tc>
          <w:tcPr>
            <w:tcW w:w="1414" w:type="pct"/>
            <w:tcBorders>
              <w:top w:val="single" w:color="auto" w:sz="4" w:space="0"/>
              <w:left w:val="single" w:color="auto" w:sz="4" w:space="0"/>
              <w:bottom w:val="single" w:color="auto" w:sz="4" w:space="0"/>
              <w:right w:val="single" w:color="auto" w:sz="4" w:space="0"/>
            </w:tcBorders>
            <w:noWrap w:val="0"/>
            <w:vAlign w:val="center"/>
          </w:tcPr>
          <w:p w14:paraId="291C6232">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60</w:t>
            </w:r>
          </w:p>
        </w:tc>
      </w:tr>
      <w:tr w14:paraId="2FE73706">
        <w:tblPrEx>
          <w:tblCellMar>
            <w:top w:w="15" w:type="dxa"/>
            <w:left w:w="15" w:type="dxa"/>
            <w:bottom w:w="15" w:type="dxa"/>
            <w:right w:w="15" w:type="dxa"/>
          </w:tblCellMar>
        </w:tblPrEx>
        <w:trPr>
          <w:trHeight w:val="283" w:hRule="atLeast"/>
          <w:jc w:val="center"/>
        </w:trPr>
        <w:tc>
          <w:tcPr>
            <w:tcW w:w="1187" w:type="pct"/>
            <w:tcBorders>
              <w:top w:val="single" w:color="auto" w:sz="4" w:space="0"/>
              <w:left w:val="single" w:color="auto" w:sz="4" w:space="0"/>
              <w:bottom w:val="single" w:color="auto" w:sz="4" w:space="0"/>
              <w:right w:val="single" w:color="auto" w:sz="4" w:space="0"/>
            </w:tcBorders>
            <w:noWrap w:val="0"/>
            <w:vAlign w:val="center"/>
          </w:tcPr>
          <w:p w14:paraId="54E478AA">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铅</w:t>
            </w:r>
          </w:p>
        </w:tc>
        <w:tc>
          <w:tcPr>
            <w:tcW w:w="1221" w:type="pct"/>
            <w:gridSpan w:val="2"/>
            <w:tcBorders>
              <w:top w:val="single" w:color="auto" w:sz="4" w:space="0"/>
              <w:left w:val="single" w:color="auto" w:sz="4" w:space="0"/>
              <w:bottom w:val="single" w:color="auto" w:sz="4" w:space="0"/>
              <w:right w:val="single" w:color="auto" w:sz="4" w:space="0"/>
            </w:tcBorders>
            <w:noWrap w:val="0"/>
            <w:vAlign w:val="center"/>
          </w:tcPr>
          <w:p w14:paraId="651C1EE4">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mg/</w:t>
            </w:r>
            <w:r>
              <w:rPr>
                <w:rFonts w:hint="default" w:ascii="Times New Roman" w:hAnsi="Times New Roman" w:cs="Times New Roman"/>
                <w:color w:val="auto"/>
                <w:highlight w:val="none"/>
                <w:lang w:val="en-US" w:eastAsia="zh-CN"/>
              </w:rPr>
              <w:t>kg</w:t>
            </w:r>
          </w:p>
        </w:tc>
        <w:tc>
          <w:tcPr>
            <w:tcW w:w="1177" w:type="pct"/>
            <w:tcBorders>
              <w:top w:val="single" w:color="auto" w:sz="4" w:space="0"/>
              <w:left w:val="single" w:color="auto" w:sz="4" w:space="0"/>
              <w:bottom w:val="single" w:color="auto" w:sz="4" w:space="0"/>
              <w:right w:val="single" w:color="auto" w:sz="4" w:space="0"/>
            </w:tcBorders>
            <w:noWrap w:val="0"/>
            <w:vAlign w:val="center"/>
          </w:tcPr>
          <w:p w14:paraId="7603CB96">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30</w:t>
            </w:r>
          </w:p>
        </w:tc>
        <w:tc>
          <w:tcPr>
            <w:tcW w:w="1414" w:type="pct"/>
            <w:tcBorders>
              <w:top w:val="single" w:color="auto" w:sz="4" w:space="0"/>
              <w:left w:val="single" w:color="auto" w:sz="4" w:space="0"/>
              <w:bottom w:val="single" w:color="auto" w:sz="4" w:space="0"/>
              <w:right w:val="single" w:color="auto" w:sz="4" w:space="0"/>
            </w:tcBorders>
            <w:noWrap w:val="0"/>
            <w:vAlign w:val="center"/>
          </w:tcPr>
          <w:p w14:paraId="464AF12B">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800</w:t>
            </w:r>
          </w:p>
        </w:tc>
      </w:tr>
      <w:tr w14:paraId="077CECC7">
        <w:tblPrEx>
          <w:tblCellMar>
            <w:top w:w="15" w:type="dxa"/>
            <w:left w:w="15" w:type="dxa"/>
            <w:bottom w:w="15" w:type="dxa"/>
            <w:right w:w="15" w:type="dxa"/>
          </w:tblCellMar>
        </w:tblPrEx>
        <w:trPr>
          <w:trHeight w:val="283" w:hRule="atLeast"/>
          <w:jc w:val="center"/>
        </w:trPr>
        <w:tc>
          <w:tcPr>
            <w:tcW w:w="1187" w:type="pct"/>
            <w:tcBorders>
              <w:top w:val="single" w:color="auto" w:sz="4" w:space="0"/>
              <w:left w:val="single" w:color="auto" w:sz="4" w:space="0"/>
              <w:bottom w:val="single" w:color="auto" w:sz="4" w:space="0"/>
              <w:right w:val="single" w:color="auto" w:sz="4" w:space="0"/>
            </w:tcBorders>
            <w:noWrap w:val="0"/>
            <w:vAlign w:val="center"/>
          </w:tcPr>
          <w:p w14:paraId="38D840AB">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汞</w:t>
            </w:r>
          </w:p>
        </w:tc>
        <w:tc>
          <w:tcPr>
            <w:tcW w:w="1221" w:type="pct"/>
            <w:gridSpan w:val="2"/>
            <w:tcBorders>
              <w:top w:val="single" w:color="auto" w:sz="4" w:space="0"/>
              <w:left w:val="single" w:color="auto" w:sz="4" w:space="0"/>
              <w:bottom w:val="single" w:color="auto" w:sz="4" w:space="0"/>
              <w:right w:val="single" w:color="auto" w:sz="4" w:space="0"/>
            </w:tcBorders>
            <w:noWrap w:val="0"/>
            <w:vAlign w:val="center"/>
          </w:tcPr>
          <w:p w14:paraId="7B377892">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mg/</w:t>
            </w:r>
            <w:r>
              <w:rPr>
                <w:rFonts w:hint="default" w:ascii="Times New Roman" w:hAnsi="Times New Roman" w:cs="Times New Roman"/>
                <w:color w:val="auto"/>
                <w:highlight w:val="none"/>
                <w:lang w:val="en-US" w:eastAsia="zh-CN"/>
              </w:rPr>
              <w:t>kg</w:t>
            </w:r>
          </w:p>
        </w:tc>
        <w:tc>
          <w:tcPr>
            <w:tcW w:w="1177" w:type="pct"/>
            <w:tcBorders>
              <w:top w:val="single" w:color="auto" w:sz="4" w:space="0"/>
              <w:left w:val="single" w:color="auto" w:sz="4" w:space="0"/>
              <w:bottom w:val="single" w:color="auto" w:sz="4" w:space="0"/>
              <w:right w:val="single" w:color="auto" w:sz="4" w:space="0"/>
            </w:tcBorders>
            <w:noWrap w:val="0"/>
            <w:vAlign w:val="center"/>
          </w:tcPr>
          <w:p w14:paraId="01637324">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0.074</w:t>
            </w:r>
          </w:p>
        </w:tc>
        <w:tc>
          <w:tcPr>
            <w:tcW w:w="1414" w:type="pct"/>
            <w:tcBorders>
              <w:top w:val="single" w:color="auto" w:sz="4" w:space="0"/>
              <w:left w:val="single" w:color="auto" w:sz="4" w:space="0"/>
              <w:bottom w:val="single" w:color="auto" w:sz="4" w:space="0"/>
              <w:right w:val="single" w:color="auto" w:sz="4" w:space="0"/>
            </w:tcBorders>
            <w:noWrap w:val="0"/>
            <w:vAlign w:val="center"/>
          </w:tcPr>
          <w:p w14:paraId="15BEA2B1">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38</w:t>
            </w:r>
          </w:p>
        </w:tc>
      </w:tr>
      <w:tr w14:paraId="25F4D46B">
        <w:tblPrEx>
          <w:tblCellMar>
            <w:top w:w="15" w:type="dxa"/>
            <w:left w:w="15" w:type="dxa"/>
            <w:bottom w:w="15" w:type="dxa"/>
            <w:right w:w="15" w:type="dxa"/>
          </w:tblCellMar>
        </w:tblPrEx>
        <w:trPr>
          <w:trHeight w:val="283" w:hRule="atLeast"/>
          <w:jc w:val="center"/>
        </w:trPr>
        <w:tc>
          <w:tcPr>
            <w:tcW w:w="1187" w:type="pct"/>
            <w:tcBorders>
              <w:top w:val="single" w:color="auto" w:sz="4" w:space="0"/>
              <w:left w:val="single" w:color="auto" w:sz="4" w:space="0"/>
              <w:bottom w:val="single" w:color="auto" w:sz="4" w:space="0"/>
              <w:right w:val="single" w:color="auto" w:sz="4" w:space="0"/>
            </w:tcBorders>
            <w:noWrap w:val="0"/>
            <w:vAlign w:val="center"/>
          </w:tcPr>
          <w:p w14:paraId="5B50AC7B">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镉</w:t>
            </w:r>
          </w:p>
        </w:tc>
        <w:tc>
          <w:tcPr>
            <w:tcW w:w="1221" w:type="pct"/>
            <w:gridSpan w:val="2"/>
            <w:tcBorders>
              <w:top w:val="single" w:color="auto" w:sz="4" w:space="0"/>
              <w:left w:val="single" w:color="auto" w:sz="4" w:space="0"/>
              <w:bottom w:val="single" w:color="auto" w:sz="4" w:space="0"/>
              <w:right w:val="single" w:color="auto" w:sz="4" w:space="0"/>
            </w:tcBorders>
            <w:noWrap w:val="0"/>
            <w:vAlign w:val="center"/>
          </w:tcPr>
          <w:p w14:paraId="3356FFC0">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mg/</w:t>
            </w:r>
            <w:r>
              <w:rPr>
                <w:rFonts w:hint="default" w:ascii="Times New Roman" w:hAnsi="Times New Roman" w:cs="Times New Roman"/>
                <w:color w:val="auto"/>
                <w:highlight w:val="none"/>
                <w:lang w:val="en-US" w:eastAsia="zh-CN"/>
              </w:rPr>
              <w:t>kg</w:t>
            </w:r>
          </w:p>
        </w:tc>
        <w:tc>
          <w:tcPr>
            <w:tcW w:w="1177" w:type="pct"/>
            <w:tcBorders>
              <w:top w:val="single" w:color="auto" w:sz="4" w:space="0"/>
              <w:left w:val="single" w:color="auto" w:sz="4" w:space="0"/>
              <w:bottom w:val="single" w:color="auto" w:sz="4" w:space="0"/>
              <w:right w:val="single" w:color="auto" w:sz="4" w:space="0"/>
            </w:tcBorders>
            <w:noWrap w:val="0"/>
            <w:vAlign w:val="center"/>
          </w:tcPr>
          <w:p w14:paraId="4E3FFF83">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0.38</w:t>
            </w:r>
          </w:p>
        </w:tc>
        <w:tc>
          <w:tcPr>
            <w:tcW w:w="1414" w:type="pct"/>
            <w:tcBorders>
              <w:top w:val="single" w:color="auto" w:sz="4" w:space="0"/>
              <w:left w:val="single" w:color="auto" w:sz="4" w:space="0"/>
              <w:bottom w:val="single" w:color="auto" w:sz="4" w:space="0"/>
              <w:right w:val="single" w:color="auto" w:sz="4" w:space="0"/>
            </w:tcBorders>
            <w:noWrap w:val="0"/>
            <w:vAlign w:val="center"/>
          </w:tcPr>
          <w:p w14:paraId="27C44C85">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65</w:t>
            </w:r>
          </w:p>
        </w:tc>
      </w:tr>
      <w:tr w14:paraId="237CE247">
        <w:tblPrEx>
          <w:tblCellMar>
            <w:top w:w="15" w:type="dxa"/>
            <w:left w:w="15" w:type="dxa"/>
            <w:bottom w:w="15" w:type="dxa"/>
            <w:right w:w="15" w:type="dxa"/>
          </w:tblCellMar>
        </w:tblPrEx>
        <w:trPr>
          <w:trHeight w:val="283" w:hRule="atLeast"/>
          <w:jc w:val="center"/>
        </w:trPr>
        <w:tc>
          <w:tcPr>
            <w:tcW w:w="1187" w:type="pct"/>
            <w:tcBorders>
              <w:top w:val="single" w:color="auto" w:sz="4" w:space="0"/>
              <w:left w:val="single" w:color="auto" w:sz="4" w:space="0"/>
              <w:bottom w:val="single" w:color="auto" w:sz="4" w:space="0"/>
              <w:right w:val="single" w:color="auto" w:sz="4" w:space="0"/>
            </w:tcBorders>
            <w:noWrap w:val="0"/>
            <w:vAlign w:val="center"/>
          </w:tcPr>
          <w:p w14:paraId="73855B0D">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铜</w:t>
            </w:r>
          </w:p>
        </w:tc>
        <w:tc>
          <w:tcPr>
            <w:tcW w:w="1221" w:type="pct"/>
            <w:gridSpan w:val="2"/>
            <w:tcBorders>
              <w:top w:val="single" w:color="auto" w:sz="4" w:space="0"/>
              <w:left w:val="single" w:color="auto" w:sz="4" w:space="0"/>
              <w:bottom w:val="single" w:color="auto" w:sz="4" w:space="0"/>
              <w:right w:val="single" w:color="auto" w:sz="4" w:space="0"/>
            </w:tcBorders>
            <w:noWrap w:val="0"/>
            <w:vAlign w:val="center"/>
          </w:tcPr>
          <w:p w14:paraId="50D8B9D1">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mg/</w:t>
            </w:r>
            <w:r>
              <w:rPr>
                <w:rFonts w:hint="default" w:ascii="Times New Roman" w:hAnsi="Times New Roman" w:cs="Times New Roman"/>
                <w:color w:val="auto"/>
                <w:highlight w:val="none"/>
                <w:lang w:val="en-US" w:eastAsia="zh-CN"/>
              </w:rPr>
              <w:t>kg</w:t>
            </w:r>
          </w:p>
        </w:tc>
        <w:tc>
          <w:tcPr>
            <w:tcW w:w="1177" w:type="pct"/>
            <w:tcBorders>
              <w:top w:val="single" w:color="auto" w:sz="4" w:space="0"/>
              <w:left w:val="single" w:color="auto" w:sz="4" w:space="0"/>
              <w:bottom w:val="single" w:color="auto" w:sz="4" w:space="0"/>
              <w:right w:val="single" w:color="auto" w:sz="4" w:space="0"/>
            </w:tcBorders>
            <w:noWrap w:val="0"/>
            <w:vAlign w:val="center"/>
          </w:tcPr>
          <w:p w14:paraId="27C32273">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30</w:t>
            </w:r>
          </w:p>
        </w:tc>
        <w:tc>
          <w:tcPr>
            <w:tcW w:w="1414" w:type="pct"/>
            <w:tcBorders>
              <w:top w:val="single" w:color="auto" w:sz="4" w:space="0"/>
              <w:left w:val="single" w:color="auto" w:sz="4" w:space="0"/>
              <w:bottom w:val="single" w:color="auto" w:sz="4" w:space="0"/>
              <w:right w:val="single" w:color="auto" w:sz="4" w:space="0"/>
            </w:tcBorders>
            <w:noWrap w:val="0"/>
            <w:vAlign w:val="center"/>
          </w:tcPr>
          <w:p w14:paraId="605D767D">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18000</w:t>
            </w:r>
          </w:p>
        </w:tc>
      </w:tr>
      <w:tr w14:paraId="45936E7A">
        <w:tblPrEx>
          <w:tblCellMar>
            <w:top w:w="15" w:type="dxa"/>
            <w:left w:w="15" w:type="dxa"/>
            <w:bottom w:w="15" w:type="dxa"/>
            <w:right w:w="15" w:type="dxa"/>
          </w:tblCellMar>
        </w:tblPrEx>
        <w:trPr>
          <w:trHeight w:val="283" w:hRule="atLeast"/>
          <w:jc w:val="center"/>
        </w:trPr>
        <w:tc>
          <w:tcPr>
            <w:tcW w:w="1187" w:type="pct"/>
            <w:tcBorders>
              <w:top w:val="single" w:color="auto" w:sz="4" w:space="0"/>
              <w:left w:val="single" w:color="auto" w:sz="4" w:space="0"/>
              <w:bottom w:val="single" w:color="auto" w:sz="4" w:space="0"/>
              <w:right w:val="single" w:color="auto" w:sz="4" w:space="0"/>
            </w:tcBorders>
            <w:noWrap w:val="0"/>
            <w:vAlign w:val="center"/>
          </w:tcPr>
          <w:p w14:paraId="1F8F2CE9">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镍</w:t>
            </w:r>
          </w:p>
        </w:tc>
        <w:tc>
          <w:tcPr>
            <w:tcW w:w="1221" w:type="pct"/>
            <w:gridSpan w:val="2"/>
            <w:tcBorders>
              <w:top w:val="single" w:color="auto" w:sz="4" w:space="0"/>
              <w:left w:val="single" w:color="auto" w:sz="4" w:space="0"/>
              <w:bottom w:val="single" w:color="auto" w:sz="4" w:space="0"/>
              <w:right w:val="single" w:color="auto" w:sz="4" w:space="0"/>
            </w:tcBorders>
            <w:noWrap w:val="0"/>
            <w:vAlign w:val="center"/>
          </w:tcPr>
          <w:p w14:paraId="48C9A162">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mg/</w:t>
            </w:r>
            <w:r>
              <w:rPr>
                <w:rFonts w:hint="default" w:ascii="Times New Roman" w:hAnsi="Times New Roman" w:cs="Times New Roman"/>
                <w:color w:val="auto"/>
                <w:highlight w:val="none"/>
                <w:lang w:val="en-US" w:eastAsia="zh-CN"/>
              </w:rPr>
              <w:t>kg</w:t>
            </w:r>
          </w:p>
        </w:tc>
        <w:tc>
          <w:tcPr>
            <w:tcW w:w="1177" w:type="pct"/>
            <w:tcBorders>
              <w:top w:val="single" w:color="auto" w:sz="4" w:space="0"/>
              <w:left w:val="single" w:color="auto" w:sz="4" w:space="0"/>
              <w:bottom w:val="single" w:color="auto" w:sz="4" w:space="0"/>
              <w:right w:val="single" w:color="auto" w:sz="4" w:space="0"/>
            </w:tcBorders>
            <w:noWrap w:val="0"/>
            <w:vAlign w:val="center"/>
          </w:tcPr>
          <w:p w14:paraId="51CCEC9F">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52</w:t>
            </w:r>
          </w:p>
        </w:tc>
        <w:tc>
          <w:tcPr>
            <w:tcW w:w="1414" w:type="pct"/>
            <w:tcBorders>
              <w:top w:val="single" w:color="auto" w:sz="4" w:space="0"/>
              <w:left w:val="single" w:color="auto" w:sz="4" w:space="0"/>
              <w:bottom w:val="single" w:color="auto" w:sz="4" w:space="0"/>
              <w:right w:val="single" w:color="auto" w:sz="4" w:space="0"/>
            </w:tcBorders>
            <w:noWrap w:val="0"/>
            <w:vAlign w:val="center"/>
          </w:tcPr>
          <w:p w14:paraId="38506040">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900</w:t>
            </w:r>
          </w:p>
        </w:tc>
      </w:tr>
      <w:tr w14:paraId="373DC133">
        <w:tblPrEx>
          <w:tblCellMar>
            <w:top w:w="15" w:type="dxa"/>
            <w:left w:w="15" w:type="dxa"/>
            <w:bottom w:w="15" w:type="dxa"/>
            <w:right w:w="15" w:type="dxa"/>
          </w:tblCellMar>
        </w:tblPrEx>
        <w:trPr>
          <w:trHeight w:val="283" w:hRule="atLeast"/>
          <w:jc w:val="center"/>
        </w:trPr>
        <w:tc>
          <w:tcPr>
            <w:tcW w:w="1187" w:type="pct"/>
            <w:tcBorders>
              <w:top w:val="single" w:color="auto" w:sz="4" w:space="0"/>
              <w:left w:val="single" w:color="auto" w:sz="4" w:space="0"/>
              <w:bottom w:val="single" w:color="auto" w:sz="4" w:space="0"/>
              <w:right w:val="single" w:color="auto" w:sz="4" w:space="0"/>
            </w:tcBorders>
            <w:noWrap w:val="0"/>
            <w:vAlign w:val="center"/>
          </w:tcPr>
          <w:p w14:paraId="39FEFEC1">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六价铬</w:t>
            </w:r>
          </w:p>
        </w:tc>
        <w:tc>
          <w:tcPr>
            <w:tcW w:w="1221" w:type="pct"/>
            <w:gridSpan w:val="2"/>
            <w:tcBorders>
              <w:top w:val="single" w:color="auto" w:sz="4" w:space="0"/>
              <w:left w:val="single" w:color="auto" w:sz="4" w:space="0"/>
              <w:bottom w:val="single" w:color="auto" w:sz="4" w:space="0"/>
              <w:right w:val="single" w:color="auto" w:sz="4" w:space="0"/>
            </w:tcBorders>
            <w:noWrap w:val="0"/>
            <w:vAlign w:val="center"/>
          </w:tcPr>
          <w:p w14:paraId="224FCB46">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mg/</w:t>
            </w:r>
            <w:r>
              <w:rPr>
                <w:rFonts w:hint="default" w:ascii="Times New Roman" w:hAnsi="Times New Roman" w:cs="Times New Roman"/>
                <w:color w:val="auto"/>
                <w:highlight w:val="none"/>
                <w:lang w:val="en-US" w:eastAsia="zh-CN"/>
              </w:rPr>
              <w:t>kg</w:t>
            </w:r>
          </w:p>
        </w:tc>
        <w:tc>
          <w:tcPr>
            <w:tcW w:w="1177" w:type="pct"/>
            <w:tcBorders>
              <w:top w:val="single" w:color="auto" w:sz="4" w:space="0"/>
              <w:left w:val="single" w:color="auto" w:sz="4" w:space="0"/>
              <w:bottom w:val="single" w:color="auto" w:sz="4" w:space="0"/>
              <w:right w:val="single" w:color="auto" w:sz="4" w:space="0"/>
            </w:tcBorders>
            <w:noWrap w:val="0"/>
            <w:vAlign w:val="center"/>
          </w:tcPr>
          <w:p w14:paraId="78ACE3E0">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未检出</w:t>
            </w:r>
          </w:p>
        </w:tc>
        <w:tc>
          <w:tcPr>
            <w:tcW w:w="1414" w:type="pct"/>
            <w:tcBorders>
              <w:top w:val="single" w:color="auto" w:sz="4" w:space="0"/>
              <w:left w:val="single" w:color="auto" w:sz="4" w:space="0"/>
              <w:bottom w:val="single" w:color="auto" w:sz="4" w:space="0"/>
              <w:right w:val="single" w:color="auto" w:sz="4" w:space="0"/>
            </w:tcBorders>
            <w:noWrap w:val="0"/>
            <w:vAlign w:val="center"/>
          </w:tcPr>
          <w:p w14:paraId="3D0776A1">
            <w:pPr>
              <w:pStyle w:val="48"/>
              <w:keepNext w:val="0"/>
              <w:keepLines w:val="0"/>
              <w:pageBreakBefore w:val="0"/>
              <w:widowControl w:val="0"/>
              <w:kinsoku w:val="0"/>
              <w:wordWrap/>
              <w:overflowPunct w:val="0"/>
              <w:topLinePunct w:val="0"/>
              <w:autoSpaceDE w:val="0"/>
              <w:autoSpaceDN w:val="0"/>
              <w:bidi w:val="0"/>
              <w:adjustRightInd w:val="0"/>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5.7</w:t>
            </w:r>
          </w:p>
        </w:tc>
      </w:tr>
    </w:tbl>
    <w:p w14:paraId="40F9D88D">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表4.3-</w:t>
      </w:r>
      <w:r>
        <w:rPr>
          <w:rFonts w:hint="default" w:ascii="Times New Roman" w:hAnsi="Times New Roman" w:cs="Times New Roman"/>
          <w:color w:val="auto"/>
          <w:highlight w:val="none"/>
          <w:lang w:val="en-US" w:eastAsia="zh-CN"/>
        </w:rPr>
        <w:t>18</w:t>
      </w:r>
      <w:r>
        <w:rPr>
          <w:rFonts w:hint="default" w:ascii="Times New Roman" w:hAnsi="Times New Roman" w:cs="Times New Roman"/>
          <w:color w:val="auto"/>
          <w:highlight w:val="none"/>
        </w:rPr>
        <w:tab/>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2#、3#点土壤监测结果</w:t>
      </w:r>
    </w:p>
    <w:tbl>
      <w:tblPr>
        <w:tblStyle w:val="31"/>
        <w:tblW w:w="4997" w:type="pct"/>
        <w:jc w:val="center"/>
        <w:tblLayout w:type="autofit"/>
        <w:tblCellMar>
          <w:top w:w="15" w:type="dxa"/>
          <w:left w:w="15" w:type="dxa"/>
          <w:bottom w:w="15" w:type="dxa"/>
          <w:right w:w="15" w:type="dxa"/>
        </w:tblCellMar>
      </w:tblPr>
      <w:tblGrid>
        <w:gridCol w:w="1395"/>
        <w:gridCol w:w="1345"/>
        <w:gridCol w:w="2100"/>
        <w:gridCol w:w="2028"/>
        <w:gridCol w:w="2306"/>
      </w:tblGrid>
      <w:tr w14:paraId="3E9B3D8B">
        <w:tblPrEx>
          <w:tblCellMar>
            <w:top w:w="15" w:type="dxa"/>
            <w:left w:w="15" w:type="dxa"/>
            <w:bottom w:w="15" w:type="dxa"/>
            <w:right w:w="15" w:type="dxa"/>
          </w:tblCellMar>
        </w:tblPrEx>
        <w:trPr>
          <w:trHeight w:val="283" w:hRule="atLeast"/>
          <w:jc w:val="center"/>
        </w:trPr>
        <w:tc>
          <w:tcPr>
            <w:tcW w:w="1493" w:type="pct"/>
            <w:gridSpan w:val="2"/>
            <w:tcBorders>
              <w:top w:val="single" w:color="000000" w:sz="4" w:space="0"/>
              <w:left w:val="single" w:color="000000" w:sz="4" w:space="0"/>
              <w:bottom w:val="single" w:color="000000" w:sz="4" w:space="0"/>
              <w:right w:val="single" w:color="000000" w:sz="4" w:space="0"/>
            </w:tcBorders>
            <w:noWrap w:val="0"/>
            <w:vAlign w:val="center"/>
          </w:tcPr>
          <w:p w14:paraId="6305936B">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采样</w:t>
            </w:r>
            <w:r>
              <w:rPr>
                <w:rFonts w:hint="default" w:ascii="Times New Roman" w:hAnsi="Times New Roman" w:cs="Times New Roman"/>
                <w:color w:val="auto"/>
                <w:highlight w:val="none"/>
              </w:rPr>
              <w:t>日期</w:t>
            </w:r>
          </w:p>
        </w:tc>
        <w:tc>
          <w:tcPr>
            <w:tcW w:w="1144" w:type="pct"/>
            <w:tcBorders>
              <w:top w:val="single" w:color="000000" w:sz="4" w:space="0"/>
              <w:left w:val="single" w:color="000000" w:sz="4" w:space="0"/>
              <w:bottom w:val="single" w:color="auto" w:sz="4" w:space="0"/>
              <w:right w:val="single" w:color="000000" w:sz="4" w:space="0"/>
            </w:tcBorders>
            <w:noWrap w:val="0"/>
            <w:vAlign w:val="center"/>
          </w:tcPr>
          <w:p w14:paraId="5DD753BD">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20</w:t>
            </w:r>
            <w:r>
              <w:rPr>
                <w:rFonts w:hint="default" w:ascii="Times New Roman" w:hAnsi="Times New Roman" w:cs="Times New Roman"/>
                <w:color w:val="auto"/>
                <w:highlight w:val="none"/>
                <w:lang w:val="en-US" w:eastAsia="zh-CN"/>
              </w:rPr>
              <w:t>25年3月27日</w:t>
            </w:r>
          </w:p>
        </w:tc>
        <w:tc>
          <w:tcPr>
            <w:tcW w:w="1105" w:type="pct"/>
            <w:tcBorders>
              <w:top w:val="single" w:color="000000" w:sz="4" w:space="0"/>
              <w:left w:val="single" w:color="000000" w:sz="4" w:space="0"/>
              <w:bottom w:val="single" w:color="auto" w:sz="4" w:space="0"/>
              <w:right w:val="single" w:color="000000" w:sz="4" w:space="0"/>
            </w:tcBorders>
            <w:noWrap w:val="0"/>
            <w:vAlign w:val="center"/>
          </w:tcPr>
          <w:p w14:paraId="536A6186">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分析日期</w:t>
            </w:r>
          </w:p>
        </w:tc>
        <w:tc>
          <w:tcPr>
            <w:tcW w:w="1256" w:type="pct"/>
            <w:tcBorders>
              <w:top w:val="single" w:color="000000" w:sz="4" w:space="0"/>
              <w:left w:val="single" w:color="000000" w:sz="4" w:space="0"/>
              <w:bottom w:val="single" w:color="auto" w:sz="4" w:space="0"/>
              <w:right w:val="single" w:color="000000" w:sz="4" w:space="0"/>
            </w:tcBorders>
            <w:noWrap w:val="0"/>
            <w:vAlign w:val="center"/>
          </w:tcPr>
          <w:p w14:paraId="63FFD7A9">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20</w:t>
            </w:r>
            <w:r>
              <w:rPr>
                <w:rFonts w:hint="default" w:ascii="Times New Roman" w:hAnsi="Times New Roman" w:cs="Times New Roman"/>
                <w:color w:val="auto"/>
                <w:highlight w:val="none"/>
                <w:lang w:val="en-US" w:eastAsia="zh-CN"/>
              </w:rPr>
              <w:t>25年3月28日-4月8日</w:t>
            </w:r>
          </w:p>
        </w:tc>
      </w:tr>
      <w:tr w14:paraId="3A036710">
        <w:tblPrEx>
          <w:tblCellMar>
            <w:top w:w="15" w:type="dxa"/>
            <w:left w:w="15" w:type="dxa"/>
            <w:bottom w:w="15" w:type="dxa"/>
            <w:right w:w="15" w:type="dxa"/>
          </w:tblCellMar>
        </w:tblPrEx>
        <w:trPr>
          <w:trHeight w:val="283" w:hRule="atLeast"/>
          <w:jc w:val="center"/>
        </w:trPr>
        <w:tc>
          <w:tcPr>
            <w:tcW w:w="1493" w:type="pct"/>
            <w:gridSpan w:val="2"/>
            <w:tcBorders>
              <w:top w:val="single" w:color="000000" w:sz="4" w:space="0"/>
              <w:left w:val="single" w:color="000000" w:sz="4" w:space="0"/>
              <w:bottom w:val="single" w:color="000000" w:sz="4" w:space="0"/>
              <w:right w:val="single" w:color="auto" w:sz="4" w:space="0"/>
            </w:tcBorders>
            <w:noWrap w:val="0"/>
            <w:vAlign w:val="center"/>
          </w:tcPr>
          <w:p w14:paraId="61F69929">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样品编码</w:t>
            </w:r>
          </w:p>
        </w:tc>
        <w:tc>
          <w:tcPr>
            <w:tcW w:w="1144" w:type="pct"/>
            <w:tcBorders>
              <w:top w:val="single" w:color="auto" w:sz="4" w:space="0"/>
              <w:left w:val="single" w:color="auto" w:sz="4" w:space="0"/>
              <w:bottom w:val="single" w:color="auto" w:sz="4" w:space="0"/>
              <w:right w:val="single" w:color="auto" w:sz="4" w:space="0"/>
            </w:tcBorders>
            <w:noWrap w:val="0"/>
            <w:vAlign w:val="center"/>
          </w:tcPr>
          <w:p w14:paraId="6F26A435">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TC-2#-1</w:t>
            </w:r>
          </w:p>
        </w:tc>
        <w:tc>
          <w:tcPr>
            <w:tcW w:w="110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FB9159D">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TC-3#-1</w:t>
            </w:r>
          </w:p>
        </w:tc>
        <w:tc>
          <w:tcPr>
            <w:tcW w:w="1256" w:type="pct"/>
            <w:vMerge w:val="restart"/>
            <w:tcBorders>
              <w:top w:val="single" w:color="auto" w:sz="4" w:space="0"/>
              <w:left w:val="single" w:color="auto" w:sz="4" w:space="0"/>
              <w:right w:val="single" w:color="auto" w:sz="4" w:space="0"/>
            </w:tcBorders>
            <w:noWrap w:val="0"/>
            <w:vAlign w:val="center"/>
          </w:tcPr>
          <w:p w14:paraId="1C28CE0C">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《土壤环境质量 农用地土壤污染风险管控标准（试行）</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（GB15618-2018）表1中的风险筛选值质量标准（m</w:t>
            </w:r>
            <w:r>
              <w:rPr>
                <w:rFonts w:hint="default" w:ascii="Times New Roman" w:hAnsi="Times New Roman" w:cs="Times New Roman"/>
                <w:color w:val="auto"/>
                <w:highlight w:val="none"/>
              </w:rPr>
              <w:t>g/</w:t>
            </w:r>
            <w:r>
              <w:rPr>
                <w:rFonts w:hint="default" w:ascii="Times New Roman" w:hAnsi="Times New Roman" w:cs="Times New Roman"/>
                <w:color w:val="auto"/>
                <w:highlight w:val="none"/>
                <w:lang w:val="en-US" w:eastAsia="zh-CN"/>
              </w:rPr>
              <w:t>kg）</w:t>
            </w:r>
          </w:p>
        </w:tc>
      </w:tr>
      <w:tr w14:paraId="0F1504BA">
        <w:tblPrEx>
          <w:tblCellMar>
            <w:top w:w="15" w:type="dxa"/>
            <w:left w:w="15" w:type="dxa"/>
            <w:bottom w:w="15" w:type="dxa"/>
            <w:right w:w="15" w:type="dxa"/>
          </w:tblCellMar>
        </w:tblPrEx>
        <w:trPr>
          <w:trHeight w:val="283" w:hRule="atLeast"/>
          <w:jc w:val="center"/>
        </w:trPr>
        <w:tc>
          <w:tcPr>
            <w:tcW w:w="1493" w:type="pct"/>
            <w:gridSpan w:val="2"/>
            <w:tcBorders>
              <w:top w:val="single" w:color="000000" w:sz="4" w:space="0"/>
              <w:left w:val="single" w:color="000000" w:sz="4" w:space="0"/>
              <w:bottom w:val="single" w:color="000000" w:sz="4" w:space="0"/>
              <w:right w:val="single" w:color="auto" w:sz="4" w:space="0"/>
            </w:tcBorders>
            <w:noWrap w:val="0"/>
            <w:vAlign w:val="center"/>
          </w:tcPr>
          <w:p w14:paraId="5F9B4FF0">
            <w:pPr>
              <w:pStyle w:val="48"/>
              <w:bidi w:val="0"/>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eastAsia="zh-CN"/>
              </w:rPr>
              <w:t>采样地点</w:t>
            </w:r>
          </w:p>
        </w:tc>
        <w:tc>
          <w:tcPr>
            <w:tcW w:w="1144" w:type="pct"/>
            <w:tcBorders>
              <w:top w:val="single" w:color="auto" w:sz="4" w:space="0"/>
              <w:left w:val="single" w:color="auto" w:sz="4" w:space="0"/>
              <w:bottom w:val="single" w:color="auto" w:sz="4" w:space="0"/>
              <w:right w:val="single" w:color="auto" w:sz="4" w:space="0"/>
            </w:tcBorders>
            <w:noWrap w:val="0"/>
            <w:vAlign w:val="center"/>
          </w:tcPr>
          <w:p w14:paraId="5B2EF4D7">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E：88°17′88.10″</w:t>
            </w:r>
          </w:p>
          <w:p w14:paraId="52824316">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N：44°41′54.67″</w:t>
            </w:r>
          </w:p>
        </w:tc>
        <w:tc>
          <w:tcPr>
            <w:tcW w:w="110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01567D7">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E：88°18.10.58′″</w:t>
            </w:r>
          </w:p>
          <w:p w14:paraId="15C91703">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N：44°42′7.65″</w:t>
            </w:r>
          </w:p>
        </w:tc>
        <w:tc>
          <w:tcPr>
            <w:tcW w:w="1256" w:type="pct"/>
            <w:vMerge w:val="continue"/>
            <w:tcBorders>
              <w:left w:val="single" w:color="auto" w:sz="4" w:space="0"/>
              <w:right w:val="single" w:color="auto" w:sz="4" w:space="0"/>
            </w:tcBorders>
            <w:noWrap w:val="0"/>
            <w:vAlign w:val="center"/>
          </w:tcPr>
          <w:p w14:paraId="69B37F9F">
            <w:pPr>
              <w:pStyle w:val="48"/>
              <w:bidi w:val="0"/>
              <w:rPr>
                <w:rFonts w:hint="default" w:ascii="Times New Roman" w:hAnsi="Times New Roman" w:cs="Times New Roman"/>
                <w:color w:val="auto"/>
                <w:highlight w:val="none"/>
                <w:lang w:val="en-US" w:eastAsia="zh-CN"/>
              </w:rPr>
            </w:pPr>
          </w:p>
        </w:tc>
      </w:tr>
      <w:tr w14:paraId="240EF620">
        <w:tblPrEx>
          <w:tblCellMar>
            <w:top w:w="15" w:type="dxa"/>
            <w:left w:w="15" w:type="dxa"/>
            <w:bottom w:w="15" w:type="dxa"/>
            <w:right w:w="15" w:type="dxa"/>
          </w:tblCellMar>
        </w:tblPrEx>
        <w:trPr>
          <w:trHeight w:val="283" w:hRule="atLeast"/>
          <w:jc w:val="center"/>
        </w:trPr>
        <w:tc>
          <w:tcPr>
            <w:tcW w:w="1493" w:type="pct"/>
            <w:gridSpan w:val="2"/>
            <w:tcBorders>
              <w:top w:val="single" w:color="000000" w:sz="4" w:space="0"/>
              <w:left w:val="single" w:color="000000" w:sz="4" w:space="0"/>
              <w:right w:val="single" w:color="auto" w:sz="4" w:space="0"/>
            </w:tcBorders>
            <w:noWrap w:val="0"/>
            <w:vAlign w:val="center"/>
          </w:tcPr>
          <w:p w14:paraId="529A8398">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深度（cm）</w:t>
            </w:r>
          </w:p>
        </w:tc>
        <w:tc>
          <w:tcPr>
            <w:tcW w:w="1144" w:type="pct"/>
            <w:tcBorders>
              <w:top w:val="single" w:color="auto" w:sz="4" w:space="0"/>
              <w:left w:val="single" w:color="auto" w:sz="4" w:space="0"/>
              <w:right w:val="single" w:color="auto" w:sz="4" w:space="0"/>
            </w:tcBorders>
            <w:noWrap w:val="0"/>
            <w:vAlign w:val="center"/>
          </w:tcPr>
          <w:p w14:paraId="5104A778">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19</w:t>
            </w:r>
          </w:p>
        </w:tc>
        <w:tc>
          <w:tcPr>
            <w:tcW w:w="1105" w:type="pct"/>
            <w:tcBorders>
              <w:top w:val="single" w:color="auto" w:sz="4" w:space="0"/>
              <w:left w:val="single" w:color="auto" w:sz="4" w:space="0"/>
              <w:bottom w:val="single" w:color="auto" w:sz="4" w:space="0"/>
              <w:right w:val="single" w:color="auto" w:sz="4" w:space="0"/>
            </w:tcBorders>
            <w:noWrap w:val="0"/>
            <w:vAlign w:val="center"/>
          </w:tcPr>
          <w:p w14:paraId="4B66C711">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20</w:t>
            </w:r>
          </w:p>
        </w:tc>
        <w:tc>
          <w:tcPr>
            <w:tcW w:w="1256" w:type="pct"/>
            <w:vMerge w:val="continue"/>
            <w:tcBorders>
              <w:left w:val="single" w:color="auto" w:sz="4" w:space="0"/>
              <w:right w:val="single" w:color="auto" w:sz="4" w:space="0"/>
            </w:tcBorders>
            <w:noWrap w:val="0"/>
            <w:vAlign w:val="center"/>
          </w:tcPr>
          <w:p w14:paraId="4EE5D798">
            <w:pPr>
              <w:pStyle w:val="48"/>
              <w:bidi w:val="0"/>
              <w:rPr>
                <w:rFonts w:hint="default" w:ascii="Times New Roman" w:hAnsi="Times New Roman" w:cs="Times New Roman"/>
                <w:color w:val="auto"/>
                <w:highlight w:val="none"/>
                <w:lang w:val="en-US" w:eastAsia="zh-CN"/>
              </w:rPr>
            </w:pPr>
          </w:p>
        </w:tc>
      </w:tr>
      <w:tr w14:paraId="65ADBFDA">
        <w:tblPrEx>
          <w:tblCellMar>
            <w:top w:w="15" w:type="dxa"/>
            <w:left w:w="15" w:type="dxa"/>
            <w:bottom w:w="15" w:type="dxa"/>
            <w:right w:w="15" w:type="dxa"/>
          </w:tblCellMar>
        </w:tblPrEx>
        <w:trPr>
          <w:trHeight w:val="283" w:hRule="atLeast"/>
          <w:jc w:val="center"/>
        </w:trPr>
        <w:tc>
          <w:tcPr>
            <w:tcW w:w="760" w:type="pct"/>
            <w:tcBorders>
              <w:top w:val="single" w:color="auto" w:sz="4" w:space="0"/>
              <w:left w:val="single" w:color="auto" w:sz="4" w:space="0"/>
              <w:bottom w:val="single" w:color="auto" w:sz="4" w:space="0"/>
              <w:right w:val="single" w:color="auto" w:sz="4" w:space="0"/>
            </w:tcBorders>
            <w:noWrap w:val="0"/>
            <w:vAlign w:val="center"/>
          </w:tcPr>
          <w:p w14:paraId="71761EA1">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检测项目</w:t>
            </w:r>
          </w:p>
        </w:tc>
        <w:tc>
          <w:tcPr>
            <w:tcW w:w="733" w:type="pct"/>
            <w:tcBorders>
              <w:top w:val="single" w:color="auto" w:sz="4" w:space="0"/>
              <w:left w:val="single" w:color="auto" w:sz="4" w:space="0"/>
              <w:bottom w:val="single" w:color="auto" w:sz="4" w:space="0"/>
              <w:right w:val="single" w:color="auto" w:sz="4" w:space="0"/>
            </w:tcBorders>
            <w:noWrap w:val="0"/>
            <w:vAlign w:val="center"/>
          </w:tcPr>
          <w:p w14:paraId="021CBC3C">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单位</w:t>
            </w:r>
          </w:p>
        </w:tc>
        <w:tc>
          <w:tcPr>
            <w:tcW w:w="2249" w:type="pct"/>
            <w:gridSpan w:val="2"/>
            <w:tcBorders>
              <w:top w:val="single" w:color="auto" w:sz="4" w:space="0"/>
              <w:left w:val="single" w:color="auto" w:sz="4" w:space="0"/>
              <w:bottom w:val="single" w:color="auto" w:sz="4" w:space="0"/>
              <w:right w:val="single" w:color="auto" w:sz="4" w:space="0"/>
            </w:tcBorders>
            <w:noWrap w:val="0"/>
            <w:vAlign w:val="center"/>
          </w:tcPr>
          <w:p w14:paraId="27F2911B">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检测结果</w:t>
            </w:r>
          </w:p>
        </w:tc>
        <w:tc>
          <w:tcPr>
            <w:tcW w:w="1256" w:type="pct"/>
            <w:vMerge w:val="continue"/>
            <w:tcBorders>
              <w:left w:val="single" w:color="auto" w:sz="4" w:space="0"/>
              <w:bottom w:val="single" w:color="auto" w:sz="4" w:space="0"/>
              <w:right w:val="single" w:color="auto" w:sz="4" w:space="0"/>
            </w:tcBorders>
            <w:noWrap w:val="0"/>
            <w:vAlign w:val="center"/>
          </w:tcPr>
          <w:p w14:paraId="63A011BA">
            <w:pPr>
              <w:pStyle w:val="48"/>
              <w:bidi w:val="0"/>
              <w:rPr>
                <w:rFonts w:hint="default" w:ascii="Times New Roman" w:hAnsi="Times New Roman" w:cs="Times New Roman"/>
                <w:color w:val="auto"/>
                <w:highlight w:val="none"/>
                <w:lang w:val="en-US" w:eastAsia="zh-CN"/>
              </w:rPr>
            </w:pPr>
          </w:p>
        </w:tc>
      </w:tr>
      <w:tr w14:paraId="424A276D">
        <w:tblPrEx>
          <w:tblCellMar>
            <w:top w:w="15" w:type="dxa"/>
            <w:left w:w="15" w:type="dxa"/>
            <w:bottom w:w="15" w:type="dxa"/>
            <w:right w:w="15" w:type="dxa"/>
          </w:tblCellMar>
        </w:tblPrEx>
        <w:trPr>
          <w:trHeight w:val="283" w:hRule="atLeast"/>
          <w:jc w:val="center"/>
        </w:trPr>
        <w:tc>
          <w:tcPr>
            <w:tcW w:w="760" w:type="pct"/>
            <w:tcBorders>
              <w:top w:val="single" w:color="auto" w:sz="4" w:space="0"/>
              <w:left w:val="single" w:color="auto" w:sz="4" w:space="0"/>
              <w:bottom w:val="single" w:color="auto" w:sz="4" w:space="0"/>
              <w:right w:val="single" w:color="auto" w:sz="4" w:space="0"/>
            </w:tcBorders>
            <w:noWrap w:val="0"/>
            <w:vAlign w:val="center"/>
          </w:tcPr>
          <w:p w14:paraId="38B886DF">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pH</w:t>
            </w:r>
          </w:p>
        </w:tc>
        <w:tc>
          <w:tcPr>
            <w:tcW w:w="733" w:type="pct"/>
            <w:tcBorders>
              <w:top w:val="single" w:color="auto" w:sz="4" w:space="0"/>
              <w:left w:val="single" w:color="auto" w:sz="4" w:space="0"/>
              <w:bottom w:val="single" w:color="auto" w:sz="4" w:space="0"/>
              <w:right w:val="single" w:color="auto" w:sz="4" w:space="0"/>
            </w:tcBorders>
            <w:noWrap w:val="0"/>
            <w:vAlign w:val="center"/>
          </w:tcPr>
          <w:p w14:paraId="6DDB4109">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无量纲</w:t>
            </w:r>
          </w:p>
        </w:tc>
        <w:tc>
          <w:tcPr>
            <w:tcW w:w="1144" w:type="pct"/>
            <w:tcBorders>
              <w:top w:val="single" w:color="auto" w:sz="4" w:space="0"/>
              <w:left w:val="single" w:color="auto" w:sz="4" w:space="0"/>
              <w:bottom w:val="single" w:color="auto" w:sz="4" w:space="0"/>
              <w:right w:val="single" w:color="auto" w:sz="4" w:space="0"/>
            </w:tcBorders>
            <w:noWrap w:val="0"/>
            <w:vAlign w:val="center"/>
          </w:tcPr>
          <w:p w14:paraId="3ED9056A">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8.14</w:t>
            </w:r>
          </w:p>
        </w:tc>
        <w:tc>
          <w:tcPr>
            <w:tcW w:w="1105" w:type="pct"/>
            <w:tcBorders>
              <w:top w:val="single" w:color="auto" w:sz="4" w:space="0"/>
              <w:left w:val="single" w:color="auto" w:sz="4" w:space="0"/>
              <w:bottom w:val="single" w:color="auto" w:sz="4" w:space="0"/>
              <w:right w:val="single" w:color="auto" w:sz="4" w:space="0"/>
            </w:tcBorders>
            <w:noWrap w:val="0"/>
            <w:vAlign w:val="center"/>
          </w:tcPr>
          <w:p w14:paraId="18CAD295">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8.18</w:t>
            </w:r>
          </w:p>
        </w:tc>
        <w:tc>
          <w:tcPr>
            <w:tcW w:w="1256" w:type="pct"/>
            <w:tcBorders>
              <w:top w:val="single" w:color="auto" w:sz="4" w:space="0"/>
              <w:left w:val="single" w:color="auto" w:sz="4" w:space="0"/>
              <w:bottom w:val="single" w:color="auto" w:sz="4" w:space="0"/>
              <w:right w:val="single" w:color="auto" w:sz="4" w:space="0"/>
            </w:tcBorders>
            <w:noWrap w:val="0"/>
            <w:vAlign w:val="center"/>
          </w:tcPr>
          <w:p w14:paraId="183C4BA1">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&gt;7.5</w:t>
            </w:r>
          </w:p>
        </w:tc>
      </w:tr>
      <w:tr w14:paraId="0DD1B296">
        <w:tblPrEx>
          <w:tblCellMar>
            <w:top w:w="15" w:type="dxa"/>
            <w:left w:w="15" w:type="dxa"/>
            <w:bottom w:w="15" w:type="dxa"/>
            <w:right w:w="15" w:type="dxa"/>
          </w:tblCellMar>
        </w:tblPrEx>
        <w:trPr>
          <w:trHeight w:val="283" w:hRule="atLeast"/>
          <w:jc w:val="center"/>
        </w:trPr>
        <w:tc>
          <w:tcPr>
            <w:tcW w:w="760" w:type="pct"/>
            <w:tcBorders>
              <w:top w:val="single" w:color="auto" w:sz="4" w:space="0"/>
              <w:left w:val="single" w:color="auto" w:sz="4" w:space="0"/>
              <w:bottom w:val="single" w:color="auto" w:sz="4" w:space="0"/>
              <w:right w:val="single" w:color="auto" w:sz="4" w:space="0"/>
            </w:tcBorders>
            <w:noWrap w:val="0"/>
            <w:vAlign w:val="center"/>
          </w:tcPr>
          <w:p w14:paraId="5C390AD8">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砷</w:t>
            </w:r>
          </w:p>
        </w:tc>
        <w:tc>
          <w:tcPr>
            <w:tcW w:w="733" w:type="pct"/>
            <w:tcBorders>
              <w:top w:val="single" w:color="auto" w:sz="4" w:space="0"/>
              <w:left w:val="single" w:color="auto" w:sz="4" w:space="0"/>
              <w:bottom w:val="single" w:color="auto" w:sz="4" w:space="0"/>
              <w:right w:val="single" w:color="auto" w:sz="4" w:space="0"/>
            </w:tcBorders>
            <w:noWrap w:val="0"/>
            <w:vAlign w:val="center"/>
          </w:tcPr>
          <w:p w14:paraId="0BF416A7">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mg/</w:t>
            </w:r>
            <w:r>
              <w:rPr>
                <w:rFonts w:hint="default" w:ascii="Times New Roman" w:hAnsi="Times New Roman" w:cs="Times New Roman"/>
                <w:color w:val="auto"/>
                <w:highlight w:val="none"/>
                <w:lang w:val="en-US" w:eastAsia="zh-CN"/>
              </w:rPr>
              <w:t>kg</w:t>
            </w:r>
          </w:p>
        </w:tc>
        <w:tc>
          <w:tcPr>
            <w:tcW w:w="1144" w:type="pct"/>
            <w:tcBorders>
              <w:top w:val="single" w:color="auto" w:sz="4" w:space="0"/>
              <w:left w:val="single" w:color="auto" w:sz="4" w:space="0"/>
              <w:bottom w:val="single" w:color="auto" w:sz="4" w:space="0"/>
              <w:right w:val="single" w:color="auto" w:sz="4" w:space="0"/>
            </w:tcBorders>
            <w:noWrap w:val="0"/>
            <w:vAlign w:val="center"/>
          </w:tcPr>
          <w:p w14:paraId="6C3B5A00">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15.2</w:t>
            </w:r>
          </w:p>
        </w:tc>
        <w:tc>
          <w:tcPr>
            <w:tcW w:w="1105" w:type="pct"/>
            <w:tcBorders>
              <w:top w:val="single" w:color="auto" w:sz="4" w:space="0"/>
              <w:left w:val="single" w:color="auto" w:sz="4" w:space="0"/>
              <w:bottom w:val="single" w:color="auto" w:sz="4" w:space="0"/>
              <w:right w:val="single" w:color="auto" w:sz="4" w:space="0"/>
            </w:tcBorders>
            <w:noWrap w:val="0"/>
            <w:vAlign w:val="center"/>
          </w:tcPr>
          <w:p w14:paraId="0D0C5B18">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13.2</w:t>
            </w:r>
          </w:p>
        </w:tc>
        <w:tc>
          <w:tcPr>
            <w:tcW w:w="1256" w:type="pct"/>
            <w:tcBorders>
              <w:top w:val="single" w:color="auto" w:sz="4" w:space="0"/>
              <w:left w:val="single" w:color="auto" w:sz="4" w:space="0"/>
              <w:bottom w:val="single" w:color="auto" w:sz="4" w:space="0"/>
              <w:right w:val="single" w:color="auto" w:sz="4" w:space="0"/>
            </w:tcBorders>
            <w:noWrap w:val="0"/>
            <w:vAlign w:val="center"/>
          </w:tcPr>
          <w:p w14:paraId="7BD5BC1E">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25</w:t>
            </w:r>
          </w:p>
        </w:tc>
      </w:tr>
      <w:tr w14:paraId="594EC987">
        <w:tblPrEx>
          <w:tblCellMar>
            <w:top w:w="15" w:type="dxa"/>
            <w:left w:w="15" w:type="dxa"/>
            <w:bottom w:w="15" w:type="dxa"/>
            <w:right w:w="15" w:type="dxa"/>
          </w:tblCellMar>
        </w:tblPrEx>
        <w:trPr>
          <w:trHeight w:val="283" w:hRule="atLeast"/>
          <w:jc w:val="center"/>
        </w:trPr>
        <w:tc>
          <w:tcPr>
            <w:tcW w:w="760" w:type="pct"/>
            <w:tcBorders>
              <w:top w:val="single" w:color="auto" w:sz="4" w:space="0"/>
              <w:left w:val="single" w:color="auto" w:sz="4" w:space="0"/>
              <w:bottom w:val="single" w:color="auto" w:sz="4" w:space="0"/>
              <w:right w:val="single" w:color="auto" w:sz="4" w:space="0"/>
            </w:tcBorders>
            <w:noWrap w:val="0"/>
            <w:vAlign w:val="center"/>
          </w:tcPr>
          <w:p w14:paraId="6317CE54">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铅</w:t>
            </w:r>
          </w:p>
        </w:tc>
        <w:tc>
          <w:tcPr>
            <w:tcW w:w="733" w:type="pct"/>
            <w:tcBorders>
              <w:top w:val="single" w:color="auto" w:sz="4" w:space="0"/>
              <w:left w:val="single" w:color="auto" w:sz="4" w:space="0"/>
              <w:bottom w:val="single" w:color="auto" w:sz="4" w:space="0"/>
              <w:right w:val="single" w:color="auto" w:sz="4" w:space="0"/>
            </w:tcBorders>
            <w:noWrap w:val="0"/>
            <w:vAlign w:val="center"/>
          </w:tcPr>
          <w:p w14:paraId="68668A31">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mg/</w:t>
            </w:r>
            <w:r>
              <w:rPr>
                <w:rFonts w:hint="default" w:ascii="Times New Roman" w:hAnsi="Times New Roman" w:cs="Times New Roman"/>
                <w:color w:val="auto"/>
                <w:highlight w:val="none"/>
                <w:lang w:val="en-US" w:eastAsia="zh-CN"/>
              </w:rPr>
              <w:t>kg</w:t>
            </w:r>
          </w:p>
        </w:tc>
        <w:tc>
          <w:tcPr>
            <w:tcW w:w="1144" w:type="pct"/>
            <w:tcBorders>
              <w:top w:val="single" w:color="auto" w:sz="4" w:space="0"/>
              <w:left w:val="single" w:color="auto" w:sz="4" w:space="0"/>
              <w:bottom w:val="single" w:color="auto" w:sz="4" w:space="0"/>
              <w:right w:val="single" w:color="auto" w:sz="4" w:space="0"/>
            </w:tcBorders>
            <w:noWrap w:val="0"/>
            <w:vAlign w:val="center"/>
          </w:tcPr>
          <w:p w14:paraId="34777598">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26</w:t>
            </w:r>
          </w:p>
        </w:tc>
        <w:tc>
          <w:tcPr>
            <w:tcW w:w="1105" w:type="pct"/>
            <w:tcBorders>
              <w:top w:val="single" w:color="auto" w:sz="4" w:space="0"/>
              <w:left w:val="single" w:color="auto" w:sz="4" w:space="0"/>
              <w:bottom w:val="single" w:color="auto" w:sz="4" w:space="0"/>
              <w:right w:val="single" w:color="auto" w:sz="4" w:space="0"/>
            </w:tcBorders>
            <w:noWrap w:val="0"/>
            <w:vAlign w:val="center"/>
          </w:tcPr>
          <w:p w14:paraId="4A30D5BB">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23</w:t>
            </w:r>
          </w:p>
        </w:tc>
        <w:tc>
          <w:tcPr>
            <w:tcW w:w="1256" w:type="pct"/>
            <w:tcBorders>
              <w:top w:val="single" w:color="auto" w:sz="4" w:space="0"/>
              <w:left w:val="single" w:color="auto" w:sz="4" w:space="0"/>
              <w:bottom w:val="single" w:color="auto" w:sz="4" w:space="0"/>
              <w:right w:val="single" w:color="auto" w:sz="4" w:space="0"/>
            </w:tcBorders>
            <w:noWrap w:val="0"/>
            <w:vAlign w:val="center"/>
          </w:tcPr>
          <w:p w14:paraId="582D3DA5">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170</w:t>
            </w:r>
          </w:p>
        </w:tc>
      </w:tr>
      <w:tr w14:paraId="287AC705">
        <w:tblPrEx>
          <w:tblCellMar>
            <w:top w:w="15" w:type="dxa"/>
            <w:left w:w="15" w:type="dxa"/>
            <w:bottom w:w="15" w:type="dxa"/>
            <w:right w:w="15" w:type="dxa"/>
          </w:tblCellMar>
        </w:tblPrEx>
        <w:trPr>
          <w:trHeight w:val="283" w:hRule="atLeast"/>
          <w:jc w:val="center"/>
        </w:trPr>
        <w:tc>
          <w:tcPr>
            <w:tcW w:w="760" w:type="pct"/>
            <w:tcBorders>
              <w:top w:val="single" w:color="auto" w:sz="4" w:space="0"/>
              <w:left w:val="single" w:color="auto" w:sz="4" w:space="0"/>
              <w:bottom w:val="single" w:color="auto" w:sz="4" w:space="0"/>
              <w:right w:val="single" w:color="auto" w:sz="4" w:space="0"/>
            </w:tcBorders>
            <w:noWrap w:val="0"/>
            <w:vAlign w:val="center"/>
          </w:tcPr>
          <w:p w14:paraId="019C9210">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汞</w:t>
            </w:r>
          </w:p>
        </w:tc>
        <w:tc>
          <w:tcPr>
            <w:tcW w:w="733" w:type="pct"/>
            <w:tcBorders>
              <w:top w:val="single" w:color="auto" w:sz="4" w:space="0"/>
              <w:left w:val="single" w:color="auto" w:sz="4" w:space="0"/>
              <w:bottom w:val="single" w:color="auto" w:sz="4" w:space="0"/>
              <w:right w:val="single" w:color="auto" w:sz="4" w:space="0"/>
            </w:tcBorders>
            <w:noWrap w:val="0"/>
            <w:vAlign w:val="center"/>
          </w:tcPr>
          <w:p w14:paraId="0BC45AAB">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mg/</w:t>
            </w:r>
            <w:r>
              <w:rPr>
                <w:rFonts w:hint="default" w:ascii="Times New Roman" w:hAnsi="Times New Roman" w:cs="Times New Roman"/>
                <w:color w:val="auto"/>
                <w:highlight w:val="none"/>
                <w:lang w:val="en-US" w:eastAsia="zh-CN"/>
              </w:rPr>
              <w:t>kg</w:t>
            </w:r>
          </w:p>
        </w:tc>
        <w:tc>
          <w:tcPr>
            <w:tcW w:w="1144" w:type="pct"/>
            <w:tcBorders>
              <w:top w:val="single" w:color="auto" w:sz="4" w:space="0"/>
              <w:left w:val="single" w:color="auto" w:sz="4" w:space="0"/>
              <w:bottom w:val="single" w:color="auto" w:sz="4" w:space="0"/>
              <w:right w:val="single" w:color="auto" w:sz="4" w:space="0"/>
            </w:tcBorders>
            <w:noWrap w:val="0"/>
            <w:vAlign w:val="center"/>
          </w:tcPr>
          <w:p w14:paraId="04243B75">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0.064</w:t>
            </w:r>
          </w:p>
        </w:tc>
        <w:tc>
          <w:tcPr>
            <w:tcW w:w="1105" w:type="pct"/>
            <w:tcBorders>
              <w:top w:val="single" w:color="auto" w:sz="4" w:space="0"/>
              <w:left w:val="single" w:color="auto" w:sz="4" w:space="0"/>
              <w:bottom w:val="single" w:color="auto" w:sz="4" w:space="0"/>
              <w:right w:val="single" w:color="auto" w:sz="4" w:space="0"/>
            </w:tcBorders>
            <w:noWrap w:val="0"/>
            <w:vAlign w:val="center"/>
          </w:tcPr>
          <w:p w14:paraId="5A27D24B">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0.075</w:t>
            </w:r>
          </w:p>
        </w:tc>
        <w:tc>
          <w:tcPr>
            <w:tcW w:w="1256" w:type="pct"/>
            <w:tcBorders>
              <w:top w:val="single" w:color="auto" w:sz="4" w:space="0"/>
              <w:left w:val="single" w:color="auto" w:sz="4" w:space="0"/>
              <w:bottom w:val="single" w:color="auto" w:sz="4" w:space="0"/>
              <w:right w:val="single" w:color="auto" w:sz="4" w:space="0"/>
            </w:tcBorders>
            <w:noWrap w:val="0"/>
            <w:vAlign w:val="center"/>
          </w:tcPr>
          <w:p w14:paraId="2C259AAA">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3.4</w:t>
            </w:r>
          </w:p>
        </w:tc>
      </w:tr>
      <w:tr w14:paraId="248803CE">
        <w:tblPrEx>
          <w:tblCellMar>
            <w:top w:w="15" w:type="dxa"/>
            <w:left w:w="15" w:type="dxa"/>
            <w:bottom w:w="15" w:type="dxa"/>
            <w:right w:w="15" w:type="dxa"/>
          </w:tblCellMar>
        </w:tblPrEx>
        <w:trPr>
          <w:trHeight w:val="283" w:hRule="atLeast"/>
          <w:jc w:val="center"/>
        </w:trPr>
        <w:tc>
          <w:tcPr>
            <w:tcW w:w="760" w:type="pct"/>
            <w:tcBorders>
              <w:top w:val="single" w:color="auto" w:sz="4" w:space="0"/>
              <w:left w:val="single" w:color="auto" w:sz="4" w:space="0"/>
              <w:bottom w:val="single" w:color="auto" w:sz="4" w:space="0"/>
              <w:right w:val="single" w:color="auto" w:sz="4" w:space="0"/>
            </w:tcBorders>
            <w:noWrap w:val="0"/>
            <w:vAlign w:val="center"/>
          </w:tcPr>
          <w:p w14:paraId="751DA832">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镉</w:t>
            </w:r>
          </w:p>
        </w:tc>
        <w:tc>
          <w:tcPr>
            <w:tcW w:w="733" w:type="pct"/>
            <w:tcBorders>
              <w:top w:val="single" w:color="auto" w:sz="4" w:space="0"/>
              <w:left w:val="single" w:color="auto" w:sz="4" w:space="0"/>
              <w:bottom w:val="single" w:color="auto" w:sz="4" w:space="0"/>
              <w:right w:val="single" w:color="auto" w:sz="4" w:space="0"/>
            </w:tcBorders>
            <w:noWrap w:val="0"/>
            <w:vAlign w:val="center"/>
          </w:tcPr>
          <w:p w14:paraId="55385BC2">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mg/</w:t>
            </w:r>
            <w:r>
              <w:rPr>
                <w:rFonts w:hint="default" w:ascii="Times New Roman" w:hAnsi="Times New Roman" w:cs="Times New Roman"/>
                <w:color w:val="auto"/>
                <w:highlight w:val="none"/>
                <w:lang w:val="en-US" w:eastAsia="zh-CN"/>
              </w:rPr>
              <w:t>kg</w:t>
            </w:r>
          </w:p>
        </w:tc>
        <w:tc>
          <w:tcPr>
            <w:tcW w:w="1144" w:type="pct"/>
            <w:tcBorders>
              <w:top w:val="single" w:color="auto" w:sz="4" w:space="0"/>
              <w:left w:val="single" w:color="auto" w:sz="4" w:space="0"/>
              <w:bottom w:val="single" w:color="auto" w:sz="4" w:space="0"/>
              <w:right w:val="single" w:color="auto" w:sz="4" w:space="0"/>
            </w:tcBorders>
            <w:noWrap w:val="0"/>
            <w:vAlign w:val="center"/>
          </w:tcPr>
          <w:p w14:paraId="53D6CA94">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0.29</w:t>
            </w:r>
          </w:p>
        </w:tc>
        <w:tc>
          <w:tcPr>
            <w:tcW w:w="1105" w:type="pct"/>
            <w:tcBorders>
              <w:top w:val="single" w:color="auto" w:sz="4" w:space="0"/>
              <w:left w:val="single" w:color="auto" w:sz="4" w:space="0"/>
              <w:bottom w:val="single" w:color="auto" w:sz="4" w:space="0"/>
              <w:right w:val="single" w:color="auto" w:sz="4" w:space="0"/>
            </w:tcBorders>
            <w:noWrap w:val="0"/>
            <w:vAlign w:val="center"/>
          </w:tcPr>
          <w:p w14:paraId="1FA5153F">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0.26</w:t>
            </w:r>
          </w:p>
        </w:tc>
        <w:tc>
          <w:tcPr>
            <w:tcW w:w="1256" w:type="pct"/>
            <w:tcBorders>
              <w:top w:val="single" w:color="auto" w:sz="4" w:space="0"/>
              <w:left w:val="single" w:color="auto" w:sz="4" w:space="0"/>
              <w:bottom w:val="single" w:color="auto" w:sz="4" w:space="0"/>
              <w:right w:val="single" w:color="auto" w:sz="4" w:space="0"/>
            </w:tcBorders>
            <w:noWrap w:val="0"/>
            <w:vAlign w:val="center"/>
          </w:tcPr>
          <w:p w14:paraId="02C856C8">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0.6</w:t>
            </w:r>
          </w:p>
        </w:tc>
      </w:tr>
      <w:tr w14:paraId="25761570">
        <w:tblPrEx>
          <w:tblCellMar>
            <w:top w:w="15" w:type="dxa"/>
            <w:left w:w="15" w:type="dxa"/>
            <w:bottom w:w="15" w:type="dxa"/>
            <w:right w:w="15" w:type="dxa"/>
          </w:tblCellMar>
        </w:tblPrEx>
        <w:trPr>
          <w:trHeight w:val="283" w:hRule="atLeast"/>
          <w:jc w:val="center"/>
        </w:trPr>
        <w:tc>
          <w:tcPr>
            <w:tcW w:w="760" w:type="pct"/>
            <w:tcBorders>
              <w:top w:val="single" w:color="auto" w:sz="4" w:space="0"/>
              <w:left w:val="single" w:color="auto" w:sz="4" w:space="0"/>
              <w:bottom w:val="single" w:color="auto" w:sz="4" w:space="0"/>
              <w:right w:val="single" w:color="auto" w:sz="4" w:space="0"/>
            </w:tcBorders>
            <w:noWrap w:val="0"/>
            <w:vAlign w:val="center"/>
          </w:tcPr>
          <w:p w14:paraId="3D540F3E">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铜</w:t>
            </w:r>
          </w:p>
        </w:tc>
        <w:tc>
          <w:tcPr>
            <w:tcW w:w="733" w:type="pct"/>
            <w:tcBorders>
              <w:top w:val="single" w:color="auto" w:sz="4" w:space="0"/>
              <w:left w:val="single" w:color="auto" w:sz="4" w:space="0"/>
              <w:bottom w:val="single" w:color="auto" w:sz="4" w:space="0"/>
              <w:right w:val="single" w:color="auto" w:sz="4" w:space="0"/>
            </w:tcBorders>
            <w:noWrap w:val="0"/>
            <w:vAlign w:val="center"/>
          </w:tcPr>
          <w:p w14:paraId="6145809F">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mg/</w:t>
            </w:r>
            <w:r>
              <w:rPr>
                <w:rFonts w:hint="default" w:ascii="Times New Roman" w:hAnsi="Times New Roman" w:cs="Times New Roman"/>
                <w:color w:val="auto"/>
                <w:highlight w:val="none"/>
                <w:lang w:val="en-US" w:eastAsia="zh-CN"/>
              </w:rPr>
              <w:t>kg</w:t>
            </w:r>
          </w:p>
        </w:tc>
        <w:tc>
          <w:tcPr>
            <w:tcW w:w="1144" w:type="pct"/>
            <w:tcBorders>
              <w:top w:val="single" w:color="auto" w:sz="4" w:space="0"/>
              <w:left w:val="single" w:color="auto" w:sz="4" w:space="0"/>
              <w:bottom w:val="single" w:color="auto" w:sz="4" w:space="0"/>
              <w:right w:val="single" w:color="auto" w:sz="4" w:space="0"/>
            </w:tcBorders>
            <w:noWrap w:val="0"/>
            <w:vAlign w:val="center"/>
          </w:tcPr>
          <w:p w14:paraId="3E91B564">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26</w:t>
            </w:r>
          </w:p>
        </w:tc>
        <w:tc>
          <w:tcPr>
            <w:tcW w:w="1105" w:type="pct"/>
            <w:tcBorders>
              <w:top w:val="single" w:color="auto" w:sz="4" w:space="0"/>
              <w:left w:val="single" w:color="auto" w:sz="4" w:space="0"/>
              <w:bottom w:val="single" w:color="auto" w:sz="4" w:space="0"/>
              <w:right w:val="single" w:color="auto" w:sz="4" w:space="0"/>
            </w:tcBorders>
            <w:noWrap w:val="0"/>
            <w:vAlign w:val="center"/>
          </w:tcPr>
          <w:p w14:paraId="09FED4C8">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25</w:t>
            </w:r>
          </w:p>
        </w:tc>
        <w:tc>
          <w:tcPr>
            <w:tcW w:w="1256" w:type="pct"/>
            <w:tcBorders>
              <w:top w:val="single" w:color="auto" w:sz="4" w:space="0"/>
              <w:left w:val="single" w:color="auto" w:sz="4" w:space="0"/>
              <w:bottom w:val="single" w:color="auto" w:sz="4" w:space="0"/>
              <w:right w:val="single" w:color="auto" w:sz="4" w:space="0"/>
            </w:tcBorders>
            <w:noWrap w:val="0"/>
            <w:vAlign w:val="center"/>
          </w:tcPr>
          <w:p w14:paraId="2957808A">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100</w:t>
            </w:r>
          </w:p>
        </w:tc>
      </w:tr>
      <w:tr w14:paraId="50FAA1D3">
        <w:tblPrEx>
          <w:tblCellMar>
            <w:top w:w="15" w:type="dxa"/>
            <w:left w:w="15" w:type="dxa"/>
            <w:bottom w:w="15" w:type="dxa"/>
            <w:right w:w="15" w:type="dxa"/>
          </w:tblCellMar>
        </w:tblPrEx>
        <w:trPr>
          <w:trHeight w:val="283" w:hRule="atLeast"/>
          <w:jc w:val="center"/>
        </w:trPr>
        <w:tc>
          <w:tcPr>
            <w:tcW w:w="760" w:type="pct"/>
            <w:tcBorders>
              <w:top w:val="single" w:color="auto" w:sz="4" w:space="0"/>
              <w:left w:val="single" w:color="auto" w:sz="4" w:space="0"/>
              <w:bottom w:val="single" w:color="auto" w:sz="4" w:space="0"/>
              <w:right w:val="single" w:color="auto" w:sz="4" w:space="0"/>
            </w:tcBorders>
            <w:noWrap w:val="0"/>
            <w:vAlign w:val="center"/>
          </w:tcPr>
          <w:p w14:paraId="1E79825C">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镍</w:t>
            </w:r>
          </w:p>
        </w:tc>
        <w:tc>
          <w:tcPr>
            <w:tcW w:w="733" w:type="pct"/>
            <w:tcBorders>
              <w:top w:val="single" w:color="auto" w:sz="4" w:space="0"/>
              <w:left w:val="single" w:color="auto" w:sz="4" w:space="0"/>
              <w:bottom w:val="single" w:color="auto" w:sz="4" w:space="0"/>
              <w:right w:val="single" w:color="auto" w:sz="4" w:space="0"/>
            </w:tcBorders>
            <w:noWrap w:val="0"/>
            <w:vAlign w:val="center"/>
          </w:tcPr>
          <w:p w14:paraId="6F32DE12">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mg/</w:t>
            </w:r>
            <w:r>
              <w:rPr>
                <w:rFonts w:hint="default" w:ascii="Times New Roman" w:hAnsi="Times New Roman" w:cs="Times New Roman"/>
                <w:color w:val="auto"/>
                <w:highlight w:val="none"/>
                <w:lang w:val="en-US" w:eastAsia="zh-CN"/>
              </w:rPr>
              <w:t>kg</w:t>
            </w:r>
          </w:p>
        </w:tc>
        <w:tc>
          <w:tcPr>
            <w:tcW w:w="1144" w:type="pct"/>
            <w:tcBorders>
              <w:top w:val="single" w:color="auto" w:sz="4" w:space="0"/>
              <w:left w:val="single" w:color="auto" w:sz="4" w:space="0"/>
              <w:bottom w:val="single" w:color="auto" w:sz="4" w:space="0"/>
              <w:right w:val="single" w:color="auto" w:sz="4" w:space="0"/>
            </w:tcBorders>
            <w:noWrap w:val="0"/>
            <w:vAlign w:val="center"/>
          </w:tcPr>
          <w:p w14:paraId="624F07D9">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48</w:t>
            </w:r>
          </w:p>
        </w:tc>
        <w:tc>
          <w:tcPr>
            <w:tcW w:w="1105" w:type="pct"/>
            <w:tcBorders>
              <w:top w:val="single" w:color="auto" w:sz="4" w:space="0"/>
              <w:left w:val="single" w:color="auto" w:sz="4" w:space="0"/>
              <w:bottom w:val="single" w:color="auto" w:sz="4" w:space="0"/>
              <w:right w:val="single" w:color="auto" w:sz="4" w:space="0"/>
            </w:tcBorders>
            <w:noWrap w:val="0"/>
            <w:vAlign w:val="center"/>
          </w:tcPr>
          <w:p w14:paraId="7921F79B">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46</w:t>
            </w:r>
          </w:p>
        </w:tc>
        <w:tc>
          <w:tcPr>
            <w:tcW w:w="1256" w:type="pct"/>
            <w:tcBorders>
              <w:top w:val="single" w:color="auto" w:sz="4" w:space="0"/>
              <w:left w:val="single" w:color="auto" w:sz="4" w:space="0"/>
              <w:bottom w:val="single" w:color="auto" w:sz="4" w:space="0"/>
              <w:right w:val="single" w:color="auto" w:sz="4" w:space="0"/>
            </w:tcBorders>
            <w:noWrap w:val="0"/>
            <w:vAlign w:val="center"/>
          </w:tcPr>
          <w:p w14:paraId="4DBFFB0A">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190</w:t>
            </w:r>
          </w:p>
        </w:tc>
      </w:tr>
      <w:tr w14:paraId="2B31C379">
        <w:tblPrEx>
          <w:tblCellMar>
            <w:top w:w="15" w:type="dxa"/>
            <w:left w:w="15" w:type="dxa"/>
            <w:bottom w:w="15" w:type="dxa"/>
            <w:right w:w="15" w:type="dxa"/>
          </w:tblCellMar>
        </w:tblPrEx>
        <w:trPr>
          <w:trHeight w:val="283" w:hRule="atLeast"/>
          <w:jc w:val="center"/>
        </w:trPr>
        <w:tc>
          <w:tcPr>
            <w:tcW w:w="760" w:type="pct"/>
            <w:tcBorders>
              <w:top w:val="single" w:color="auto" w:sz="4" w:space="0"/>
              <w:left w:val="single" w:color="auto" w:sz="4" w:space="0"/>
              <w:bottom w:val="single" w:color="auto" w:sz="4" w:space="0"/>
              <w:right w:val="single" w:color="auto" w:sz="4" w:space="0"/>
            </w:tcBorders>
            <w:noWrap w:val="0"/>
            <w:vAlign w:val="center"/>
          </w:tcPr>
          <w:p w14:paraId="16325498">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铬</w:t>
            </w:r>
          </w:p>
        </w:tc>
        <w:tc>
          <w:tcPr>
            <w:tcW w:w="733" w:type="pct"/>
            <w:tcBorders>
              <w:top w:val="single" w:color="auto" w:sz="4" w:space="0"/>
              <w:left w:val="single" w:color="auto" w:sz="4" w:space="0"/>
              <w:bottom w:val="single" w:color="auto" w:sz="4" w:space="0"/>
              <w:right w:val="single" w:color="auto" w:sz="4" w:space="0"/>
            </w:tcBorders>
            <w:noWrap w:val="0"/>
            <w:vAlign w:val="center"/>
          </w:tcPr>
          <w:p w14:paraId="0DC1775F">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mg/</w:t>
            </w:r>
            <w:r>
              <w:rPr>
                <w:rFonts w:hint="default" w:ascii="Times New Roman" w:hAnsi="Times New Roman" w:cs="Times New Roman"/>
                <w:color w:val="auto"/>
                <w:highlight w:val="none"/>
                <w:lang w:val="en-US" w:eastAsia="zh-CN"/>
              </w:rPr>
              <w:t>kg</w:t>
            </w:r>
          </w:p>
        </w:tc>
        <w:tc>
          <w:tcPr>
            <w:tcW w:w="1144" w:type="pct"/>
            <w:tcBorders>
              <w:top w:val="single" w:color="auto" w:sz="4" w:space="0"/>
              <w:left w:val="single" w:color="auto" w:sz="4" w:space="0"/>
              <w:bottom w:val="single" w:color="auto" w:sz="4" w:space="0"/>
              <w:right w:val="single" w:color="auto" w:sz="4" w:space="0"/>
            </w:tcBorders>
            <w:noWrap w:val="0"/>
            <w:vAlign w:val="center"/>
          </w:tcPr>
          <w:p w14:paraId="1C1422BF">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42</w:t>
            </w:r>
          </w:p>
        </w:tc>
        <w:tc>
          <w:tcPr>
            <w:tcW w:w="1105" w:type="pct"/>
            <w:tcBorders>
              <w:top w:val="single" w:color="auto" w:sz="4" w:space="0"/>
              <w:left w:val="single" w:color="auto" w:sz="4" w:space="0"/>
              <w:bottom w:val="single" w:color="auto" w:sz="4" w:space="0"/>
              <w:right w:val="single" w:color="auto" w:sz="4" w:space="0"/>
            </w:tcBorders>
            <w:noWrap w:val="0"/>
            <w:vAlign w:val="center"/>
          </w:tcPr>
          <w:p w14:paraId="728F149C">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32</w:t>
            </w:r>
          </w:p>
        </w:tc>
        <w:tc>
          <w:tcPr>
            <w:tcW w:w="1256" w:type="pct"/>
            <w:tcBorders>
              <w:top w:val="single" w:color="auto" w:sz="4" w:space="0"/>
              <w:left w:val="single" w:color="auto" w:sz="4" w:space="0"/>
              <w:bottom w:val="single" w:color="auto" w:sz="4" w:space="0"/>
              <w:right w:val="single" w:color="auto" w:sz="4" w:space="0"/>
            </w:tcBorders>
            <w:noWrap w:val="0"/>
            <w:vAlign w:val="center"/>
          </w:tcPr>
          <w:p w14:paraId="68F498D9">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250</w:t>
            </w:r>
          </w:p>
        </w:tc>
      </w:tr>
      <w:tr w14:paraId="5E2FD9BF">
        <w:tblPrEx>
          <w:tblCellMar>
            <w:top w:w="15" w:type="dxa"/>
            <w:left w:w="15" w:type="dxa"/>
            <w:bottom w:w="15" w:type="dxa"/>
            <w:right w:w="15" w:type="dxa"/>
          </w:tblCellMar>
        </w:tblPrEx>
        <w:trPr>
          <w:trHeight w:val="283" w:hRule="atLeast"/>
          <w:jc w:val="center"/>
        </w:trPr>
        <w:tc>
          <w:tcPr>
            <w:tcW w:w="760" w:type="pct"/>
            <w:tcBorders>
              <w:top w:val="single" w:color="auto" w:sz="4" w:space="0"/>
              <w:left w:val="single" w:color="auto" w:sz="4" w:space="0"/>
              <w:bottom w:val="single" w:color="auto" w:sz="4" w:space="0"/>
              <w:right w:val="single" w:color="auto" w:sz="4" w:space="0"/>
            </w:tcBorders>
            <w:noWrap w:val="0"/>
            <w:vAlign w:val="center"/>
          </w:tcPr>
          <w:p w14:paraId="0CB28415">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锌</w:t>
            </w:r>
          </w:p>
        </w:tc>
        <w:tc>
          <w:tcPr>
            <w:tcW w:w="733" w:type="pct"/>
            <w:tcBorders>
              <w:top w:val="single" w:color="auto" w:sz="4" w:space="0"/>
              <w:left w:val="single" w:color="auto" w:sz="4" w:space="0"/>
              <w:bottom w:val="single" w:color="auto" w:sz="4" w:space="0"/>
              <w:right w:val="single" w:color="auto" w:sz="4" w:space="0"/>
            </w:tcBorders>
            <w:noWrap w:val="0"/>
            <w:vAlign w:val="center"/>
          </w:tcPr>
          <w:p w14:paraId="723011D2">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mg/</w:t>
            </w:r>
            <w:r>
              <w:rPr>
                <w:rFonts w:hint="default" w:ascii="Times New Roman" w:hAnsi="Times New Roman" w:cs="Times New Roman"/>
                <w:color w:val="auto"/>
                <w:highlight w:val="none"/>
                <w:lang w:val="en-US" w:eastAsia="zh-CN"/>
              </w:rPr>
              <w:t>kg</w:t>
            </w:r>
          </w:p>
        </w:tc>
        <w:tc>
          <w:tcPr>
            <w:tcW w:w="1144" w:type="pct"/>
            <w:tcBorders>
              <w:top w:val="single" w:color="auto" w:sz="4" w:space="0"/>
              <w:left w:val="single" w:color="auto" w:sz="4" w:space="0"/>
              <w:bottom w:val="single" w:color="auto" w:sz="4" w:space="0"/>
              <w:right w:val="single" w:color="auto" w:sz="4" w:space="0"/>
            </w:tcBorders>
            <w:noWrap w:val="0"/>
            <w:vAlign w:val="center"/>
          </w:tcPr>
          <w:p w14:paraId="2C7D264F">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80</w:t>
            </w:r>
          </w:p>
        </w:tc>
        <w:tc>
          <w:tcPr>
            <w:tcW w:w="1105" w:type="pct"/>
            <w:tcBorders>
              <w:top w:val="single" w:color="auto" w:sz="4" w:space="0"/>
              <w:left w:val="single" w:color="auto" w:sz="4" w:space="0"/>
              <w:bottom w:val="single" w:color="auto" w:sz="4" w:space="0"/>
              <w:right w:val="single" w:color="auto" w:sz="4" w:space="0"/>
            </w:tcBorders>
            <w:noWrap w:val="0"/>
            <w:vAlign w:val="center"/>
          </w:tcPr>
          <w:p w14:paraId="7E51247F">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77</w:t>
            </w:r>
          </w:p>
        </w:tc>
        <w:tc>
          <w:tcPr>
            <w:tcW w:w="1256" w:type="pct"/>
            <w:tcBorders>
              <w:top w:val="single" w:color="auto" w:sz="4" w:space="0"/>
              <w:left w:val="single" w:color="auto" w:sz="4" w:space="0"/>
              <w:bottom w:val="single" w:color="auto" w:sz="4" w:space="0"/>
              <w:right w:val="single" w:color="auto" w:sz="4" w:space="0"/>
            </w:tcBorders>
            <w:noWrap w:val="0"/>
            <w:vAlign w:val="center"/>
          </w:tcPr>
          <w:p w14:paraId="25739373">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300</w:t>
            </w:r>
          </w:p>
        </w:tc>
      </w:tr>
    </w:tbl>
    <w:p w14:paraId="0566A908">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根据土壤环境质量评价结果可见，1#点各监测因子监测结果均低于《土壤环境质量 建设用地土壤污染风险管控标准（试行）》（GB36600-2018）第二类用地筛选值；2#、3#点各监测因子监测结果均低于《土壤环境质量 农用地土壤污染风险管控标准（试行）》（GB15618-2018）中农用地土壤污染风险筛选值，区域土壤环境质量现状良好。</w:t>
      </w:r>
    </w:p>
    <w:p w14:paraId="17BF0876">
      <w:pPr>
        <w:pStyle w:val="4"/>
        <w:bidi w:val="0"/>
        <w:rPr>
          <w:color w:val="FF0000"/>
        </w:rPr>
      </w:pPr>
      <w:r>
        <w:rPr>
          <w:rFonts w:hint="eastAsia"/>
          <w:color w:val="FF0000"/>
          <w:lang w:val="en-US" w:eastAsia="zh-CN"/>
        </w:rPr>
        <w:t>水土流失现状调查与评价</w:t>
      </w:r>
    </w:p>
    <w:p w14:paraId="3C343A2C">
      <w:pPr>
        <w:adjustRightInd w:val="0"/>
        <w:snapToGrid w:val="0"/>
        <w:spacing w:line="360" w:lineRule="auto"/>
        <w:ind w:firstLine="480" w:firstLineChars="200"/>
        <w:rPr>
          <w:rFonts w:hint="default" w:ascii="Times New Roman" w:hAnsi="Times New Roman" w:cs="Times New Roman"/>
          <w:color w:val="FF0000"/>
          <w:kern w:val="0"/>
          <w:szCs w:val="21"/>
          <w:highlight w:val="none"/>
        </w:rPr>
      </w:pPr>
      <w:r>
        <w:rPr>
          <w:rFonts w:hint="default" w:ascii="Times New Roman" w:hAnsi="Times New Roman" w:cs="Times New Roman"/>
          <w:color w:val="FF0000"/>
          <w:kern w:val="0"/>
          <w:szCs w:val="21"/>
          <w:highlight w:val="none"/>
        </w:rPr>
        <w:t>本工程位于新疆维吾尔自治区昌吉回族自治州</w:t>
      </w:r>
      <w:r>
        <w:rPr>
          <w:rFonts w:hint="eastAsia" w:ascii="Times New Roman" w:hAnsi="Times New Roman" w:cs="Times New Roman"/>
          <w:color w:val="FF0000"/>
          <w:kern w:val="0"/>
          <w:szCs w:val="21"/>
          <w:highlight w:val="none"/>
          <w:lang w:val="en-US" w:eastAsia="zh-CN"/>
        </w:rPr>
        <w:t>阜康市</w:t>
      </w:r>
      <w:r>
        <w:rPr>
          <w:rFonts w:hint="default" w:ascii="Times New Roman" w:hAnsi="Times New Roman" w:cs="Times New Roman"/>
          <w:color w:val="FF0000"/>
          <w:kern w:val="0"/>
          <w:szCs w:val="21"/>
          <w:highlight w:val="none"/>
        </w:rPr>
        <w:t>境内，根据《关于印发新疆自治区级水土流失重点预防区和重点治理区复核划分成果的通知》（新水水保〔2019〕4号）</w:t>
      </w:r>
      <w:r>
        <w:rPr>
          <w:rFonts w:hint="default" w:ascii="Times New Roman" w:hAnsi="Times New Roman" w:cs="Times New Roman"/>
          <w:color w:val="FF0000"/>
          <w:kern w:val="0"/>
          <w:szCs w:val="21"/>
          <w:highlight w:val="none"/>
          <w:lang w:eastAsia="zh-CN"/>
        </w:rPr>
        <w:t>，</w:t>
      </w:r>
      <w:r>
        <w:rPr>
          <w:rFonts w:hint="default" w:ascii="Times New Roman" w:hAnsi="Times New Roman" w:cs="Times New Roman"/>
          <w:color w:val="FF0000"/>
          <w:kern w:val="0"/>
          <w:szCs w:val="21"/>
          <w:highlight w:val="none"/>
        </w:rPr>
        <w:t>本项目所在区域属于新疆自治区级水士流失重点治理区。</w:t>
      </w:r>
    </w:p>
    <w:p w14:paraId="090544A1">
      <w:pPr>
        <w:pStyle w:val="4"/>
        <w:bidi w:val="0"/>
      </w:pPr>
      <w:r>
        <w:t>土地沙化现状调查与评价</w:t>
      </w:r>
    </w:p>
    <w:p w14:paraId="56A470E8">
      <w:pPr>
        <w:bidi w:val="0"/>
        <w:rPr>
          <w:rFonts w:hint="default"/>
          <w:color w:val="FF0000"/>
          <w:highlight w:val="none"/>
        </w:rPr>
      </w:pPr>
      <w:r>
        <w:rPr>
          <w:rFonts w:hint="eastAsia" w:ascii="Times New Roman" w:hAnsi="Times New Roman" w:eastAsia="宋体" w:cs="Times New Roman"/>
          <w:color w:val="FF0000"/>
          <w:kern w:val="0"/>
          <w:szCs w:val="21"/>
          <w:highlight w:val="none"/>
        </w:rPr>
        <w:t>根据《新疆第</w:t>
      </w:r>
      <w:r>
        <w:rPr>
          <w:rFonts w:hint="eastAsia" w:ascii="Times New Roman" w:hAnsi="Times New Roman" w:eastAsia="宋体" w:cs="Times New Roman"/>
          <w:color w:val="FF0000"/>
          <w:kern w:val="0"/>
          <w:szCs w:val="21"/>
          <w:highlight w:val="none"/>
          <w:lang w:val="en-US" w:eastAsia="zh-CN"/>
        </w:rPr>
        <w:t>六</w:t>
      </w:r>
      <w:r>
        <w:rPr>
          <w:rFonts w:hint="eastAsia" w:ascii="Times New Roman" w:hAnsi="Times New Roman" w:eastAsia="宋体" w:cs="Times New Roman"/>
          <w:color w:val="FF0000"/>
          <w:kern w:val="0"/>
          <w:szCs w:val="21"/>
          <w:highlight w:val="none"/>
        </w:rPr>
        <w:t>次沙化土地监测报告》</w:t>
      </w:r>
      <w:r>
        <w:rPr>
          <w:rFonts w:hint="eastAsia" w:ascii="Times New Roman" w:hAnsi="Times New Roman" w:eastAsia="宋体" w:cs="Times New Roman"/>
          <w:color w:val="FF0000"/>
          <w:kern w:val="0"/>
          <w:szCs w:val="21"/>
          <w:highlight w:val="none"/>
          <w:lang w:eastAsia="zh-CN"/>
        </w:rPr>
        <w:t>，</w:t>
      </w:r>
      <w:r>
        <w:rPr>
          <w:rFonts w:hint="eastAsia" w:ascii="Times New Roman" w:hAnsi="Times New Roman" w:eastAsia="宋体" w:cs="Times New Roman"/>
          <w:color w:val="FF0000"/>
          <w:kern w:val="0"/>
          <w:szCs w:val="21"/>
          <w:highlight w:val="none"/>
        </w:rPr>
        <w:t>监测区总面积为15689.13万公顷，其中监测区内沙化土地面积为7468.21万公顷，占监测区总面积的47.60%。</w:t>
      </w:r>
      <w:r>
        <w:rPr>
          <w:rFonts w:hint="default"/>
          <w:color w:val="FF0000"/>
          <w:highlight w:val="none"/>
        </w:rPr>
        <w:t>具有明显沙化趋势的土地面积</w:t>
      </w:r>
      <w:r>
        <w:rPr>
          <w:rFonts w:hint="eastAsia"/>
          <w:color w:val="FF0000"/>
          <w:highlight w:val="none"/>
          <w:lang w:eastAsia="zh-CN"/>
        </w:rPr>
        <w:t>437</w:t>
      </w:r>
      <w:r>
        <w:rPr>
          <w:rFonts w:hint="eastAsia"/>
          <w:color w:val="FF0000"/>
          <w:highlight w:val="none"/>
          <w:lang w:val="en-US" w:eastAsia="zh-CN"/>
        </w:rPr>
        <w:t>.</w:t>
      </w:r>
      <w:r>
        <w:rPr>
          <w:rFonts w:hint="eastAsia"/>
          <w:color w:val="FF0000"/>
          <w:highlight w:val="none"/>
          <w:lang w:eastAsia="zh-CN"/>
        </w:rPr>
        <w:t>96</w:t>
      </w:r>
      <w:r>
        <w:rPr>
          <w:rFonts w:hint="eastAsia"/>
          <w:color w:val="FF0000"/>
          <w:highlight w:val="none"/>
          <w:lang w:val="en-US" w:eastAsia="zh-CN"/>
        </w:rPr>
        <w:t>万</w:t>
      </w:r>
      <w:r>
        <w:rPr>
          <w:rFonts w:hint="default"/>
          <w:color w:val="FF0000"/>
          <w:highlight w:val="none"/>
        </w:rPr>
        <w:t>公顷，占监测区总面积2.79%，</w:t>
      </w:r>
      <w:r>
        <w:rPr>
          <w:rFonts w:hint="eastAsia"/>
          <w:color w:val="FF0000"/>
          <w:highlight w:val="none"/>
          <w:lang w:eastAsia="zh-CN"/>
        </w:rPr>
        <w:t>非沙化</w:t>
      </w:r>
      <w:r>
        <w:rPr>
          <w:rFonts w:hint="default"/>
          <w:color w:val="FF0000"/>
          <w:highlight w:val="none"/>
        </w:rPr>
        <w:t>土地面积7782</w:t>
      </w:r>
      <w:r>
        <w:rPr>
          <w:rFonts w:hint="eastAsia"/>
          <w:color w:val="FF0000"/>
          <w:highlight w:val="none"/>
          <w:lang w:val="en-US" w:eastAsia="zh-CN"/>
        </w:rPr>
        <w:t>.</w:t>
      </w:r>
      <w:r>
        <w:rPr>
          <w:rFonts w:hint="default"/>
          <w:color w:val="FF0000"/>
          <w:highlight w:val="none"/>
        </w:rPr>
        <w:t>9</w:t>
      </w:r>
      <w:r>
        <w:rPr>
          <w:rFonts w:hint="eastAsia"/>
          <w:color w:val="FF0000"/>
          <w:highlight w:val="none"/>
          <w:lang w:val="en-US" w:eastAsia="zh-CN"/>
        </w:rPr>
        <w:t>5万</w:t>
      </w:r>
      <w:r>
        <w:rPr>
          <w:rFonts w:hint="default"/>
          <w:color w:val="FF0000"/>
          <w:highlight w:val="none"/>
        </w:rPr>
        <w:t>公顷，占监测区总面积49.61%。</w:t>
      </w:r>
    </w:p>
    <w:p w14:paraId="2199878E">
      <w:pPr>
        <w:adjustRightInd w:val="0"/>
        <w:snapToGrid w:val="0"/>
        <w:spacing w:line="360" w:lineRule="auto"/>
        <w:ind w:firstLine="480" w:firstLineChars="200"/>
        <w:rPr>
          <w:rFonts w:hint="eastAsia" w:ascii="Times New Roman" w:hAnsi="Times New Roman" w:eastAsia="宋体" w:cs="Times New Roman"/>
          <w:color w:val="FF0000"/>
          <w:kern w:val="0"/>
          <w:szCs w:val="21"/>
          <w:highlight w:val="none"/>
        </w:rPr>
      </w:pPr>
      <w:r>
        <w:rPr>
          <w:rFonts w:hint="eastAsia" w:ascii="Times New Roman" w:hAnsi="Times New Roman" w:eastAsia="宋体" w:cs="Times New Roman"/>
          <w:color w:val="FF0000"/>
          <w:kern w:val="0"/>
          <w:szCs w:val="21"/>
          <w:highlight w:val="none"/>
          <w:lang w:val="en-US" w:eastAsia="zh-CN"/>
        </w:rPr>
        <w:t>本项目区位于</w:t>
      </w:r>
      <w:r>
        <w:rPr>
          <w:rFonts w:hint="default" w:ascii="Times New Roman" w:hAnsi="Times New Roman" w:cs="Times New Roman"/>
          <w:color w:val="FF0000"/>
          <w:kern w:val="2"/>
          <w:sz w:val="24"/>
          <w:szCs w:val="22"/>
          <w:highlight w:val="none"/>
          <w:lang w:val="en-US" w:eastAsia="zh-CN" w:bidi="ar-SA"/>
        </w:rPr>
        <w:t>阜康市20°方位60公里处</w:t>
      </w:r>
      <w:r>
        <w:rPr>
          <w:rFonts w:hint="eastAsia" w:ascii="Times New Roman" w:hAnsi="Times New Roman" w:eastAsia="宋体" w:cs="Times New Roman"/>
          <w:color w:val="FF0000"/>
          <w:kern w:val="0"/>
          <w:szCs w:val="21"/>
          <w:highlight w:val="none"/>
        </w:rPr>
        <w:t>，项目所在区域为</w:t>
      </w:r>
      <w:r>
        <w:rPr>
          <w:rFonts w:hint="eastAsia" w:ascii="Times New Roman" w:hAnsi="Times New Roman" w:eastAsia="宋体" w:cs="Times New Roman"/>
          <w:color w:val="FF0000"/>
          <w:kern w:val="0"/>
          <w:szCs w:val="21"/>
          <w:highlight w:val="none"/>
          <w:lang w:val="en-US" w:eastAsia="zh-CN"/>
        </w:rPr>
        <w:t>流动沙地。动沙地因沙粒频繁移动、养分匮乏、水分极不稳定，仅能生长少量超旱生沙生植物，如沙拐枣、梭梭、沙蒿、植被多呈点状或条带状分布于沙丘背风坡、低凹处等沙粒相对稳定的微环境。流动沙地因沙粒持续移动，难以形成稳定的地表结皮，仅在局部低风速、沙粒暂稳区域（如沙丘间洼地）可能存在零星结皮，结皮厚度极薄（多小于1cm），结构松散，易被风沙侵蚀破坏。</w:t>
      </w:r>
    </w:p>
    <w:p w14:paraId="2DA9748D">
      <w:pPr>
        <w:adjustRightInd w:val="0"/>
        <w:snapToGrid w:val="0"/>
        <w:spacing w:line="360" w:lineRule="auto"/>
        <w:ind w:firstLine="482" w:firstLineChars="200"/>
        <w:rPr>
          <w:rFonts w:hint="eastAsia" w:ascii="Times New Roman" w:hAnsi="Times New Roman" w:eastAsia="宋体" w:cs="Times New Roman"/>
          <w:b/>
          <w:bCs/>
          <w:color w:val="FF0000"/>
          <w:kern w:val="0"/>
          <w:szCs w:val="21"/>
          <w:highlight w:val="none"/>
        </w:rPr>
      </w:pPr>
      <w:r>
        <w:rPr>
          <w:rFonts w:hint="eastAsia" w:ascii="Times New Roman" w:hAnsi="Times New Roman" w:eastAsia="宋体" w:cs="Times New Roman"/>
          <w:b/>
          <w:bCs/>
          <w:color w:val="FF0000"/>
          <w:kern w:val="0"/>
          <w:szCs w:val="21"/>
          <w:highlight w:val="none"/>
          <w:lang w:val="en-US" w:eastAsia="zh-CN"/>
        </w:rPr>
        <w:t>本项目与</w:t>
      </w:r>
      <w:r>
        <w:rPr>
          <w:rFonts w:hint="eastAsia" w:ascii="Times New Roman" w:hAnsi="Times New Roman" w:eastAsia="宋体" w:cs="Times New Roman"/>
          <w:b/>
          <w:bCs/>
          <w:color w:val="FF0000"/>
          <w:kern w:val="0"/>
          <w:szCs w:val="21"/>
          <w:highlight w:val="none"/>
        </w:rPr>
        <w:t>新疆第六次沙化土地监测</w:t>
      </w:r>
      <w:r>
        <w:rPr>
          <w:rFonts w:hint="eastAsia" w:ascii="Times New Roman" w:hAnsi="Times New Roman" w:eastAsia="宋体" w:cs="Times New Roman"/>
          <w:b/>
          <w:bCs/>
          <w:color w:val="FF0000"/>
          <w:kern w:val="0"/>
          <w:szCs w:val="21"/>
          <w:highlight w:val="none"/>
          <w:lang w:val="en-US" w:eastAsia="zh-CN"/>
        </w:rPr>
        <w:t>结果的</w:t>
      </w:r>
      <w:r>
        <w:rPr>
          <w:rFonts w:hint="eastAsia" w:ascii="Times New Roman" w:hAnsi="Times New Roman" w:eastAsia="宋体" w:cs="Times New Roman"/>
          <w:b/>
          <w:bCs/>
          <w:color w:val="FF0000"/>
          <w:kern w:val="0"/>
          <w:szCs w:val="21"/>
          <w:highlight w:val="none"/>
        </w:rPr>
        <w:t>位置关系图见附图</w:t>
      </w:r>
      <w:r>
        <w:rPr>
          <w:rFonts w:hint="eastAsia" w:ascii="Times New Roman" w:hAnsi="Times New Roman" w:eastAsia="宋体" w:cs="Times New Roman"/>
          <w:b/>
          <w:bCs/>
          <w:color w:val="FF0000"/>
          <w:kern w:val="0"/>
          <w:szCs w:val="21"/>
          <w:highlight w:val="none"/>
          <w:lang w:val="en-US" w:eastAsia="zh-CN"/>
        </w:rPr>
        <w:t>4.</w:t>
      </w:r>
      <w:r>
        <w:rPr>
          <w:rFonts w:hint="eastAsia" w:ascii="Times New Roman" w:hAnsi="Times New Roman" w:eastAsia="宋体" w:cs="Times New Roman"/>
          <w:b/>
          <w:bCs/>
          <w:color w:val="FF0000"/>
          <w:kern w:val="0"/>
          <w:szCs w:val="21"/>
          <w:highlight w:val="none"/>
        </w:rPr>
        <w:t>3-7。</w:t>
      </w:r>
    </w:p>
    <w:p w14:paraId="24E29B17">
      <w:pPr>
        <w:bidi w:val="0"/>
        <w:rPr>
          <w:rFonts w:hint="default" w:ascii="Times New Roman" w:hAnsi="Times New Roman" w:cs="Times New Roman"/>
          <w:color w:val="auto"/>
          <w:highlight w:val="none"/>
        </w:rPr>
      </w:pPr>
    </w:p>
    <w:p w14:paraId="10473167">
      <w:pPr>
        <w:pStyle w:val="2"/>
        <w:bidi w:val="0"/>
        <w:rPr>
          <w:rFonts w:hint="default"/>
        </w:rPr>
      </w:pPr>
      <w:bookmarkStart w:id="245" w:name="bookmark28"/>
      <w:bookmarkEnd w:id="245"/>
      <w:bookmarkStart w:id="246" w:name="5环境影响预测与评价"/>
      <w:bookmarkEnd w:id="246"/>
      <w:r>
        <w:rPr>
          <w:rFonts w:hint="default"/>
          <w:lang w:val="en-US" w:eastAsia="zh-CN"/>
        </w:rPr>
        <w:br w:type="page"/>
      </w:r>
      <w:bookmarkStart w:id="247" w:name="_Toc22338"/>
      <w:bookmarkStart w:id="248" w:name="_Toc13169"/>
      <w:r>
        <w:rPr>
          <w:rFonts w:hint="default"/>
        </w:rPr>
        <w:t>环境影响预测与评价</w:t>
      </w:r>
      <w:bookmarkEnd w:id="247"/>
      <w:bookmarkEnd w:id="248"/>
    </w:p>
    <w:p w14:paraId="48C5F278">
      <w:pPr>
        <w:pStyle w:val="3"/>
        <w:bidi w:val="0"/>
        <w:rPr>
          <w:rFonts w:hint="default"/>
        </w:rPr>
      </w:pPr>
      <w:bookmarkStart w:id="249" w:name="5.1施工期环境影响预测与评价"/>
      <w:bookmarkEnd w:id="249"/>
      <w:bookmarkStart w:id="250" w:name="bookmark29"/>
      <w:bookmarkEnd w:id="250"/>
      <w:bookmarkStart w:id="251" w:name="_Toc17442"/>
      <w:bookmarkStart w:id="252" w:name="_Toc11205"/>
      <w:r>
        <w:rPr>
          <w:rFonts w:hint="default"/>
        </w:rPr>
        <w:t>施工期环境影响预测与评价</w:t>
      </w:r>
      <w:bookmarkEnd w:id="251"/>
      <w:bookmarkEnd w:id="252"/>
    </w:p>
    <w:p w14:paraId="1F2D843A">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施工期间对环境产生的影响主要为土石方挖掘、土建施工、交通运输和机械设备的安装、调试等，产生的主要污染物粉尘、噪声、生产生活污水和固体废弃物等对区域环境造成影响。这些污染贯穿整个施工过程，但不同污染因子在不同施工段污染强度不同。</w:t>
      </w:r>
    </w:p>
    <w:p w14:paraId="1DA10FE0">
      <w:pPr>
        <w:pStyle w:val="4"/>
        <w:bidi w:val="0"/>
        <w:rPr>
          <w:rFonts w:hint="default"/>
        </w:rPr>
      </w:pPr>
      <w:bookmarkStart w:id="253" w:name="5.1.1施工期环境空气影响分析"/>
      <w:bookmarkEnd w:id="253"/>
      <w:r>
        <w:rPr>
          <w:rFonts w:hint="default"/>
        </w:rPr>
        <w:t>施工期环境空气影响分析</w:t>
      </w:r>
    </w:p>
    <w:p w14:paraId="7B1C4079">
      <w:pPr>
        <w:pStyle w:val="5"/>
        <w:bidi w:val="0"/>
        <w:rPr>
          <w:rFonts w:hint="default"/>
        </w:rPr>
      </w:pPr>
      <w:bookmarkStart w:id="254" w:name="5.1.1.1施工扬尘"/>
      <w:bookmarkEnd w:id="254"/>
      <w:r>
        <w:rPr>
          <w:rFonts w:hint="default"/>
        </w:rPr>
        <w:t>施工扬尘</w:t>
      </w:r>
    </w:p>
    <w:p w14:paraId="17F320EC">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施工期大气污染物主要为施工过程产生的扬尘，扬尘主要来自开挖土方造成土地裸露和土方堆积，建筑材料装卸以及运输车辆行驶产生的扬尘。由于粉尘污染源多为间歇性分散源，排尘点低，扬尘排放在施工区及其周边距离范围内形成局部污染，对外界环境影响较小。施工区的扬尘未经充分扩散稀释就进入地面呼吸地带，会给现场施工人员的工作和身体健康带来一定不利影响。</w:t>
      </w:r>
    </w:p>
    <w:p w14:paraId="47FB8A68">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扬尘污染造成大气中TSP值增高，根据类比资料，施工扬尘的起尘量与许多因素有关。影响起尘量的因素包括：基础开挖起尘量、施工渣土堆场起尘量、进出车辆夹带泥砂量、采取的防护措施、空气湿度、风速等因素有关。</w:t>
      </w:r>
    </w:p>
    <w:p w14:paraId="44BE2182">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据有关调查显示，施工工地的扬尘主要是由运输车辆的行驶产生，约占扬尘总量的60%，在完全干燥情况下，可按下列经验公式计算：</w:t>
      </w:r>
    </w:p>
    <w:p w14:paraId="5E37205E">
      <w:pPr>
        <w:spacing w:beforeLines="0" w:afterLine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drawing>
          <wp:inline distT="0" distB="0" distL="114300" distR="114300">
            <wp:extent cx="1174750" cy="457835"/>
            <wp:effectExtent l="0" t="0" r="0" b="0"/>
            <wp:docPr id="149"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5"/>
                    <pic:cNvPicPr>
                      <a:picLocks noChangeAspect="1"/>
                    </pic:cNvPicPr>
                  </pic:nvPicPr>
                  <pic:blipFill>
                    <a:blip r:embed="rId37">
                      <a:clrChange>
                        <a:clrFrom>
                          <a:srgbClr val="CDDEC2"/>
                        </a:clrFrom>
                        <a:clrTo>
                          <a:srgbClr val="CDDEC2">
                            <a:alpha val="0"/>
                          </a:srgbClr>
                        </a:clrTo>
                      </a:clrChange>
                    </a:blip>
                    <a:stretch>
                      <a:fillRect/>
                    </a:stretch>
                  </pic:blipFill>
                  <pic:spPr>
                    <a:xfrm>
                      <a:off x="0" y="0"/>
                      <a:ext cx="1174750" cy="457835"/>
                    </a:xfrm>
                    <a:prstGeom prst="rect">
                      <a:avLst/>
                    </a:prstGeom>
                    <a:noFill/>
                    <a:ln>
                      <a:noFill/>
                    </a:ln>
                  </pic:spPr>
                </pic:pic>
              </a:graphicData>
            </a:graphic>
          </wp:inline>
        </w:drawing>
      </w:r>
    </w:p>
    <w:p w14:paraId="40BD9118">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式中：</w:t>
      </w:r>
    </w:p>
    <w:p w14:paraId="79012450">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Q——汽车行驶的扬尘，kg/km·辆；</w:t>
      </w:r>
    </w:p>
    <w:p w14:paraId="12185B0B">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V——汽车速度，km/h；</w:t>
      </w:r>
    </w:p>
    <w:p w14:paraId="724C4894">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W——汽车载重量，t；</w:t>
      </w:r>
    </w:p>
    <w:p w14:paraId="2312A9D8">
      <w:pPr>
        <w:pStyle w:val="14"/>
        <w:kinsoku w:val="0"/>
        <w:overflowPunct w:val="0"/>
        <w:spacing w:before="10" w:beforeLines="0" w:afterLines="0"/>
        <w:ind w:left="0"/>
        <w:rPr>
          <w:rFonts w:hint="default" w:ascii="Times New Roman" w:hAnsi="Times New Roman" w:eastAsia="Calibri" w:cs="Times New Roman"/>
          <w:color w:val="auto"/>
          <w:sz w:val="10"/>
          <w:szCs w:val="24"/>
          <w:highlight w:val="none"/>
        </w:rPr>
      </w:pPr>
      <w:r>
        <w:rPr>
          <w:rFonts w:hint="default" w:ascii="Times New Roman" w:hAnsi="Times New Roman" w:cs="Times New Roman"/>
          <w:color w:val="auto"/>
          <w:sz w:val="24"/>
          <w:szCs w:val="24"/>
          <w:highlight w:val="none"/>
        </w:rPr>
        <w:t>P——道路表面粉尘量，kg/m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w:t>
      </w:r>
    </w:p>
    <w:p w14:paraId="0FE3BE73">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表5.1-1为一辆载重5t的卡车，通过一段长度为500m的路面时，不同路面清洁程度，不同行驶速度情况下产生的扬尘量。在同样路面清洁情况下，车速越快，扬尘量越大；而在同样车速情况下，路面清洁度越差，则扬尘量越大。</w:t>
      </w:r>
    </w:p>
    <w:p w14:paraId="4DD0E041">
      <w:pPr>
        <w:pStyle w:val="45"/>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表 5.1-1</w:t>
      </w:r>
      <w:r>
        <w:rPr>
          <w:rFonts w:hint="default" w:ascii="Times New Roman" w:hAnsi="Times New Roman" w:cs="Times New Roman"/>
          <w:color w:val="auto"/>
          <w:sz w:val="24"/>
          <w:szCs w:val="24"/>
          <w:highlight w:val="none"/>
        </w:rPr>
        <w:tab/>
      </w:r>
      <w:r>
        <w:rPr>
          <w:rFonts w:hint="default" w:ascii="Times New Roman" w:hAnsi="Times New Roman" w:cs="Times New Roman"/>
          <w:color w:val="auto"/>
          <w:sz w:val="24"/>
          <w:szCs w:val="24"/>
          <w:highlight w:val="none"/>
        </w:rPr>
        <w:t>不同车速和地面清洁程度时的汽车扬尘</w:t>
      </w:r>
      <w:r>
        <w:rPr>
          <w:rFonts w:hint="default" w:ascii="Times New Roman" w:hAnsi="Times New Roman" w:cs="Times New Roman"/>
          <w:color w:val="auto"/>
          <w:sz w:val="24"/>
          <w:szCs w:val="24"/>
          <w:highlight w:val="none"/>
        </w:rPr>
        <w:tab/>
      </w:r>
      <w:r>
        <w:rPr>
          <w:rFonts w:hint="default" w:ascii="Times New Roman" w:hAnsi="Times New Roman" w:cs="Times New Roman"/>
          <w:color w:val="auto"/>
          <w:sz w:val="24"/>
          <w:szCs w:val="24"/>
          <w:highlight w:val="none"/>
        </w:rPr>
        <w:t>单位：kg/辆·km</w:t>
      </w:r>
    </w:p>
    <w:tbl>
      <w:tblPr>
        <w:tblStyle w:val="31"/>
        <w:tblW w:w="0" w:type="auto"/>
        <w:tblInd w:w="28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148"/>
        <w:gridCol w:w="1281"/>
        <w:gridCol w:w="1282"/>
        <w:gridCol w:w="1282"/>
        <w:gridCol w:w="1282"/>
        <w:gridCol w:w="1281"/>
        <w:gridCol w:w="1282"/>
      </w:tblGrid>
      <w:tr w14:paraId="777962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3" w:hRule="atLeast"/>
        </w:trPr>
        <w:tc>
          <w:tcPr>
            <w:tcW w:w="1148"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3D669F3F">
            <w:pPr>
              <w:pStyle w:val="48"/>
              <w:spacing w:beforeLines="0" w:afterLines="0"/>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szCs w:val="24"/>
                <w:highlight w:val="none"/>
              </w:rPr>
              <w:t>P</w:t>
            </w:r>
          </w:p>
          <w:p w14:paraId="6BAAE059">
            <w:pPr>
              <w:pStyle w:val="48"/>
              <w:spacing w:beforeLines="0" w:afterLines="0"/>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szCs w:val="24"/>
                <w:highlight w:val="none"/>
              </w:rPr>
              <w:t>车速</w:t>
            </w:r>
          </w:p>
        </w:tc>
        <w:tc>
          <w:tcPr>
            <w:tcW w:w="1281"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47E5B84E">
            <w:pPr>
              <w:pStyle w:val="48"/>
              <w:spacing w:beforeLines="0" w:afterLines="0"/>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szCs w:val="24"/>
                <w:highlight w:val="none"/>
              </w:rPr>
              <w:t>0.1</w:t>
            </w:r>
          </w:p>
          <w:p w14:paraId="6946EC1D">
            <w:pPr>
              <w:pStyle w:val="48"/>
              <w:spacing w:beforeLines="0" w:afterLines="0"/>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szCs w:val="24"/>
                <w:highlight w:val="none"/>
              </w:rPr>
              <w:t>（kg/m</w:t>
            </w:r>
            <w:r>
              <w:rPr>
                <w:rFonts w:hint="default" w:ascii="Times New Roman" w:hAnsi="Times New Roman" w:cs="Times New Roman"/>
                <w:color w:val="auto"/>
                <w:sz w:val="21"/>
                <w:szCs w:val="24"/>
                <w:highlight w:val="none"/>
                <w:vertAlign w:val="superscript"/>
              </w:rPr>
              <w:t>2</w:t>
            </w:r>
            <w:r>
              <w:rPr>
                <w:rFonts w:hint="default" w:ascii="Times New Roman" w:hAnsi="Times New Roman" w:cs="Times New Roman"/>
                <w:color w:val="auto"/>
                <w:sz w:val="21"/>
                <w:szCs w:val="24"/>
                <w:highlight w:val="none"/>
              </w:rPr>
              <w:t>）</w:t>
            </w:r>
          </w:p>
        </w:tc>
        <w:tc>
          <w:tcPr>
            <w:tcW w:w="1282"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19D6C280">
            <w:pPr>
              <w:pStyle w:val="48"/>
              <w:spacing w:beforeLines="0" w:afterLines="0"/>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szCs w:val="24"/>
                <w:highlight w:val="none"/>
              </w:rPr>
              <w:t>0.2</w:t>
            </w:r>
          </w:p>
          <w:p w14:paraId="5D9E3B01">
            <w:pPr>
              <w:pStyle w:val="48"/>
              <w:spacing w:beforeLines="0" w:afterLines="0"/>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szCs w:val="24"/>
                <w:highlight w:val="none"/>
              </w:rPr>
              <w:t>（kg/m</w:t>
            </w:r>
            <w:r>
              <w:rPr>
                <w:rFonts w:hint="default" w:ascii="Times New Roman" w:hAnsi="Times New Roman" w:cs="Times New Roman"/>
                <w:color w:val="auto"/>
                <w:sz w:val="21"/>
                <w:szCs w:val="24"/>
                <w:highlight w:val="none"/>
                <w:vertAlign w:val="superscript"/>
              </w:rPr>
              <w:t>2</w:t>
            </w:r>
            <w:r>
              <w:rPr>
                <w:rFonts w:hint="default" w:ascii="Times New Roman" w:hAnsi="Times New Roman" w:cs="Times New Roman"/>
                <w:color w:val="auto"/>
                <w:sz w:val="21"/>
                <w:szCs w:val="24"/>
                <w:highlight w:val="none"/>
              </w:rPr>
              <w:t>）</w:t>
            </w:r>
          </w:p>
        </w:tc>
        <w:tc>
          <w:tcPr>
            <w:tcW w:w="1282"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015635F7">
            <w:pPr>
              <w:pStyle w:val="48"/>
              <w:spacing w:beforeLines="0" w:afterLines="0"/>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szCs w:val="24"/>
                <w:highlight w:val="none"/>
              </w:rPr>
              <w:t>0.3</w:t>
            </w:r>
          </w:p>
          <w:p w14:paraId="7EC85B47">
            <w:pPr>
              <w:pStyle w:val="48"/>
              <w:spacing w:beforeLines="0" w:afterLines="0"/>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szCs w:val="24"/>
                <w:highlight w:val="none"/>
              </w:rPr>
              <w:t>（kg/m</w:t>
            </w:r>
            <w:r>
              <w:rPr>
                <w:rFonts w:hint="default" w:ascii="Times New Roman" w:hAnsi="Times New Roman" w:cs="Times New Roman"/>
                <w:color w:val="auto"/>
                <w:sz w:val="21"/>
                <w:szCs w:val="24"/>
                <w:highlight w:val="none"/>
                <w:vertAlign w:val="superscript"/>
              </w:rPr>
              <w:t>2</w:t>
            </w:r>
            <w:r>
              <w:rPr>
                <w:rFonts w:hint="default" w:ascii="Times New Roman" w:hAnsi="Times New Roman" w:cs="Times New Roman"/>
                <w:color w:val="auto"/>
                <w:sz w:val="21"/>
                <w:szCs w:val="24"/>
                <w:highlight w:val="none"/>
              </w:rPr>
              <w:t>）</w:t>
            </w:r>
          </w:p>
        </w:tc>
        <w:tc>
          <w:tcPr>
            <w:tcW w:w="1282"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0E87038D">
            <w:pPr>
              <w:pStyle w:val="48"/>
              <w:spacing w:beforeLines="0" w:afterLines="0"/>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szCs w:val="24"/>
                <w:highlight w:val="none"/>
              </w:rPr>
              <w:t>0.4</w:t>
            </w:r>
          </w:p>
          <w:p w14:paraId="52EF4708">
            <w:pPr>
              <w:pStyle w:val="48"/>
              <w:spacing w:beforeLines="0" w:afterLines="0"/>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szCs w:val="24"/>
                <w:highlight w:val="none"/>
              </w:rPr>
              <w:t>（kg/m</w:t>
            </w:r>
            <w:r>
              <w:rPr>
                <w:rFonts w:hint="default" w:ascii="Times New Roman" w:hAnsi="Times New Roman" w:cs="Times New Roman"/>
                <w:color w:val="auto"/>
                <w:sz w:val="21"/>
                <w:szCs w:val="24"/>
                <w:highlight w:val="none"/>
                <w:vertAlign w:val="superscript"/>
              </w:rPr>
              <w:t>2</w:t>
            </w:r>
            <w:r>
              <w:rPr>
                <w:rFonts w:hint="default" w:ascii="Times New Roman" w:hAnsi="Times New Roman" w:cs="Times New Roman"/>
                <w:color w:val="auto"/>
                <w:sz w:val="21"/>
                <w:szCs w:val="24"/>
                <w:highlight w:val="none"/>
              </w:rPr>
              <w:t>）</w:t>
            </w:r>
          </w:p>
        </w:tc>
        <w:tc>
          <w:tcPr>
            <w:tcW w:w="1281"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5476CA47">
            <w:pPr>
              <w:pStyle w:val="48"/>
              <w:spacing w:beforeLines="0" w:afterLines="0"/>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szCs w:val="24"/>
                <w:highlight w:val="none"/>
              </w:rPr>
              <w:t>0.5</w:t>
            </w:r>
          </w:p>
          <w:p w14:paraId="1AFFE10F">
            <w:pPr>
              <w:pStyle w:val="48"/>
              <w:spacing w:beforeLines="0" w:afterLines="0"/>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szCs w:val="24"/>
                <w:highlight w:val="none"/>
              </w:rPr>
              <w:t>（kg/m</w:t>
            </w:r>
            <w:r>
              <w:rPr>
                <w:rFonts w:hint="default" w:ascii="Times New Roman" w:hAnsi="Times New Roman" w:cs="Times New Roman"/>
                <w:color w:val="auto"/>
                <w:sz w:val="21"/>
                <w:szCs w:val="24"/>
                <w:highlight w:val="none"/>
                <w:vertAlign w:val="superscript"/>
              </w:rPr>
              <w:t>2</w:t>
            </w:r>
            <w:r>
              <w:rPr>
                <w:rFonts w:hint="default" w:ascii="Times New Roman" w:hAnsi="Times New Roman" w:cs="Times New Roman"/>
                <w:color w:val="auto"/>
                <w:sz w:val="21"/>
                <w:szCs w:val="24"/>
                <w:highlight w:val="none"/>
              </w:rPr>
              <w:t>）</w:t>
            </w:r>
          </w:p>
        </w:tc>
        <w:tc>
          <w:tcPr>
            <w:tcW w:w="1282"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408BEC6B">
            <w:pPr>
              <w:pStyle w:val="48"/>
              <w:spacing w:beforeLines="0" w:afterLines="0"/>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szCs w:val="24"/>
                <w:highlight w:val="none"/>
              </w:rPr>
              <w:t>1.0</w:t>
            </w:r>
          </w:p>
          <w:p w14:paraId="624A41AD">
            <w:pPr>
              <w:pStyle w:val="48"/>
              <w:spacing w:beforeLines="0" w:afterLines="0"/>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szCs w:val="24"/>
                <w:highlight w:val="none"/>
              </w:rPr>
              <w:t>（kg/m</w:t>
            </w:r>
            <w:r>
              <w:rPr>
                <w:rFonts w:hint="default" w:ascii="Times New Roman" w:hAnsi="Times New Roman" w:cs="Times New Roman"/>
                <w:color w:val="auto"/>
                <w:sz w:val="21"/>
                <w:szCs w:val="24"/>
                <w:highlight w:val="none"/>
                <w:vertAlign w:val="superscript"/>
              </w:rPr>
              <w:t>2</w:t>
            </w:r>
            <w:r>
              <w:rPr>
                <w:rFonts w:hint="default" w:ascii="Times New Roman" w:hAnsi="Times New Roman" w:cs="Times New Roman"/>
                <w:color w:val="auto"/>
                <w:sz w:val="21"/>
                <w:szCs w:val="24"/>
                <w:highlight w:val="none"/>
              </w:rPr>
              <w:t>）</w:t>
            </w:r>
          </w:p>
        </w:tc>
      </w:tr>
      <w:tr w14:paraId="69ABD6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3" w:hRule="atLeast"/>
        </w:trPr>
        <w:tc>
          <w:tcPr>
            <w:tcW w:w="1148"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3DB8166B">
            <w:pPr>
              <w:pStyle w:val="48"/>
              <w:spacing w:beforeLines="0" w:afterLines="0"/>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szCs w:val="24"/>
                <w:highlight w:val="none"/>
              </w:rPr>
              <w:t>5</w:t>
            </w:r>
          </w:p>
          <w:p w14:paraId="269392B5">
            <w:pPr>
              <w:pStyle w:val="48"/>
              <w:spacing w:beforeLines="0" w:afterLines="0"/>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szCs w:val="24"/>
                <w:highlight w:val="none"/>
              </w:rPr>
              <w:t>（km/h）</w:t>
            </w:r>
          </w:p>
        </w:tc>
        <w:tc>
          <w:tcPr>
            <w:tcW w:w="1281"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0F989BB4">
            <w:pPr>
              <w:pStyle w:val="48"/>
              <w:spacing w:beforeLines="0" w:afterLines="0"/>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szCs w:val="24"/>
                <w:highlight w:val="none"/>
              </w:rPr>
              <w:t>0.0283</w:t>
            </w:r>
          </w:p>
        </w:tc>
        <w:tc>
          <w:tcPr>
            <w:tcW w:w="1282"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0B0FF513">
            <w:pPr>
              <w:pStyle w:val="48"/>
              <w:spacing w:beforeLines="0" w:afterLines="0"/>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szCs w:val="24"/>
                <w:highlight w:val="none"/>
              </w:rPr>
              <w:t>0.0476</w:t>
            </w:r>
          </w:p>
        </w:tc>
        <w:tc>
          <w:tcPr>
            <w:tcW w:w="1282"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2A950D33">
            <w:pPr>
              <w:pStyle w:val="48"/>
              <w:spacing w:beforeLines="0" w:afterLines="0"/>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szCs w:val="24"/>
                <w:highlight w:val="none"/>
              </w:rPr>
              <w:t>0.0646</w:t>
            </w:r>
          </w:p>
        </w:tc>
        <w:tc>
          <w:tcPr>
            <w:tcW w:w="1282"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5BA2BB9A">
            <w:pPr>
              <w:pStyle w:val="48"/>
              <w:spacing w:beforeLines="0" w:afterLines="0"/>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szCs w:val="24"/>
                <w:highlight w:val="none"/>
              </w:rPr>
              <w:t>0.0801</w:t>
            </w:r>
          </w:p>
        </w:tc>
        <w:tc>
          <w:tcPr>
            <w:tcW w:w="1281"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337B75C2">
            <w:pPr>
              <w:pStyle w:val="48"/>
              <w:spacing w:beforeLines="0" w:afterLines="0"/>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szCs w:val="24"/>
                <w:highlight w:val="none"/>
              </w:rPr>
              <w:t>0.0947</w:t>
            </w:r>
          </w:p>
        </w:tc>
        <w:tc>
          <w:tcPr>
            <w:tcW w:w="1282"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22966495">
            <w:pPr>
              <w:pStyle w:val="48"/>
              <w:spacing w:beforeLines="0" w:afterLines="0"/>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szCs w:val="24"/>
                <w:highlight w:val="none"/>
              </w:rPr>
              <w:t>0.1593</w:t>
            </w:r>
          </w:p>
        </w:tc>
      </w:tr>
      <w:tr w14:paraId="31550F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3" w:hRule="atLeast"/>
        </w:trPr>
        <w:tc>
          <w:tcPr>
            <w:tcW w:w="1148"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4FA41B83">
            <w:pPr>
              <w:pStyle w:val="48"/>
              <w:spacing w:beforeLines="0" w:afterLines="0"/>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szCs w:val="24"/>
                <w:highlight w:val="none"/>
              </w:rPr>
              <w:t>10</w:t>
            </w:r>
          </w:p>
          <w:p w14:paraId="3F577863">
            <w:pPr>
              <w:pStyle w:val="48"/>
              <w:spacing w:beforeLines="0" w:afterLines="0"/>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szCs w:val="24"/>
                <w:highlight w:val="none"/>
              </w:rPr>
              <w:t>（km/h）</w:t>
            </w:r>
          </w:p>
        </w:tc>
        <w:tc>
          <w:tcPr>
            <w:tcW w:w="1281"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39E94011">
            <w:pPr>
              <w:pStyle w:val="48"/>
              <w:spacing w:beforeLines="0" w:afterLines="0"/>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szCs w:val="24"/>
                <w:highlight w:val="none"/>
              </w:rPr>
              <w:t>0.0566</w:t>
            </w:r>
          </w:p>
        </w:tc>
        <w:tc>
          <w:tcPr>
            <w:tcW w:w="1282"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139C04F6">
            <w:pPr>
              <w:pStyle w:val="48"/>
              <w:spacing w:beforeLines="0" w:afterLines="0"/>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szCs w:val="24"/>
                <w:highlight w:val="none"/>
              </w:rPr>
              <w:t>0.0953</w:t>
            </w:r>
          </w:p>
        </w:tc>
        <w:tc>
          <w:tcPr>
            <w:tcW w:w="1282"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58ED7E1F">
            <w:pPr>
              <w:pStyle w:val="48"/>
              <w:spacing w:beforeLines="0" w:afterLines="0"/>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szCs w:val="24"/>
                <w:highlight w:val="none"/>
              </w:rPr>
              <w:t>0.1291</w:t>
            </w:r>
          </w:p>
        </w:tc>
        <w:tc>
          <w:tcPr>
            <w:tcW w:w="1282"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04DAE575">
            <w:pPr>
              <w:pStyle w:val="48"/>
              <w:spacing w:beforeLines="0" w:afterLines="0"/>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szCs w:val="24"/>
                <w:highlight w:val="none"/>
              </w:rPr>
              <w:t>0.1602</w:t>
            </w:r>
          </w:p>
        </w:tc>
        <w:tc>
          <w:tcPr>
            <w:tcW w:w="1281"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09EF166B">
            <w:pPr>
              <w:pStyle w:val="48"/>
              <w:spacing w:beforeLines="0" w:afterLines="0"/>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szCs w:val="24"/>
                <w:highlight w:val="none"/>
              </w:rPr>
              <w:t>0.1894</w:t>
            </w:r>
          </w:p>
        </w:tc>
        <w:tc>
          <w:tcPr>
            <w:tcW w:w="1282"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692DACD0">
            <w:pPr>
              <w:pStyle w:val="48"/>
              <w:spacing w:beforeLines="0" w:afterLines="0"/>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szCs w:val="24"/>
                <w:highlight w:val="none"/>
              </w:rPr>
              <w:t>0.3186</w:t>
            </w:r>
          </w:p>
        </w:tc>
      </w:tr>
      <w:tr w14:paraId="6568B5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3" w:hRule="atLeast"/>
        </w:trPr>
        <w:tc>
          <w:tcPr>
            <w:tcW w:w="1148"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2C1A9B1C">
            <w:pPr>
              <w:pStyle w:val="48"/>
              <w:spacing w:beforeLines="0" w:afterLines="0"/>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szCs w:val="24"/>
                <w:highlight w:val="none"/>
              </w:rPr>
              <w:t>15</w:t>
            </w:r>
          </w:p>
          <w:p w14:paraId="2B6D4615">
            <w:pPr>
              <w:pStyle w:val="48"/>
              <w:spacing w:beforeLines="0" w:afterLines="0"/>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szCs w:val="24"/>
                <w:highlight w:val="none"/>
              </w:rPr>
              <w:t>（km/h）</w:t>
            </w:r>
          </w:p>
        </w:tc>
        <w:tc>
          <w:tcPr>
            <w:tcW w:w="1281"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33AF6020">
            <w:pPr>
              <w:pStyle w:val="48"/>
              <w:spacing w:beforeLines="0" w:afterLines="0"/>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szCs w:val="24"/>
                <w:highlight w:val="none"/>
              </w:rPr>
              <w:t>0.0850</w:t>
            </w:r>
          </w:p>
        </w:tc>
        <w:tc>
          <w:tcPr>
            <w:tcW w:w="1282"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74C89DEC">
            <w:pPr>
              <w:pStyle w:val="48"/>
              <w:spacing w:beforeLines="0" w:afterLines="0"/>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szCs w:val="24"/>
                <w:highlight w:val="none"/>
              </w:rPr>
              <w:t>0.1429</w:t>
            </w:r>
          </w:p>
        </w:tc>
        <w:tc>
          <w:tcPr>
            <w:tcW w:w="1282"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113AEF06">
            <w:pPr>
              <w:pStyle w:val="48"/>
              <w:spacing w:beforeLines="0" w:afterLines="0"/>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szCs w:val="24"/>
                <w:highlight w:val="none"/>
              </w:rPr>
              <w:t>0.1937</w:t>
            </w:r>
          </w:p>
        </w:tc>
        <w:tc>
          <w:tcPr>
            <w:tcW w:w="1282"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4DC0C8C8">
            <w:pPr>
              <w:pStyle w:val="48"/>
              <w:spacing w:beforeLines="0" w:afterLines="0"/>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szCs w:val="24"/>
                <w:highlight w:val="none"/>
              </w:rPr>
              <w:t>0.2403</w:t>
            </w:r>
          </w:p>
        </w:tc>
        <w:tc>
          <w:tcPr>
            <w:tcW w:w="1281"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4B74EA5F">
            <w:pPr>
              <w:pStyle w:val="48"/>
              <w:spacing w:beforeLines="0" w:afterLines="0"/>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szCs w:val="24"/>
                <w:highlight w:val="none"/>
              </w:rPr>
              <w:t>0.2841</w:t>
            </w:r>
          </w:p>
        </w:tc>
        <w:tc>
          <w:tcPr>
            <w:tcW w:w="1282"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64A277BA">
            <w:pPr>
              <w:pStyle w:val="48"/>
              <w:spacing w:beforeLines="0" w:afterLines="0"/>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szCs w:val="24"/>
                <w:highlight w:val="none"/>
              </w:rPr>
              <w:t>0.4778</w:t>
            </w:r>
          </w:p>
        </w:tc>
      </w:tr>
      <w:tr w14:paraId="5984D2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3" w:hRule="atLeast"/>
        </w:trPr>
        <w:tc>
          <w:tcPr>
            <w:tcW w:w="1148"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3913655F">
            <w:pPr>
              <w:pStyle w:val="48"/>
              <w:spacing w:beforeLines="0" w:afterLines="0"/>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szCs w:val="24"/>
                <w:highlight w:val="none"/>
              </w:rPr>
              <w:t>20</w:t>
            </w:r>
          </w:p>
          <w:p w14:paraId="3C2EEC5D">
            <w:pPr>
              <w:pStyle w:val="48"/>
              <w:spacing w:beforeLines="0" w:afterLines="0"/>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szCs w:val="24"/>
                <w:highlight w:val="none"/>
              </w:rPr>
              <w:t>（km/h）</w:t>
            </w:r>
          </w:p>
        </w:tc>
        <w:tc>
          <w:tcPr>
            <w:tcW w:w="1281"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6C840166">
            <w:pPr>
              <w:pStyle w:val="48"/>
              <w:spacing w:beforeLines="0" w:afterLines="0"/>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szCs w:val="24"/>
                <w:highlight w:val="none"/>
              </w:rPr>
              <w:t>0.1133</w:t>
            </w:r>
          </w:p>
        </w:tc>
        <w:tc>
          <w:tcPr>
            <w:tcW w:w="1282"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23A99534">
            <w:pPr>
              <w:pStyle w:val="48"/>
              <w:spacing w:beforeLines="0" w:afterLines="0"/>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szCs w:val="24"/>
                <w:highlight w:val="none"/>
              </w:rPr>
              <w:t>0.1905</w:t>
            </w:r>
          </w:p>
        </w:tc>
        <w:tc>
          <w:tcPr>
            <w:tcW w:w="1282"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29347270">
            <w:pPr>
              <w:pStyle w:val="48"/>
              <w:spacing w:beforeLines="0" w:afterLines="0"/>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szCs w:val="24"/>
                <w:highlight w:val="none"/>
              </w:rPr>
              <w:t>0.2583</w:t>
            </w:r>
          </w:p>
        </w:tc>
        <w:tc>
          <w:tcPr>
            <w:tcW w:w="1282"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426B0D17">
            <w:pPr>
              <w:pStyle w:val="48"/>
              <w:spacing w:beforeLines="0" w:afterLines="0"/>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szCs w:val="24"/>
                <w:highlight w:val="none"/>
              </w:rPr>
              <w:t>0.3204</w:t>
            </w:r>
          </w:p>
        </w:tc>
        <w:tc>
          <w:tcPr>
            <w:tcW w:w="1281"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45AE42F0">
            <w:pPr>
              <w:pStyle w:val="48"/>
              <w:spacing w:beforeLines="0" w:afterLines="0"/>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szCs w:val="24"/>
                <w:highlight w:val="none"/>
              </w:rPr>
              <w:t>0.3788</w:t>
            </w:r>
          </w:p>
        </w:tc>
        <w:tc>
          <w:tcPr>
            <w:tcW w:w="1282"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6C5541FD">
            <w:pPr>
              <w:pStyle w:val="48"/>
              <w:spacing w:beforeLines="0" w:afterLines="0"/>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szCs w:val="24"/>
                <w:highlight w:val="none"/>
              </w:rPr>
              <w:t>0.6371</w:t>
            </w:r>
          </w:p>
        </w:tc>
      </w:tr>
    </w:tbl>
    <w:p w14:paraId="79A8F34B">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如果在施工期间对车辆行驶的路面实施洒水抑尘，可使扬尘减少70%左右。表5.1-2为施工场地洒水抑尘的试验结果，结果表明实施每天洒水进行抑尘，可有效地控制施工扬尘，可将TSP污染距离缩小到20～50m范围。</w:t>
      </w:r>
    </w:p>
    <w:p w14:paraId="7660E07B">
      <w:pPr>
        <w:pStyle w:val="45"/>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表 5.1-2</w:t>
      </w:r>
      <w:r>
        <w:rPr>
          <w:rFonts w:hint="default" w:ascii="Times New Roman" w:hAnsi="Times New Roman" w:cs="Times New Roman"/>
          <w:color w:val="auto"/>
          <w:sz w:val="24"/>
          <w:szCs w:val="24"/>
          <w:highlight w:val="none"/>
        </w:rPr>
        <w:tab/>
      </w:r>
      <w:r>
        <w:rPr>
          <w:rFonts w:hint="default" w:ascii="Times New Roman" w:hAnsi="Times New Roman" w:cs="Times New Roman"/>
          <w:color w:val="auto"/>
          <w:sz w:val="24"/>
          <w:szCs w:val="24"/>
          <w:highlight w:val="none"/>
        </w:rPr>
        <w:t>施工场地洒水抑尘试验结果</w:t>
      </w:r>
    </w:p>
    <w:tbl>
      <w:tblPr>
        <w:tblStyle w:val="31"/>
        <w:tblW w:w="0" w:type="auto"/>
        <w:tblInd w:w="28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088"/>
        <w:gridCol w:w="1383"/>
        <w:gridCol w:w="1341"/>
        <w:gridCol w:w="1341"/>
        <w:gridCol w:w="1342"/>
        <w:gridCol w:w="1343"/>
      </w:tblGrid>
      <w:tr w14:paraId="19F39A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3" w:hRule="atLeast"/>
        </w:trPr>
        <w:tc>
          <w:tcPr>
            <w:tcW w:w="3471" w:type="dxa"/>
            <w:gridSpan w:val="2"/>
            <w:tcBorders>
              <w:top w:val="single" w:color="000000" w:sz="2" w:space="0"/>
              <w:left w:val="single" w:color="000000" w:sz="2" w:space="0"/>
              <w:bottom w:val="single" w:color="000000" w:sz="2" w:space="0"/>
              <w:right w:val="single" w:color="000000" w:sz="2" w:space="0"/>
              <w:tl2br w:val="nil"/>
              <w:tr2bl w:val="nil"/>
            </w:tcBorders>
            <w:noWrap w:val="0"/>
            <w:vAlign w:val="top"/>
          </w:tcPr>
          <w:p w14:paraId="26544696">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单位（mg/m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w:t>
            </w:r>
          </w:p>
        </w:tc>
        <w:tc>
          <w:tcPr>
            <w:tcW w:w="1341"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5919A36A">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5</w:t>
            </w:r>
          </w:p>
        </w:tc>
        <w:tc>
          <w:tcPr>
            <w:tcW w:w="1341"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41F4E0C4">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20</w:t>
            </w:r>
          </w:p>
        </w:tc>
        <w:tc>
          <w:tcPr>
            <w:tcW w:w="1342"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40F5D0DB">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50</w:t>
            </w:r>
          </w:p>
        </w:tc>
        <w:tc>
          <w:tcPr>
            <w:tcW w:w="134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48204671">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100</w:t>
            </w:r>
          </w:p>
        </w:tc>
      </w:tr>
      <w:tr w14:paraId="0FD502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3" w:hRule="atLeast"/>
        </w:trPr>
        <w:tc>
          <w:tcPr>
            <w:tcW w:w="2088" w:type="dxa"/>
            <w:vMerge w:val="restart"/>
            <w:tcBorders>
              <w:top w:val="single" w:color="000000" w:sz="2" w:space="0"/>
              <w:left w:val="single" w:color="000000" w:sz="2" w:space="0"/>
              <w:bottom w:val="single" w:color="000000" w:sz="2" w:space="0"/>
              <w:right w:val="single" w:color="000000" w:sz="2" w:space="0"/>
              <w:tl2br w:val="nil"/>
              <w:tr2bl w:val="nil"/>
            </w:tcBorders>
            <w:noWrap w:val="0"/>
            <w:vAlign w:val="top"/>
          </w:tcPr>
          <w:p w14:paraId="762C80F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TSP 小时平均浓度</w:t>
            </w:r>
          </w:p>
        </w:tc>
        <w:tc>
          <w:tcPr>
            <w:tcW w:w="138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6E0EBEC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不洒水</w:t>
            </w:r>
          </w:p>
        </w:tc>
        <w:tc>
          <w:tcPr>
            <w:tcW w:w="1341"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1C0D72CA">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10.14</w:t>
            </w:r>
          </w:p>
        </w:tc>
        <w:tc>
          <w:tcPr>
            <w:tcW w:w="1341"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6783FCE4">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2.89</w:t>
            </w:r>
          </w:p>
        </w:tc>
        <w:tc>
          <w:tcPr>
            <w:tcW w:w="1342"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2456EAC3">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1.15</w:t>
            </w:r>
          </w:p>
        </w:tc>
        <w:tc>
          <w:tcPr>
            <w:tcW w:w="134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1166210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0.86</w:t>
            </w:r>
          </w:p>
        </w:tc>
      </w:tr>
      <w:tr w14:paraId="1B45D5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3" w:hRule="atLeast"/>
        </w:trPr>
        <w:tc>
          <w:tcPr>
            <w:tcW w:w="2088" w:type="dxa"/>
            <w:vMerge w:val="continue"/>
            <w:tcBorders>
              <w:top w:val="single" w:color="000000" w:sz="2" w:space="0"/>
              <w:left w:val="single" w:color="000000" w:sz="2" w:space="0"/>
              <w:bottom w:val="single" w:color="000000" w:sz="2" w:space="0"/>
              <w:right w:val="single" w:color="000000" w:sz="2" w:space="0"/>
              <w:tl2br w:val="nil"/>
              <w:tr2bl w:val="nil"/>
            </w:tcBorders>
            <w:noWrap w:val="0"/>
            <w:vAlign w:val="top"/>
          </w:tcPr>
          <w:p w14:paraId="7D123E40">
            <w:pPr>
              <w:pStyle w:val="48"/>
              <w:spacing w:beforeLines="0" w:afterLines="0"/>
              <w:rPr>
                <w:rFonts w:hint="default" w:ascii="Times New Roman" w:hAnsi="Times New Roman" w:cs="Times New Roman"/>
                <w:color w:val="auto"/>
                <w:sz w:val="24"/>
                <w:szCs w:val="24"/>
                <w:highlight w:val="none"/>
              </w:rPr>
            </w:pPr>
          </w:p>
        </w:tc>
        <w:tc>
          <w:tcPr>
            <w:tcW w:w="138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160E5023">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洒</w:t>
            </w:r>
            <w:r>
              <w:rPr>
                <w:rFonts w:hint="default" w:ascii="Times New Roman" w:hAnsi="Times New Roman" w:cs="Times New Roman"/>
                <w:color w:val="auto"/>
                <w:sz w:val="24"/>
                <w:szCs w:val="24"/>
                <w:highlight w:val="none"/>
              </w:rPr>
              <w:tab/>
            </w:r>
            <w:r>
              <w:rPr>
                <w:rFonts w:hint="default" w:ascii="Times New Roman" w:hAnsi="Times New Roman" w:cs="Times New Roman"/>
                <w:color w:val="auto"/>
                <w:sz w:val="24"/>
                <w:szCs w:val="24"/>
                <w:highlight w:val="none"/>
              </w:rPr>
              <w:t>水</w:t>
            </w:r>
          </w:p>
        </w:tc>
        <w:tc>
          <w:tcPr>
            <w:tcW w:w="1341"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72E3037D">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2.01</w:t>
            </w:r>
          </w:p>
        </w:tc>
        <w:tc>
          <w:tcPr>
            <w:tcW w:w="1341"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01D1F7CD">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1.40</w:t>
            </w:r>
          </w:p>
        </w:tc>
        <w:tc>
          <w:tcPr>
            <w:tcW w:w="1342"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70CC503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0.67</w:t>
            </w:r>
          </w:p>
        </w:tc>
        <w:tc>
          <w:tcPr>
            <w:tcW w:w="134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5914FB73">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0.60</w:t>
            </w:r>
          </w:p>
        </w:tc>
      </w:tr>
    </w:tbl>
    <w:p w14:paraId="6989F25D">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因此，限速行驶及保持路面清洁，同时适当洒水是减少汽车扬尘的有效手段。综上，本项目施工期产生的扬尘影响主要为汽车运输车辆行驶扬尘。经采取环保措施后，可以有效地控制施工期扬尘影响的范围及程度，而且施工扬尘造成的污染是短期的、局部的，施工结束后即会消失，故项目对大气环境的影响是有限的。</w:t>
      </w:r>
    </w:p>
    <w:p w14:paraId="2540665A">
      <w:pPr>
        <w:pStyle w:val="5"/>
        <w:bidi w:val="0"/>
        <w:rPr>
          <w:rFonts w:hint="default"/>
        </w:rPr>
      </w:pPr>
      <w:bookmarkStart w:id="255" w:name="5.1.1.2燃油废气"/>
      <w:bookmarkEnd w:id="255"/>
      <w:r>
        <w:rPr>
          <w:rFonts w:hint="default"/>
        </w:rPr>
        <w:t>燃油废气</w:t>
      </w:r>
    </w:p>
    <w:p w14:paraId="0F30CA69">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各种燃油施工设备和车辆运行时产生废气中主要污染因子为SO</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color w:val="auto"/>
          <w:sz w:val="24"/>
          <w:szCs w:val="24"/>
          <w:highlight w:val="none"/>
        </w:rPr>
        <w:t>、NO</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color w:val="auto"/>
          <w:sz w:val="24"/>
          <w:szCs w:val="24"/>
          <w:highlight w:val="none"/>
        </w:rPr>
        <w:t>、CO、HC等。车辆废气为间歇性排放，排放量较小，项目施工地点地势开阔，空气流动性较高，经大气流动和稀释后浓度较低，对周边环境的影响较小。</w:t>
      </w:r>
    </w:p>
    <w:p w14:paraId="34623CFF">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因此，施工期采取场地洒水，堆土场设置围挡和</w:t>
      </w:r>
      <w:r>
        <w:rPr>
          <w:rFonts w:hint="default" w:ascii="Times New Roman" w:hAnsi="Times New Roman" w:cs="Times New Roman"/>
          <w:color w:val="auto"/>
          <w:sz w:val="24"/>
          <w:szCs w:val="24"/>
          <w:highlight w:val="none"/>
          <w:lang w:val="en-US" w:eastAsia="zh-CN"/>
        </w:rPr>
        <w:t>篷布</w:t>
      </w:r>
      <w:r>
        <w:rPr>
          <w:rFonts w:hint="default" w:ascii="Times New Roman" w:hAnsi="Times New Roman" w:cs="Times New Roman"/>
          <w:color w:val="auto"/>
          <w:sz w:val="24"/>
          <w:szCs w:val="24"/>
          <w:highlight w:val="none"/>
        </w:rPr>
        <w:t>遮盖，严禁大风天气施工，确定合理的施工场所等措施后，施工废气能得到有效控制，对周边环境的影响较小。加之本次施工期较短，施工影响随着施工期的结束逐渐消失。</w:t>
      </w:r>
    </w:p>
    <w:p w14:paraId="5E3EA7CF">
      <w:pPr>
        <w:pStyle w:val="4"/>
        <w:bidi w:val="0"/>
        <w:rPr>
          <w:rFonts w:hint="default"/>
        </w:rPr>
      </w:pPr>
      <w:bookmarkStart w:id="256" w:name="5.1.2施工期水环境影响分析"/>
      <w:bookmarkEnd w:id="256"/>
      <w:r>
        <w:rPr>
          <w:rFonts w:hint="default"/>
        </w:rPr>
        <w:t>施工期水环境影响分析</w:t>
      </w:r>
    </w:p>
    <w:p w14:paraId="3754196E">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施工期废水主要为施工生产废水和施工人员的生活污水。</w:t>
      </w:r>
    </w:p>
    <w:p w14:paraId="15FAE306">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施工生产废水主要污染物为SS。工程施工期间，施工单位应严格执行《建筑工程施工场地文明施工及环境暂行规定》，对施工废水的排放进行组织设计，严禁乱排、乱流，污染道路和环境。施工时产生的生产废水设置临时沉砂池，经沉淀处理后循环使用；本次环评要求，矿区应先配套建设</w:t>
      </w:r>
      <w:r>
        <w:rPr>
          <w:rFonts w:hint="default" w:ascii="Times New Roman" w:hAnsi="Times New Roman" w:cs="Times New Roman"/>
          <w:color w:val="auto"/>
          <w:sz w:val="24"/>
          <w:szCs w:val="24"/>
          <w:highlight w:val="none"/>
          <w:lang w:val="en-US" w:eastAsia="zh-CN"/>
        </w:rPr>
        <w:t>地埋式</w:t>
      </w:r>
      <w:r>
        <w:rPr>
          <w:rFonts w:hint="default" w:ascii="Times New Roman" w:hAnsi="Times New Roman" w:cs="Times New Roman"/>
          <w:color w:val="auto"/>
          <w:sz w:val="24"/>
          <w:szCs w:val="24"/>
          <w:highlight w:val="none"/>
        </w:rPr>
        <w:t>一体化生活污水处理</w:t>
      </w:r>
      <w:r>
        <w:rPr>
          <w:rFonts w:hint="default" w:ascii="Times New Roman" w:hAnsi="Times New Roman" w:cs="Times New Roman"/>
          <w:color w:val="auto"/>
          <w:sz w:val="24"/>
          <w:szCs w:val="24"/>
          <w:highlight w:val="none"/>
          <w:lang w:val="en-US" w:eastAsia="zh-CN"/>
        </w:rPr>
        <w:t>装置</w:t>
      </w:r>
      <w:r>
        <w:rPr>
          <w:rFonts w:hint="default" w:ascii="Times New Roman" w:hAnsi="Times New Roman" w:cs="Times New Roman"/>
          <w:color w:val="auto"/>
          <w:sz w:val="24"/>
          <w:szCs w:val="24"/>
          <w:highlight w:val="none"/>
        </w:rPr>
        <w:t>，施工人员生活污水可直接排入矿区办公生活区内一体化污水处理设施，施工期生活污水经处理后，用于矿区洒水降尘。施工期生产废水和生活污水不外排，不会对区域地下水产生影响。</w:t>
      </w:r>
    </w:p>
    <w:p w14:paraId="7149ECB7">
      <w:pPr>
        <w:pStyle w:val="4"/>
        <w:bidi w:val="0"/>
        <w:rPr>
          <w:rFonts w:hint="default"/>
        </w:rPr>
      </w:pPr>
      <w:bookmarkStart w:id="257" w:name="5.1.3施工期声环境影响分析"/>
      <w:bookmarkEnd w:id="257"/>
      <w:r>
        <w:rPr>
          <w:rFonts w:hint="default"/>
        </w:rPr>
        <w:t>施工期声环境影响分析</w:t>
      </w:r>
    </w:p>
    <w:p w14:paraId="1A83E5D4">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aps w:val="0"/>
          <w:color w:val="auto"/>
          <w:spacing w:val="0"/>
          <w:position w:val="0"/>
          <w:highlight w:val="none"/>
        </w:rPr>
      </w:pPr>
      <w:bookmarkStart w:id="258" w:name="5.1.4施工期固体废物影响分析"/>
      <w:bookmarkEnd w:id="258"/>
      <w:r>
        <w:rPr>
          <w:rFonts w:hint="default" w:ascii="Times New Roman" w:hAnsi="Times New Roman" w:cs="Times New Roman"/>
          <w:color w:val="auto"/>
          <w:sz w:val="24"/>
          <w:szCs w:val="24"/>
          <w:highlight w:val="none"/>
        </w:rPr>
        <w:t>在施工期间需动用大量的车辆及施工机具，其噪声强度较大，对周围环境会产生噪声污染。主要施工机具有挖掘机、推土机、空压机、起重机等机械设备和各类运输车辆，这些施工机械的运行噪声较大的有：</w:t>
      </w:r>
      <w:r>
        <w:rPr>
          <w:rFonts w:hint="default" w:ascii="Times New Roman" w:hAnsi="Times New Roman" w:eastAsia="宋体" w:cs="Times New Roman"/>
          <w:caps w:val="0"/>
          <w:color w:val="auto"/>
          <w:spacing w:val="0"/>
          <w:position w:val="0"/>
          <w:highlight w:val="none"/>
        </w:rPr>
        <w:t>这些施工机械的运行噪声较大的有：推土机78～95dB(A)，挖掘机80～95dB(A)，搅拌机78～95dB(A)，运土卡车80～85dB(A)。这些设备的噪声水平多在90dB(A)左右。施工机械噪声主要属中低频噪声，因此只考虑扩散衰减，单台设备噪声预测模式如下：</w:t>
      </w:r>
    </w:p>
    <w:p w14:paraId="42E6218B">
      <w:pPr>
        <w:spacing w:line="360" w:lineRule="auto"/>
        <w:ind w:firstLine="1200" w:firstLineChars="500"/>
        <w:jc w:val="center"/>
        <w:rPr>
          <w:rFonts w:hint="default" w:ascii="Times New Roman" w:hAnsi="Times New Roman" w:eastAsia="宋体" w:cs="Times New Roman"/>
          <w:caps w:val="0"/>
          <w:color w:val="auto"/>
          <w:spacing w:val="0"/>
          <w:position w:val="0"/>
          <w:highlight w:val="none"/>
        </w:rPr>
      </w:pPr>
      <w:r>
        <w:rPr>
          <w:rFonts w:hint="default" w:ascii="Times New Roman" w:hAnsi="Times New Roman" w:eastAsia="宋体" w:cs="Times New Roman"/>
          <w:caps w:val="0"/>
          <w:color w:val="auto"/>
          <w:spacing w:val="0"/>
          <w:position w:val="0"/>
          <w:highlight w:val="none"/>
        </w:rPr>
        <w:t>L</w:t>
      </w:r>
      <w:r>
        <w:rPr>
          <w:rFonts w:hint="default" w:ascii="Times New Roman" w:hAnsi="Times New Roman" w:eastAsia="宋体" w:cs="Times New Roman"/>
          <w:caps w:val="0"/>
          <w:color w:val="auto"/>
          <w:spacing w:val="0"/>
          <w:position w:val="0"/>
          <w:highlight w:val="none"/>
          <w:vertAlign w:val="subscript"/>
        </w:rPr>
        <w:t>2</w:t>
      </w:r>
      <w:r>
        <w:rPr>
          <w:rFonts w:hint="default" w:ascii="Times New Roman" w:hAnsi="Times New Roman" w:eastAsia="宋体" w:cs="Times New Roman"/>
          <w:caps w:val="0"/>
          <w:color w:val="auto"/>
          <w:spacing w:val="0"/>
          <w:position w:val="0"/>
          <w:highlight w:val="none"/>
        </w:rPr>
        <w:t>=L</w:t>
      </w:r>
      <w:r>
        <w:rPr>
          <w:rFonts w:hint="default" w:ascii="Times New Roman" w:hAnsi="Times New Roman" w:eastAsia="宋体" w:cs="Times New Roman"/>
          <w:caps w:val="0"/>
          <w:color w:val="auto"/>
          <w:spacing w:val="0"/>
          <w:position w:val="0"/>
          <w:highlight w:val="none"/>
          <w:vertAlign w:val="subscript"/>
        </w:rPr>
        <w:t>1</w:t>
      </w:r>
      <w:r>
        <w:rPr>
          <w:rFonts w:hint="default" w:ascii="Times New Roman" w:hAnsi="Times New Roman" w:eastAsia="宋体" w:cs="Times New Roman"/>
          <w:caps w:val="0"/>
          <w:color w:val="auto"/>
          <w:spacing w:val="0"/>
          <w:position w:val="0"/>
          <w:highlight w:val="none"/>
        </w:rPr>
        <w:t>-20lg(r</w:t>
      </w:r>
      <w:r>
        <w:rPr>
          <w:rFonts w:hint="default" w:ascii="Times New Roman" w:hAnsi="Times New Roman" w:eastAsia="宋体" w:cs="Times New Roman"/>
          <w:caps w:val="0"/>
          <w:color w:val="auto"/>
          <w:spacing w:val="0"/>
          <w:position w:val="0"/>
          <w:highlight w:val="none"/>
          <w:vertAlign w:val="subscript"/>
        </w:rPr>
        <w:t>2</w:t>
      </w:r>
      <w:r>
        <w:rPr>
          <w:rFonts w:hint="default" w:ascii="Times New Roman" w:hAnsi="Times New Roman" w:eastAsia="宋体" w:cs="Times New Roman"/>
          <w:caps w:val="0"/>
          <w:color w:val="auto"/>
          <w:spacing w:val="0"/>
          <w:position w:val="0"/>
          <w:highlight w:val="none"/>
        </w:rPr>
        <w:t>/r</w:t>
      </w:r>
      <w:r>
        <w:rPr>
          <w:rFonts w:hint="default" w:ascii="Times New Roman" w:hAnsi="Times New Roman" w:eastAsia="宋体" w:cs="Times New Roman"/>
          <w:caps w:val="0"/>
          <w:color w:val="auto"/>
          <w:spacing w:val="0"/>
          <w:position w:val="0"/>
          <w:highlight w:val="none"/>
          <w:vertAlign w:val="subscript"/>
        </w:rPr>
        <w:t>1</w:t>
      </w:r>
      <w:r>
        <w:rPr>
          <w:rFonts w:hint="default" w:ascii="Times New Roman" w:hAnsi="Times New Roman" w:eastAsia="宋体" w:cs="Times New Roman"/>
          <w:caps w:val="0"/>
          <w:color w:val="auto"/>
          <w:spacing w:val="0"/>
          <w:position w:val="0"/>
          <w:highlight w:val="none"/>
        </w:rPr>
        <w:t>)</w:t>
      </w:r>
    </w:p>
    <w:p w14:paraId="14BBC8F1">
      <w:pPr>
        <w:spacing w:line="360" w:lineRule="auto"/>
        <w:ind w:firstLine="480" w:firstLineChars="200"/>
        <w:rPr>
          <w:rFonts w:hint="default" w:ascii="Times New Roman" w:hAnsi="Times New Roman" w:eastAsia="宋体" w:cs="Times New Roman"/>
          <w:caps w:val="0"/>
          <w:color w:val="auto"/>
          <w:spacing w:val="0"/>
          <w:position w:val="0"/>
          <w:highlight w:val="none"/>
        </w:rPr>
      </w:pPr>
      <w:r>
        <w:rPr>
          <w:rFonts w:hint="default" w:ascii="Times New Roman" w:hAnsi="Times New Roman" w:eastAsia="宋体" w:cs="Times New Roman"/>
          <w:caps w:val="0"/>
          <w:color w:val="auto"/>
          <w:spacing w:val="0"/>
          <w:position w:val="0"/>
          <w:highlight w:val="none"/>
        </w:rPr>
        <w:t>式中：r</w:t>
      </w:r>
      <w:r>
        <w:rPr>
          <w:rFonts w:hint="default" w:ascii="Times New Roman" w:hAnsi="Times New Roman" w:eastAsia="宋体" w:cs="Times New Roman"/>
          <w:caps w:val="0"/>
          <w:color w:val="auto"/>
          <w:spacing w:val="0"/>
          <w:position w:val="0"/>
          <w:highlight w:val="none"/>
          <w:vertAlign w:val="subscript"/>
        </w:rPr>
        <w:t>1</w:t>
      </w:r>
      <w:r>
        <w:rPr>
          <w:rFonts w:hint="default" w:ascii="Times New Roman" w:hAnsi="Times New Roman" w:eastAsia="宋体" w:cs="Times New Roman"/>
          <w:caps w:val="0"/>
          <w:color w:val="auto"/>
          <w:spacing w:val="0"/>
          <w:position w:val="0"/>
          <w:highlight w:val="none"/>
        </w:rPr>
        <w:t>、r</w:t>
      </w:r>
      <w:r>
        <w:rPr>
          <w:rFonts w:hint="default" w:ascii="Times New Roman" w:hAnsi="Times New Roman" w:eastAsia="宋体" w:cs="Times New Roman"/>
          <w:caps w:val="0"/>
          <w:color w:val="auto"/>
          <w:spacing w:val="0"/>
          <w:position w:val="0"/>
          <w:highlight w:val="none"/>
          <w:vertAlign w:val="subscript"/>
        </w:rPr>
        <w:t>2</w:t>
      </w:r>
      <w:r>
        <w:rPr>
          <w:rFonts w:hint="default" w:ascii="Times New Roman" w:hAnsi="Times New Roman" w:eastAsia="宋体" w:cs="Times New Roman"/>
          <w:caps w:val="0"/>
          <w:color w:val="auto"/>
          <w:spacing w:val="0"/>
          <w:position w:val="0"/>
          <w:highlight w:val="none"/>
        </w:rPr>
        <w:t xml:space="preserve"> — 距离源的距离，m；</w:t>
      </w:r>
    </w:p>
    <w:p w14:paraId="46CC56C6">
      <w:pPr>
        <w:spacing w:line="360" w:lineRule="auto"/>
        <w:ind w:firstLine="1200" w:firstLineChars="500"/>
        <w:rPr>
          <w:rFonts w:hint="default" w:ascii="Times New Roman" w:hAnsi="Times New Roman" w:eastAsia="宋体" w:cs="Times New Roman"/>
          <w:caps w:val="0"/>
          <w:color w:val="auto"/>
          <w:spacing w:val="0"/>
          <w:position w:val="0"/>
          <w:highlight w:val="none"/>
        </w:rPr>
      </w:pPr>
      <w:r>
        <w:rPr>
          <w:rFonts w:hint="default" w:ascii="Times New Roman" w:hAnsi="Times New Roman" w:eastAsia="宋体" w:cs="Times New Roman"/>
          <w:caps w:val="0"/>
          <w:color w:val="auto"/>
          <w:spacing w:val="0"/>
          <w:position w:val="0"/>
          <w:highlight w:val="none"/>
        </w:rPr>
        <w:t>L</w:t>
      </w:r>
      <w:r>
        <w:rPr>
          <w:rFonts w:hint="default" w:ascii="Times New Roman" w:hAnsi="Times New Roman" w:eastAsia="宋体" w:cs="Times New Roman"/>
          <w:caps w:val="0"/>
          <w:color w:val="auto"/>
          <w:spacing w:val="0"/>
          <w:position w:val="0"/>
          <w:highlight w:val="none"/>
          <w:vertAlign w:val="subscript"/>
        </w:rPr>
        <w:t>1</w:t>
      </w:r>
      <w:r>
        <w:rPr>
          <w:rFonts w:hint="default" w:ascii="Times New Roman" w:hAnsi="Times New Roman" w:eastAsia="宋体" w:cs="Times New Roman"/>
          <w:caps w:val="0"/>
          <w:color w:val="auto"/>
          <w:spacing w:val="0"/>
          <w:position w:val="0"/>
          <w:highlight w:val="none"/>
        </w:rPr>
        <w:t>、L</w:t>
      </w:r>
      <w:r>
        <w:rPr>
          <w:rFonts w:hint="default" w:ascii="Times New Roman" w:hAnsi="Times New Roman" w:eastAsia="宋体" w:cs="Times New Roman"/>
          <w:caps w:val="0"/>
          <w:color w:val="auto"/>
          <w:spacing w:val="0"/>
          <w:position w:val="0"/>
          <w:highlight w:val="none"/>
          <w:vertAlign w:val="subscript"/>
        </w:rPr>
        <w:t>2</w:t>
      </w:r>
      <w:r>
        <w:rPr>
          <w:rFonts w:hint="default" w:ascii="Times New Roman" w:hAnsi="Times New Roman" w:eastAsia="宋体" w:cs="Times New Roman"/>
          <w:caps w:val="0"/>
          <w:color w:val="auto"/>
          <w:spacing w:val="0"/>
          <w:position w:val="0"/>
          <w:highlight w:val="none"/>
        </w:rPr>
        <w:t xml:space="preserve"> — r</w:t>
      </w:r>
      <w:r>
        <w:rPr>
          <w:rFonts w:hint="default" w:ascii="Times New Roman" w:hAnsi="Times New Roman" w:eastAsia="宋体" w:cs="Times New Roman"/>
          <w:caps w:val="0"/>
          <w:color w:val="auto"/>
          <w:spacing w:val="0"/>
          <w:position w:val="0"/>
          <w:highlight w:val="none"/>
          <w:vertAlign w:val="subscript"/>
        </w:rPr>
        <w:t>1</w:t>
      </w:r>
      <w:r>
        <w:rPr>
          <w:rFonts w:hint="default" w:ascii="Times New Roman" w:hAnsi="Times New Roman" w:eastAsia="宋体" w:cs="Times New Roman"/>
          <w:caps w:val="0"/>
          <w:color w:val="auto"/>
          <w:spacing w:val="0"/>
          <w:position w:val="0"/>
          <w:highlight w:val="none"/>
        </w:rPr>
        <w:t>、r</w:t>
      </w:r>
      <w:r>
        <w:rPr>
          <w:rFonts w:hint="default" w:ascii="Times New Roman" w:hAnsi="Times New Roman" w:eastAsia="宋体" w:cs="Times New Roman"/>
          <w:caps w:val="0"/>
          <w:color w:val="auto"/>
          <w:spacing w:val="0"/>
          <w:position w:val="0"/>
          <w:highlight w:val="none"/>
          <w:vertAlign w:val="subscript"/>
        </w:rPr>
        <w:t>2</w:t>
      </w:r>
      <w:r>
        <w:rPr>
          <w:rFonts w:hint="default" w:ascii="Times New Roman" w:hAnsi="Times New Roman" w:eastAsia="宋体" w:cs="Times New Roman"/>
          <w:caps w:val="0"/>
          <w:color w:val="auto"/>
          <w:spacing w:val="0"/>
          <w:position w:val="0"/>
          <w:highlight w:val="none"/>
        </w:rPr>
        <w:t>处的噪声值，dB(A)；</w:t>
      </w:r>
    </w:p>
    <w:p w14:paraId="382F8C2A">
      <w:pPr>
        <w:spacing w:line="360" w:lineRule="auto"/>
        <w:ind w:firstLine="1080" w:firstLineChars="450"/>
        <w:rPr>
          <w:rFonts w:hint="default" w:ascii="Times New Roman" w:hAnsi="Times New Roman" w:eastAsia="宋体" w:cs="Times New Roman"/>
          <w:caps w:val="0"/>
          <w:color w:val="auto"/>
          <w:spacing w:val="0"/>
          <w:position w:val="0"/>
          <w:highlight w:val="none"/>
        </w:rPr>
      </w:pPr>
      <w:r>
        <w:rPr>
          <w:rFonts w:hint="default" w:ascii="Times New Roman" w:hAnsi="Times New Roman" w:eastAsia="宋体" w:cs="Times New Roman"/>
          <w:caps w:val="0"/>
          <w:color w:val="auto"/>
          <w:spacing w:val="0"/>
          <w:position w:val="0"/>
          <w:highlight w:val="none"/>
        </w:rPr>
        <w:drawing>
          <wp:inline distT="0" distB="0" distL="114300" distR="114300">
            <wp:extent cx="1494790" cy="428625"/>
            <wp:effectExtent l="0" t="0" r="0" b="2540"/>
            <wp:docPr id="5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
                    <pic:cNvPicPr>
                      <a:picLocks noChangeAspect="1"/>
                    </pic:cNvPicPr>
                  </pic:nvPicPr>
                  <pic:blipFill>
                    <a:blip r:embed="rId38"/>
                    <a:stretch>
                      <a:fillRect/>
                    </a:stretch>
                  </pic:blipFill>
                  <pic:spPr>
                    <a:xfrm>
                      <a:off x="0" y="0"/>
                      <a:ext cx="1494790" cy="428625"/>
                    </a:xfrm>
                    <a:prstGeom prst="rect">
                      <a:avLst/>
                    </a:prstGeom>
                    <a:noFill/>
                    <a:ln>
                      <a:noFill/>
                    </a:ln>
                  </pic:spPr>
                </pic:pic>
              </a:graphicData>
            </a:graphic>
          </wp:inline>
        </w:drawing>
      </w:r>
    </w:p>
    <w:p w14:paraId="38350B2C">
      <w:pPr>
        <w:spacing w:line="360" w:lineRule="auto"/>
        <w:ind w:firstLine="480" w:firstLineChars="200"/>
        <w:rPr>
          <w:rFonts w:hint="default" w:ascii="Times New Roman" w:hAnsi="Times New Roman" w:eastAsia="宋体" w:cs="Times New Roman"/>
          <w:caps w:val="0"/>
          <w:color w:val="auto"/>
          <w:spacing w:val="0"/>
          <w:position w:val="0"/>
          <w:highlight w:val="none"/>
        </w:rPr>
      </w:pPr>
      <w:r>
        <w:rPr>
          <w:rFonts w:hint="default" w:ascii="Times New Roman" w:hAnsi="Times New Roman" w:eastAsia="宋体" w:cs="Times New Roman"/>
          <w:caps w:val="0"/>
          <w:color w:val="auto"/>
          <w:spacing w:val="0"/>
          <w:position w:val="0"/>
          <w:highlight w:val="none"/>
        </w:rPr>
        <w:t>式中：n—声源总数；</w:t>
      </w:r>
    </w:p>
    <w:p w14:paraId="72ED44C0">
      <w:pPr>
        <w:spacing w:line="360" w:lineRule="auto"/>
        <w:ind w:firstLine="1200" w:firstLineChars="500"/>
        <w:rPr>
          <w:rFonts w:hint="default" w:ascii="Times New Roman" w:hAnsi="Times New Roman" w:eastAsia="宋体" w:cs="Times New Roman"/>
          <w:caps w:val="0"/>
          <w:color w:val="auto"/>
          <w:spacing w:val="0"/>
          <w:position w:val="0"/>
          <w:highlight w:val="none"/>
        </w:rPr>
      </w:pPr>
      <w:r>
        <w:rPr>
          <w:rFonts w:hint="default" w:ascii="Times New Roman" w:hAnsi="Times New Roman" w:eastAsia="宋体" w:cs="Times New Roman"/>
          <w:caps w:val="0"/>
          <w:color w:val="auto"/>
          <w:spacing w:val="0"/>
          <w:position w:val="0"/>
          <w:highlight w:val="none"/>
        </w:rPr>
        <w:t>Lpt—对于某点的总声压级。</w:t>
      </w:r>
    </w:p>
    <w:p w14:paraId="151E8FDC">
      <w:pPr>
        <w:spacing w:line="360" w:lineRule="auto"/>
        <w:ind w:firstLine="480" w:firstLineChars="200"/>
        <w:rPr>
          <w:rFonts w:hint="default" w:ascii="Times New Roman" w:hAnsi="Times New Roman" w:eastAsia="宋体" w:cs="Times New Roman"/>
          <w:caps w:val="0"/>
          <w:color w:val="auto"/>
          <w:spacing w:val="0"/>
          <w:position w:val="0"/>
          <w:highlight w:val="none"/>
          <w:lang w:eastAsia="zh-CN"/>
        </w:rPr>
      </w:pPr>
      <w:r>
        <w:rPr>
          <w:rFonts w:hint="default" w:ascii="Times New Roman" w:hAnsi="Times New Roman" w:eastAsia="宋体" w:cs="Times New Roman"/>
          <w:caps w:val="0"/>
          <w:color w:val="auto"/>
          <w:spacing w:val="0"/>
          <w:position w:val="0"/>
          <w:highlight w:val="none"/>
        </w:rPr>
        <w:t>施工机械噪声源及其随距离衰减分布见</w:t>
      </w:r>
      <w:r>
        <w:rPr>
          <w:rFonts w:hint="default" w:ascii="Times New Roman" w:hAnsi="Times New Roman" w:eastAsia="宋体" w:cs="Times New Roman"/>
          <w:caps w:val="0"/>
          <w:color w:val="auto"/>
          <w:spacing w:val="0"/>
          <w:position w:val="0"/>
          <w:highlight w:val="none"/>
          <w:lang w:val="en-US" w:eastAsia="zh-CN"/>
        </w:rPr>
        <w:t>下</w:t>
      </w:r>
      <w:r>
        <w:rPr>
          <w:rFonts w:hint="default" w:ascii="Times New Roman" w:hAnsi="Times New Roman" w:eastAsia="宋体" w:cs="Times New Roman"/>
          <w:caps w:val="0"/>
          <w:color w:val="auto"/>
          <w:spacing w:val="0"/>
          <w:position w:val="0"/>
          <w:highlight w:val="none"/>
        </w:rPr>
        <w:t>表。</w:t>
      </w:r>
    </w:p>
    <w:p w14:paraId="473EE1F6">
      <w:pPr>
        <w:keepNext w:val="0"/>
        <w:keepLines w:val="0"/>
        <w:pageBreakBefore w:val="0"/>
        <w:widowControl w:val="0"/>
        <w:kinsoku/>
        <w:wordWrap/>
        <w:overflowPunct/>
        <w:topLinePunct w:val="0"/>
        <w:autoSpaceDE/>
        <w:autoSpaceDN/>
        <w:bidi w:val="0"/>
        <w:adjustRightInd/>
        <w:snapToGrid/>
        <w:spacing w:line="240" w:lineRule="auto"/>
        <w:ind w:firstLine="590" w:firstLineChars="245"/>
        <w:jc w:val="center"/>
        <w:textAlignment w:val="auto"/>
        <w:rPr>
          <w:rFonts w:hint="default" w:ascii="Times New Roman" w:hAnsi="Times New Roman" w:eastAsia="宋体" w:cs="Times New Roman"/>
          <w:b/>
          <w:caps w:val="0"/>
          <w:color w:val="auto"/>
          <w:spacing w:val="0"/>
          <w:position w:val="0"/>
          <w:highlight w:val="none"/>
        </w:rPr>
      </w:pPr>
      <w:r>
        <w:rPr>
          <w:rFonts w:hint="default" w:ascii="Times New Roman" w:hAnsi="Times New Roman" w:eastAsia="宋体" w:cs="Times New Roman"/>
          <w:b/>
          <w:caps w:val="0"/>
          <w:color w:val="auto"/>
          <w:spacing w:val="0"/>
          <w:position w:val="0"/>
          <w:highlight w:val="none"/>
        </w:rPr>
        <w:t>表5</w:t>
      </w:r>
      <w:r>
        <w:rPr>
          <w:rFonts w:hint="default" w:ascii="Times New Roman" w:hAnsi="Times New Roman" w:cs="Times New Roman"/>
          <w:b/>
          <w:caps w:val="0"/>
          <w:color w:val="auto"/>
          <w:spacing w:val="0"/>
          <w:position w:val="0"/>
          <w:highlight w:val="none"/>
          <w:lang w:val="en-US" w:eastAsia="zh-CN"/>
        </w:rPr>
        <w:t>.1-3</w:t>
      </w:r>
      <w:r>
        <w:rPr>
          <w:rFonts w:hint="default" w:ascii="Times New Roman" w:hAnsi="Times New Roman" w:eastAsia="宋体" w:cs="Times New Roman"/>
          <w:b/>
          <w:caps w:val="0"/>
          <w:color w:val="auto"/>
          <w:spacing w:val="0"/>
          <w:position w:val="0"/>
          <w:highlight w:val="none"/>
        </w:rPr>
        <w:t xml:space="preserve">     主要阶段施工机械噪声预测结果          单位：dB(A)</w:t>
      </w:r>
    </w:p>
    <w:tbl>
      <w:tblPr>
        <w:tblStyle w:val="3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09"/>
        <w:gridCol w:w="661"/>
        <w:gridCol w:w="593"/>
        <w:gridCol w:w="593"/>
        <w:gridCol w:w="593"/>
        <w:gridCol w:w="593"/>
        <w:gridCol w:w="593"/>
        <w:gridCol w:w="593"/>
        <w:gridCol w:w="741"/>
        <w:gridCol w:w="741"/>
        <w:gridCol w:w="741"/>
        <w:gridCol w:w="759"/>
      </w:tblGrid>
      <w:tr w14:paraId="427A6F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37" w:hRule="atLeast"/>
          <w:jc w:val="center"/>
        </w:trPr>
        <w:tc>
          <w:tcPr>
            <w:tcW w:w="1809" w:type="dxa"/>
            <w:vMerge w:val="restart"/>
            <w:tcBorders>
              <w:top w:val="single" w:color="auto" w:sz="4" w:space="0"/>
              <w:left w:val="single" w:color="auto" w:sz="4" w:space="0"/>
              <w:bottom w:val="single" w:color="auto" w:sz="4" w:space="0"/>
              <w:right w:val="single" w:color="auto" w:sz="4" w:space="0"/>
            </w:tcBorders>
            <w:noWrap w:val="0"/>
            <w:vAlign w:val="center"/>
          </w:tcPr>
          <w:p w14:paraId="4A4573AD">
            <w:pPr>
              <w:pStyle w:val="42"/>
              <w:bidi w:val="0"/>
              <w:rPr>
                <w:rFonts w:hint="default" w:ascii="Times New Roman" w:hAnsi="Times New Roman" w:cs="Times New Roman"/>
                <w:caps w:val="0"/>
                <w:color w:val="auto"/>
                <w:spacing w:val="0"/>
                <w:position w:val="0"/>
                <w:highlight w:val="none"/>
              </w:rPr>
            </w:pPr>
            <w:r>
              <w:rPr>
                <w:rFonts w:hint="default" w:ascii="Times New Roman" w:hAnsi="Times New Roman" w:cs="Times New Roman"/>
                <w:caps w:val="0"/>
                <w:color w:val="auto"/>
                <w:spacing w:val="0"/>
                <w:position w:val="0"/>
                <w:highlight w:val="none"/>
              </w:rPr>
              <w:t>声源名称</w:t>
            </w:r>
          </w:p>
        </w:tc>
        <w:tc>
          <w:tcPr>
            <w:tcW w:w="661" w:type="dxa"/>
            <w:vMerge w:val="restart"/>
            <w:tcBorders>
              <w:top w:val="single" w:color="auto" w:sz="4" w:space="0"/>
              <w:left w:val="single" w:color="auto" w:sz="4" w:space="0"/>
              <w:bottom w:val="single" w:color="auto" w:sz="4" w:space="0"/>
              <w:right w:val="single" w:color="auto" w:sz="4" w:space="0"/>
            </w:tcBorders>
            <w:noWrap w:val="0"/>
            <w:vAlign w:val="center"/>
          </w:tcPr>
          <w:p w14:paraId="464BAB66">
            <w:pPr>
              <w:pStyle w:val="42"/>
              <w:bidi w:val="0"/>
              <w:rPr>
                <w:rFonts w:hint="default" w:ascii="Times New Roman" w:hAnsi="Times New Roman" w:cs="Times New Roman"/>
                <w:caps w:val="0"/>
                <w:color w:val="auto"/>
                <w:spacing w:val="0"/>
                <w:position w:val="0"/>
                <w:highlight w:val="none"/>
              </w:rPr>
            </w:pPr>
            <w:r>
              <w:rPr>
                <w:rFonts w:hint="default" w:ascii="Times New Roman" w:hAnsi="Times New Roman" w:cs="Times New Roman"/>
                <w:caps w:val="0"/>
                <w:color w:val="auto"/>
                <w:spacing w:val="0"/>
                <w:position w:val="0"/>
                <w:highlight w:val="none"/>
              </w:rPr>
              <w:t>源强</w:t>
            </w:r>
          </w:p>
        </w:tc>
        <w:tc>
          <w:tcPr>
            <w:tcW w:w="6540" w:type="dxa"/>
            <w:gridSpan w:val="10"/>
            <w:tcBorders>
              <w:top w:val="single" w:color="auto" w:sz="4" w:space="0"/>
              <w:left w:val="single" w:color="auto" w:sz="4" w:space="0"/>
              <w:bottom w:val="single" w:color="auto" w:sz="4" w:space="0"/>
              <w:right w:val="single" w:color="auto" w:sz="4" w:space="0"/>
            </w:tcBorders>
            <w:noWrap w:val="0"/>
            <w:vAlign w:val="center"/>
          </w:tcPr>
          <w:p w14:paraId="030C0C8E">
            <w:pPr>
              <w:pStyle w:val="42"/>
              <w:bidi w:val="0"/>
              <w:rPr>
                <w:rFonts w:hint="default" w:ascii="Times New Roman" w:hAnsi="Times New Roman" w:cs="Times New Roman"/>
                <w:caps w:val="0"/>
                <w:color w:val="auto"/>
                <w:spacing w:val="0"/>
                <w:position w:val="0"/>
                <w:highlight w:val="none"/>
              </w:rPr>
            </w:pPr>
            <w:r>
              <w:rPr>
                <w:rFonts w:hint="default" w:ascii="Times New Roman" w:hAnsi="Times New Roman" w:cs="Times New Roman"/>
                <w:caps w:val="0"/>
                <w:color w:val="auto"/>
                <w:spacing w:val="0"/>
                <w:position w:val="0"/>
                <w:highlight w:val="none"/>
              </w:rPr>
              <w:t>距声源不同距离处的噪声值</w:t>
            </w:r>
          </w:p>
        </w:tc>
      </w:tr>
      <w:tr w14:paraId="2C3D32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77" w:hRule="atLeast"/>
          <w:jc w:val="center"/>
        </w:trPr>
        <w:tc>
          <w:tcPr>
            <w:tcW w:w="1809" w:type="dxa"/>
            <w:vMerge w:val="continue"/>
            <w:tcBorders>
              <w:top w:val="single" w:color="auto" w:sz="4" w:space="0"/>
              <w:left w:val="single" w:color="auto" w:sz="4" w:space="0"/>
              <w:bottom w:val="single" w:color="auto" w:sz="4" w:space="0"/>
              <w:right w:val="single" w:color="auto" w:sz="4" w:space="0"/>
            </w:tcBorders>
            <w:noWrap w:val="0"/>
            <w:vAlign w:val="center"/>
          </w:tcPr>
          <w:p w14:paraId="2360E784">
            <w:pPr>
              <w:pStyle w:val="42"/>
              <w:bidi w:val="0"/>
              <w:rPr>
                <w:rFonts w:hint="default" w:ascii="Times New Roman" w:hAnsi="Times New Roman" w:cs="Times New Roman"/>
                <w:caps w:val="0"/>
                <w:color w:val="auto"/>
                <w:spacing w:val="0"/>
                <w:position w:val="0"/>
                <w:highlight w:val="none"/>
              </w:rPr>
            </w:pPr>
          </w:p>
        </w:tc>
        <w:tc>
          <w:tcPr>
            <w:tcW w:w="661" w:type="dxa"/>
            <w:vMerge w:val="continue"/>
            <w:tcBorders>
              <w:top w:val="single" w:color="auto" w:sz="4" w:space="0"/>
              <w:left w:val="single" w:color="auto" w:sz="4" w:space="0"/>
              <w:bottom w:val="single" w:color="auto" w:sz="4" w:space="0"/>
              <w:right w:val="single" w:color="auto" w:sz="4" w:space="0"/>
            </w:tcBorders>
            <w:noWrap w:val="0"/>
            <w:vAlign w:val="center"/>
          </w:tcPr>
          <w:p w14:paraId="22CDB41E">
            <w:pPr>
              <w:pStyle w:val="42"/>
              <w:bidi w:val="0"/>
              <w:rPr>
                <w:rFonts w:hint="default" w:ascii="Times New Roman" w:hAnsi="Times New Roman" w:cs="Times New Roman"/>
                <w:caps w:val="0"/>
                <w:color w:val="auto"/>
                <w:spacing w:val="0"/>
                <w:position w:val="0"/>
                <w:highlight w:val="none"/>
              </w:rPr>
            </w:pPr>
          </w:p>
        </w:tc>
        <w:tc>
          <w:tcPr>
            <w:tcW w:w="593" w:type="dxa"/>
            <w:tcBorders>
              <w:top w:val="single" w:color="auto" w:sz="4" w:space="0"/>
              <w:left w:val="single" w:color="auto" w:sz="4" w:space="0"/>
              <w:bottom w:val="single" w:color="auto" w:sz="4" w:space="0"/>
              <w:right w:val="single" w:color="auto" w:sz="4" w:space="0"/>
            </w:tcBorders>
            <w:noWrap w:val="0"/>
            <w:vAlign w:val="center"/>
          </w:tcPr>
          <w:p w14:paraId="74A9D307">
            <w:pPr>
              <w:pStyle w:val="42"/>
              <w:bidi w:val="0"/>
              <w:rPr>
                <w:rFonts w:hint="default" w:ascii="Times New Roman" w:hAnsi="Times New Roman" w:cs="Times New Roman"/>
                <w:caps w:val="0"/>
                <w:color w:val="auto"/>
                <w:spacing w:val="0"/>
                <w:position w:val="0"/>
                <w:highlight w:val="none"/>
              </w:rPr>
            </w:pPr>
            <w:r>
              <w:rPr>
                <w:rFonts w:hint="default" w:ascii="Times New Roman" w:hAnsi="Times New Roman" w:cs="Times New Roman"/>
                <w:caps w:val="0"/>
                <w:color w:val="auto"/>
                <w:spacing w:val="0"/>
                <w:position w:val="0"/>
                <w:highlight w:val="none"/>
              </w:rPr>
              <w:t>10m</w:t>
            </w:r>
          </w:p>
        </w:tc>
        <w:tc>
          <w:tcPr>
            <w:tcW w:w="593" w:type="dxa"/>
            <w:tcBorders>
              <w:top w:val="single" w:color="auto" w:sz="4" w:space="0"/>
              <w:left w:val="single" w:color="auto" w:sz="4" w:space="0"/>
              <w:bottom w:val="single" w:color="auto" w:sz="4" w:space="0"/>
              <w:right w:val="single" w:color="auto" w:sz="4" w:space="0"/>
            </w:tcBorders>
            <w:noWrap w:val="0"/>
            <w:vAlign w:val="center"/>
          </w:tcPr>
          <w:p w14:paraId="63F57DF7">
            <w:pPr>
              <w:pStyle w:val="42"/>
              <w:bidi w:val="0"/>
              <w:rPr>
                <w:rFonts w:hint="default" w:ascii="Times New Roman" w:hAnsi="Times New Roman" w:cs="Times New Roman"/>
                <w:caps w:val="0"/>
                <w:color w:val="auto"/>
                <w:spacing w:val="0"/>
                <w:position w:val="0"/>
                <w:highlight w:val="none"/>
              </w:rPr>
            </w:pPr>
            <w:r>
              <w:rPr>
                <w:rFonts w:hint="default" w:ascii="Times New Roman" w:hAnsi="Times New Roman" w:cs="Times New Roman"/>
                <w:caps w:val="0"/>
                <w:color w:val="auto"/>
                <w:spacing w:val="0"/>
                <w:position w:val="0"/>
                <w:highlight w:val="none"/>
              </w:rPr>
              <w:t>20m</w:t>
            </w:r>
          </w:p>
        </w:tc>
        <w:tc>
          <w:tcPr>
            <w:tcW w:w="593" w:type="dxa"/>
            <w:tcBorders>
              <w:top w:val="single" w:color="auto" w:sz="4" w:space="0"/>
              <w:left w:val="single" w:color="auto" w:sz="4" w:space="0"/>
              <w:bottom w:val="single" w:color="auto" w:sz="4" w:space="0"/>
              <w:right w:val="single" w:color="auto" w:sz="4" w:space="0"/>
            </w:tcBorders>
            <w:noWrap w:val="0"/>
            <w:vAlign w:val="center"/>
          </w:tcPr>
          <w:p w14:paraId="0492DEAF">
            <w:pPr>
              <w:pStyle w:val="42"/>
              <w:bidi w:val="0"/>
              <w:rPr>
                <w:rFonts w:hint="default" w:ascii="Times New Roman" w:hAnsi="Times New Roman" w:cs="Times New Roman"/>
                <w:caps w:val="0"/>
                <w:color w:val="auto"/>
                <w:spacing w:val="0"/>
                <w:position w:val="0"/>
                <w:highlight w:val="none"/>
              </w:rPr>
            </w:pPr>
            <w:r>
              <w:rPr>
                <w:rFonts w:hint="default" w:ascii="Times New Roman" w:hAnsi="Times New Roman" w:cs="Times New Roman"/>
                <w:caps w:val="0"/>
                <w:color w:val="auto"/>
                <w:spacing w:val="0"/>
                <w:position w:val="0"/>
                <w:highlight w:val="none"/>
              </w:rPr>
              <w:t>30m</w:t>
            </w:r>
          </w:p>
        </w:tc>
        <w:tc>
          <w:tcPr>
            <w:tcW w:w="593" w:type="dxa"/>
            <w:tcBorders>
              <w:top w:val="single" w:color="auto" w:sz="4" w:space="0"/>
              <w:left w:val="single" w:color="auto" w:sz="4" w:space="0"/>
              <w:bottom w:val="single" w:color="auto" w:sz="4" w:space="0"/>
              <w:right w:val="single" w:color="auto" w:sz="4" w:space="0"/>
            </w:tcBorders>
            <w:noWrap w:val="0"/>
            <w:vAlign w:val="center"/>
          </w:tcPr>
          <w:p w14:paraId="3FD46A21">
            <w:pPr>
              <w:pStyle w:val="42"/>
              <w:bidi w:val="0"/>
              <w:rPr>
                <w:rFonts w:hint="default" w:ascii="Times New Roman" w:hAnsi="Times New Roman" w:cs="Times New Roman"/>
                <w:caps w:val="0"/>
                <w:color w:val="auto"/>
                <w:spacing w:val="0"/>
                <w:position w:val="0"/>
                <w:highlight w:val="none"/>
              </w:rPr>
            </w:pPr>
            <w:r>
              <w:rPr>
                <w:rFonts w:hint="default" w:ascii="Times New Roman" w:hAnsi="Times New Roman" w:cs="Times New Roman"/>
                <w:caps w:val="0"/>
                <w:color w:val="auto"/>
                <w:spacing w:val="0"/>
                <w:position w:val="0"/>
                <w:highlight w:val="none"/>
              </w:rPr>
              <w:t>40m</w:t>
            </w:r>
          </w:p>
        </w:tc>
        <w:tc>
          <w:tcPr>
            <w:tcW w:w="593" w:type="dxa"/>
            <w:tcBorders>
              <w:top w:val="single" w:color="auto" w:sz="4" w:space="0"/>
              <w:left w:val="single" w:color="auto" w:sz="4" w:space="0"/>
              <w:bottom w:val="single" w:color="auto" w:sz="4" w:space="0"/>
              <w:right w:val="single" w:color="auto" w:sz="4" w:space="0"/>
            </w:tcBorders>
            <w:noWrap w:val="0"/>
            <w:vAlign w:val="center"/>
          </w:tcPr>
          <w:p w14:paraId="4B5A7992">
            <w:pPr>
              <w:pStyle w:val="42"/>
              <w:bidi w:val="0"/>
              <w:rPr>
                <w:rFonts w:hint="default" w:ascii="Times New Roman" w:hAnsi="Times New Roman" w:cs="Times New Roman"/>
                <w:caps w:val="0"/>
                <w:color w:val="auto"/>
                <w:spacing w:val="0"/>
                <w:position w:val="0"/>
                <w:highlight w:val="none"/>
              </w:rPr>
            </w:pPr>
            <w:r>
              <w:rPr>
                <w:rFonts w:hint="default" w:ascii="Times New Roman" w:hAnsi="Times New Roman" w:cs="Times New Roman"/>
                <w:caps w:val="0"/>
                <w:color w:val="auto"/>
                <w:spacing w:val="0"/>
                <w:position w:val="0"/>
                <w:highlight w:val="none"/>
              </w:rPr>
              <w:t>60m</w:t>
            </w:r>
          </w:p>
        </w:tc>
        <w:tc>
          <w:tcPr>
            <w:tcW w:w="593" w:type="dxa"/>
            <w:tcBorders>
              <w:top w:val="single" w:color="auto" w:sz="4" w:space="0"/>
              <w:left w:val="single" w:color="auto" w:sz="4" w:space="0"/>
              <w:bottom w:val="single" w:color="auto" w:sz="4" w:space="0"/>
              <w:right w:val="single" w:color="auto" w:sz="4" w:space="0"/>
            </w:tcBorders>
            <w:noWrap w:val="0"/>
            <w:vAlign w:val="center"/>
          </w:tcPr>
          <w:p w14:paraId="08C98085">
            <w:pPr>
              <w:pStyle w:val="42"/>
              <w:bidi w:val="0"/>
              <w:rPr>
                <w:rFonts w:hint="default" w:ascii="Times New Roman" w:hAnsi="Times New Roman" w:cs="Times New Roman"/>
                <w:caps w:val="0"/>
                <w:color w:val="auto"/>
                <w:spacing w:val="0"/>
                <w:position w:val="0"/>
                <w:highlight w:val="none"/>
              </w:rPr>
            </w:pPr>
            <w:r>
              <w:rPr>
                <w:rFonts w:hint="default" w:ascii="Times New Roman" w:hAnsi="Times New Roman" w:cs="Times New Roman"/>
                <w:caps w:val="0"/>
                <w:color w:val="auto"/>
                <w:spacing w:val="0"/>
                <w:position w:val="0"/>
                <w:highlight w:val="none"/>
              </w:rPr>
              <w:t>80m</w:t>
            </w:r>
          </w:p>
        </w:tc>
        <w:tc>
          <w:tcPr>
            <w:tcW w:w="741" w:type="dxa"/>
            <w:tcBorders>
              <w:top w:val="single" w:color="auto" w:sz="4" w:space="0"/>
              <w:left w:val="single" w:color="auto" w:sz="4" w:space="0"/>
              <w:bottom w:val="single" w:color="auto" w:sz="4" w:space="0"/>
              <w:right w:val="single" w:color="auto" w:sz="4" w:space="0"/>
            </w:tcBorders>
            <w:noWrap w:val="0"/>
            <w:vAlign w:val="center"/>
          </w:tcPr>
          <w:p w14:paraId="784096C2">
            <w:pPr>
              <w:pStyle w:val="42"/>
              <w:bidi w:val="0"/>
              <w:rPr>
                <w:rFonts w:hint="default" w:ascii="Times New Roman" w:hAnsi="Times New Roman" w:cs="Times New Roman"/>
                <w:caps w:val="0"/>
                <w:color w:val="auto"/>
                <w:spacing w:val="0"/>
                <w:position w:val="0"/>
                <w:highlight w:val="none"/>
              </w:rPr>
            </w:pPr>
            <w:r>
              <w:rPr>
                <w:rFonts w:hint="default" w:ascii="Times New Roman" w:hAnsi="Times New Roman" w:cs="Times New Roman"/>
                <w:caps w:val="0"/>
                <w:color w:val="auto"/>
                <w:spacing w:val="0"/>
                <w:position w:val="0"/>
                <w:highlight w:val="none"/>
              </w:rPr>
              <w:t>100m</w:t>
            </w:r>
          </w:p>
        </w:tc>
        <w:tc>
          <w:tcPr>
            <w:tcW w:w="741" w:type="dxa"/>
            <w:tcBorders>
              <w:top w:val="single" w:color="auto" w:sz="4" w:space="0"/>
              <w:left w:val="single" w:color="auto" w:sz="4" w:space="0"/>
              <w:bottom w:val="single" w:color="auto" w:sz="4" w:space="0"/>
              <w:right w:val="single" w:color="auto" w:sz="4" w:space="0"/>
            </w:tcBorders>
            <w:noWrap w:val="0"/>
            <w:vAlign w:val="center"/>
          </w:tcPr>
          <w:p w14:paraId="6656359C">
            <w:pPr>
              <w:pStyle w:val="42"/>
              <w:bidi w:val="0"/>
              <w:rPr>
                <w:rFonts w:hint="default" w:ascii="Times New Roman" w:hAnsi="Times New Roman" w:cs="Times New Roman"/>
                <w:caps w:val="0"/>
                <w:color w:val="auto"/>
                <w:spacing w:val="0"/>
                <w:position w:val="0"/>
                <w:highlight w:val="none"/>
              </w:rPr>
            </w:pPr>
            <w:r>
              <w:rPr>
                <w:rFonts w:hint="default" w:ascii="Times New Roman" w:hAnsi="Times New Roman" w:cs="Times New Roman"/>
                <w:caps w:val="0"/>
                <w:color w:val="auto"/>
                <w:spacing w:val="0"/>
                <w:position w:val="0"/>
                <w:highlight w:val="none"/>
              </w:rPr>
              <w:t>150m</w:t>
            </w:r>
          </w:p>
        </w:tc>
        <w:tc>
          <w:tcPr>
            <w:tcW w:w="741" w:type="dxa"/>
            <w:tcBorders>
              <w:top w:val="single" w:color="auto" w:sz="4" w:space="0"/>
              <w:left w:val="single" w:color="auto" w:sz="4" w:space="0"/>
              <w:bottom w:val="single" w:color="auto" w:sz="4" w:space="0"/>
              <w:right w:val="single" w:color="auto" w:sz="4" w:space="0"/>
            </w:tcBorders>
            <w:noWrap w:val="0"/>
            <w:vAlign w:val="center"/>
          </w:tcPr>
          <w:p w14:paraId="6CD9573A">
            <w:pPr>
              <w:pStyle w:val="42"/>
              <w:bidi w:val="0"/>
              <w:rPr>
                <w:rFonts w:hint="default" w:ascii="Times New Roman" w:hAnsi="Times New Roman" w:cs="Times New Roman"/>
                <w:caps w:val="0"/>
                <w:color w:val="auto"/>
                <w:spacing w:val="0"/>
                <w:position w:val="0"/>
                <w:highlight w:val="none"/>
              </w:rPr>
            </w:pPr>
            <w:r>
              <w:rPr>
                <w:rFonts w:hint="default" w:ascii="Times New Roman" w:hAnsi="Times New Roman" w:cs="Times New Roman"/>
                <w:caps w:val="0"/>
                <w:color w:val="auto"/>
                <w:spacing w:val="0"/>
                <w:position w:val="0"/>
                <w:highlight w:val="none"/>
              </w:rPr>
              <w:t>200m</w:t>
            </w:r>
          </w:p>
        </w:tc>
        <w:tc>
          <w:tcPr>
            <w:tcW w:w="759" w:type="dxa"/>
            <w:tcBorders>
              <w:top w:val="single" w:color="auto" w:sz="4" w:space="0"/>
              <w:left w:val="single" w:color="auto" w:sz="4" w:space="0"/>
              <w:bottom w:val="single" w:color="auto" w:sz="4" w:space="0"/>
              <w:right w:val="single" w:color="auto" w:sz="4" w:space="0"/>
            </w:tcBorders>
            <w:noWrap w:val="0"/>
            <w:vAlign w:val="center"/>
          </w:tcPr>
          <w:p w14:paraId="0DC9CA61">
            <w:pPr>
              <w:pStyle w:val="42"/>
              <w:bidi w:val="0"/>
              <w:rPr>
                <w:rFonts w:hint="default" w:ascii="Times New Roman" w:hAnsi="Times New Roman" w:cs="Times New Roman"/>
                <w:caps w:val="0"/>
                <w:color w:val="auto"/>
                <w:spacing w:val="0"/>
                <w:position w:val="0"/>
                <w:highlight w:val="none"/>
              </w:rPr>
            </w:pPr>
            <w:r>
              <w:rPr>
                <w:rFonts w:hint="default" w:ascii="Times New Roman" w:hAnsi="Times New Roman" w:cs="Times New Roman"/>
                <w:caps w:val="0"/>
                <w:color w:val="auto"/>
                <w:spacing w:val="0"/>
                <w:position w:val="0"/>
                <w:highlight w:val="none"/>
              </w:rPr>
              <w:t>300m</w:t>
            </w:r>
          </w:p>
        </w:tc>
      </w:tr>
      <w:tr w14:paraId="318531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77" w:hRule="atLeast"/>
          <w:jc w:val="center"/>
        </w:trPr>
        <w:tc>
          <w:tcPr>
            <w:tcW w:w="1809" w:type="dxa"/>
            <w:tcBorders>
              <w:top w:val="single" w:color="auto" w:sz="4" w:space="0"/>
              <w:left w:val="single" w:color="auto" w:sz="4" w:space="0"/>
              <w:bottom w:val="single" w:color="auto" w:sz="4" w:space="0"/>
              <w:right w:val="single" w:color="auto" w:sz="4" w:space="0"/>
            </w:tcBorders>
            <w:noWrap w:val="0"/>
            <w:vAlign w:val="center"/>
          </w:tcPr>
          <w:p w14:paraId="239C4356">
            <w:pPr>
              <w:pStyle w:val="42"/>
              <w:bidi w:val="0"/>
              <w:rPr>
                <w:rFonts w:hint="default" w:ascii="Times New Roman" w:hAnsi="Times New Roman" w:cs="Times New Roman"/>
                <w:caps w:val="0"/>
                <w:color w:val="auto"/>
                <w:spacing w:val="0"/>
                <w:position w:val="0"/>
                <w:highlight w:val="none"/>
              </w:rPr>
            </w:pPr>
            <w:r>
              <w:rPr>
                <w:rFonts w:hint="default" w:ascii="Times New Roman" w:hAnsi="Times New Roman" w:cs="Times New Roman"/>
                <w:caps w:val="0"/>
                <w:color w:val="auto"/>
                <w:spacing w:val="0"/>
                <w:position w:val="0"/>
                <w:highlight w:val="none"/>
              </w:rPr>
              <w:t>推土机</w:t>
            </w:r>
          </w:p>
        </w:tc>
        <w:tc>
          <w:tcPr>
            <w:tcW w:w="661" w:type="dxa"/>
            <w:tcBorders>
              <w:top w:val="single" w:color="auto" w:sz="4" w:space="0"/>
              <w:left w:val="single" w:color="auto" w:sz="4" w:space="0"/>
              <w:bottom w:val="single" w:color="auto" w:sz="4" w:space="0"/>
              <w:right w:val="single" w:color="auto" w:sz="4" w:space="0"/>
            </w:tcBorders>
            <w:noWrap w:val="0"/>
            <w:vAlign w:val="center"/>
          </w:tcPr>
          <w:p w14:paraId="1E966248">
            <w:pPr>
              <w:pStyle w:val="42"/>
              <w:bidi w:val="0"/>
              <w:rPr>
                <w:rFonts w:hint="default" w:ascii="Times New Roman" w:hAnsi="Times New Roman" w:cs="Times New Roman"/>
                <w:caps w:val="0"/>
                <w:color w:val="auto"/>
                <w:spacing w:val="0"/>
                <w:position w:val="0"/>
                <w:highlight w:val="none"/>
              </w:rPr>
            </w:pPr>
            <w:r>
              <w:rPr>
                <w:rFonts w:hint="default" w:ascii="Times New Roman" w:hAnsi="Times New Roman" w:cs="Times New Roman"/>
                <w:caps w:val="0"/>
                <w:color w:val="auto"/>
                <w:spacing w:val="0"/>
                <w:position w:val="0"/>
                <w:highlight w:val="none"/>
              </w:rPr>
              <w:t>95</w:t>
            </w:r>
          </w:p>
        </w:tc>
        <w:tc>
          <w:tcPr>
            <w:tcW w:w="593" w:type="dxa"/>
            <w:tcBorders>
              <w:top w:val="single" w:color="auto" w:sz="4" w:space="0"/>
              <w:left w:val="single" w:color="auto" w:sz="4" w:space="0"/>
              <w:bottom w:val="single" w:color="auto" w:sz="4" w:space="0"/>
              <w:right w:val="single" w:color="auto" w:sz="4" w:space="0"/>
            </w:tcBorders>
            <w:noWrap w:val="0"/>
            <w:vAlign w:val="center"/>
          </w:tcPr>
          <w:p w14:paraId="1ACBBCC3">
            <w:pPr>
              <w:pStyle w:val="42"/>
              <w:bidi w:val="0"/>
              <w:rPr>
                <w:rFonts w:hint="default" w:ascii="Times New Roman" w:hAnsi="Times New Roman" w:cs="Times New Roman"/>
                <w:caps w:val="0"/>
                <w:color w:val="auto"/>
                <w:spacing w:val="0"/>
                <w:position w:val="0"/>
                <w:highlight w:val="none"/>
              </w:rPr>
            </w:pPr>
            <w:r>
              <w:rPr>
                <w:rFonts w:hint="default" w:ascii="Times New Roman" w:hAnsi="Times New Roman" w:cs="Times New Roman"/>
                <w:caps w:val="0"/>
                <w:color w:val="auto"/>
                <w:spacing w:val="0"/>
                <w:position w:val="0"/>
                <w:highlight w:val="none"/>
              </w:rPr>
              <w:t>75.0</w:t>
            </w:r>
          </w:p>
        </w:tc>
        <w:tc>
          <w:tcPr>
            <w:tcW w:w="593" w:type="dxa"/>
            <w:tcBorders>
              <w:top w:val="single" w:color="auto" w:sz="4" w:space="0"/>
              <w:left w:val="single" w:color="auto" w:sz="4" w:space="0"/>
              <w:bottom w:val="single" w:color="auto" w:sz="4" w:space="0"/>
              <w:right w:val="single" w:color="auto" w:sz="4" w:space="0"/>
            </w:tcBorders>
            <w:noWrap w:val="0"/>
            <w:vAlign w:val="center"/>
          </w:tcPr>
          <w:p w14:paraId="359E06EF">
            <w:pPr>
              <w:pStyle w:val="42"/>
              <w:bidi w:val="0"/>
              <w:rPr>
                <w:rFonts w:hint="default" w:ascii="Times New Roman" w:hAnsi="Times New Roman" w:cs="Times New Roman"/>
                <w:caps w:val="0"/>
                <w:color w:val="auto"/>
                <w:spacing w:val="0"/>
                <w:position w:val="0"/>
                <w:highlight w:val="none"/>
              </w:rPr>
            </w:pPr>
            <w:r>
              <w:rPr>
                <w:rFonts w:hint="default" w:ascii="Times New Roman" w:hAnsi="Times New Roman" w:cs="Times New Roman"/>
                <w:caps w:val="0"/>
                <w:color w:val="auto"/>
                <w:spacing w:val="0"/>
                <w:position w:val="0"/>
                <w:highlight w:val="none"/>
              </w:rPr>
              <w:t>69.0</w:t>
            </w:r>
          </w:p>
        </w:tc>
        <w:tc>
          <w:tcPr>
            <w:tcW w:w="593" w:type="dxa"/>
            <w:tcBorders>
              <w:top w:val="single" w:color="auto" w:sz="4" w:space="0"/>
              <w:left w:val="single" w:color="auto" w:sz="4" w:space="0"/>
              <w:bottom w:val="single" w:color="auto" w:sz="4" w:space="0"/>
              <w:right w:val="single" w:color="auto" w:sz="4" w:space="0"/>
            </w:tcBorders>
            <w:noWrap w:val="0"/>
            <w:vAlign w:val="center"/>
          </w:tcPr>
          <w:p w14:paraId="2A094985">
            <w:pPr>
              <w:pStyle w:val="42"/>
              <w:bidi w:val="0"/>
              <w:rPr>
                <w:rFonts w:hint="default" w:ascii="Times New Roman" w:hAnsi="Times New Roman" w:cs="Times New Roman"/>
                <w:caps w:val="0"/>
                <w:color w:val="auto"/>
                <w:spacing w:val="0"/>
                <w:position w:val="0"/>
                <w:highlight w:val="none"/>
              </w:rPr>
            </w:pPr>
            <w:r>
              <w:rPr>
                <w:rFonts w:hint="default" w:ascii="Times New Roman" w:hAnsi="Times New Roman" w:cs="Times New Roman"/>
                <w:caps w:val="0"/>
                <w:color w:val="auto"/>
                <w:spacing w:val="0"/>
                <w:position w:val="0"/>
                <w:highlight w:val="none"/>
              </w:rPr>
              <w:t>65.5</w:t>
            </w:r>
          </w:p>
        </w:tc>
        <w:tc>
          <w:tcPr>
            <w:tcW w:w="593" w:type="dxa"/>
            <w:tcBorders>
              <w:top w:val="single" w:color="auto" w:sz="4" w:space="0"/>
              <w:left w:val="single" w:color="auto" w:sz="4" w:space="0"/>
              <w:bottom w:val="single" w:color="auto" w:sz="4" w:space="0"/>
              <w:right w:val="single" w:color="auto" w:sz="4" w:space="0"/>
            </w:tcBorders>
            <w:noWrap w:val="0"/>
            <w:vAlign w:val="center"/>
          </w:tcPr>
          <w:p w14:paraId="67794725">
            <w:pPr>
              <w:pStyle w:val="42"/>
              <w:bidi w:val="0"/>
              <w:rPr>
                <w:rFonts w:hint="default" w:ascii="Times New Roman" w:hAnsi="Times New Roman" w:cs="Times New Roman"/>
                <w:caps w:val="0"/>
                <w:color w:val="auto"/>
                <w:spacing w:val="0"/>
                <w:position w:val="0"/>
                <w:highlight w:val="none"/>
              </w:rPr>
            </w:pPr>
            <w:r>
              <w:rPr>
                <w:rFonts w:hint="default" w:ascii="Times New Roman" w:hAnsi="Times New Roman" w:cs="Times New Roman"/>
                <w:caps w:val="0"/>
                <w:color w:val="auto"/>
                <w:spacing w:val="0"/>
                <w:position w:val="0"/>
                <w:highlight w:val="none"/>
              </w:rPr>
              <w:t>63.0</w:t>
            </w:r>
          </w:p>
        </w:tc>
        <w:tc>
          <w:tcPr>
            <w:tcW w:w="593" w:type="dxa"/>
            <w:tcBorders>
              <w:top w:val="single" w:color="auto" w:sz="4" w:space="0"/>
              <w:left w:val="single" w:color="auto" w:sz="4" w:space="0"/>
              <w:bottom w:val="single" w:color="auto" w:sz="4" w:space="0"/>
              <w:right w:val="single" w:color="auto" w:sz="4" w:space="0"/>
            </w:tcBorders>
            <w:noWrap w:val="0"/>
            <w:vAlign w:val="center"/>
          </w:tcPr>
          <w:p w14:paraId="3904993F">
            <w:pPr>
              <w:pStyle w:val="42"/>
              <w:bidi w:val="0"/>
              <w:rPr>
                <w:rFonts w:hint="default" w:ascii="Times New Roman" w:hAnsi="Times New Roman" w:cs="Times New Roman"/>
                <w:caps w:val="0"/>
                <w:color w:val="auto"/>
                <w:spacing w:val="0"/>
                <w:position w:val="0"/>
                <w:highlight w:val="none"/>
              </w:rPr>
            </w:pPr>
            <w:r>
              <w:rPr>
                <w:rFonts w:hint="default" w:ascii="Times New Roman" w:hAnsi="Times New Roman" w:cs="Times New Roman"/>
                <w:caps w:val="0"/>
                <w:color w:val="auto"/>
                <w:spacing w:val="0"/>
                <w:position w:val="0"/>
                <w:highlight w:val="none"/>
              </w:rPr>
              <w:t>59.4</w:t>
            </w:r>
          </w:p>
        </w:tc>
        <w:tc>
          <w:tcPr>
            <w:tcW w:w="593" w:type="dxa"/>
            <w:tcBorders>
              <w:top w:val="single" w:color="auto" w:sz="4" w:space="0"/>
              <w:left w:val="single" w:color="auto" w:sz="4" w:space="0"/>
              <w:bottom w:val="single" w:color="auto" w:sz="4" w:space="0"/>
              <w:right w:val="single" w:color="auto" w:sz="4" w:space="0"/>
            </w:tcBorders>
            <w:noWrap w:val="0"/>
            <w:vAlign w:val="center"/>
          </w:tcPr>
          <w:p w14:paraId="376F2FBE">
            <w:pPr>
              <w:pStyle w:val="42"/>
              <w:bidi w:val="0"/>
              <w:rPr>
                <w:rFonts w:hint="default" w:ascii="Times New Roman" w:hAnsi="Times New Roman" w:cs="Times New Roman"/>
                <w:caps w:val="0"/>
                <w:color w:val="auto"/>
                <w:spacing w:val="0"/>
                <w:position w:val="0"/>
                <w:highlight w:val="none"/>
              </w:rPr>
            </w:pPr>
            <w:r>
              <w:rPr>
                <w:rFonts w:hint="default" w:ascii="Times New Roman" w:hAnsi="Times New Roman" w:cs="Times New Roman"/>
                <w:caps w:val="0"/>
                <w:color w:val="auto"/>
                <w:spacing w:val="0"/>
                <w:position w:val="0"/>
                <w:highlight w:val="none"/>
              </w:rPr>
              <w:t>56.9</w:t>
            </w:r>
          </w:p>
        </w:tc>
        <w:tc>
          <w:tcPr>
            <w:tcW w:w="741" w:type="dxa"/>
            <w:tcBorders>
              <w:top w:val="single" w:color="auto" w:sz="4" w:space="0"/>
              <w:left w:val="single" w:color="auto" w:sz="4" w:space="0"/>
              <w:bottom w:val="single" w:color="auto" w:sz="4" w:space="0"/>
              <w:right w:val="single" w:color="auto" w:sz="4" w:space="0"/>
            </w:tcBorders>
            <w:noWrap w:val="0"/>
            <w:vAlign w:val="center"/>
          </w:tcPr>
          <w:p w14:paraId="5A8A727A">
            <w:pPr>
              <w:pStyle w:val="42"/>
              <w:bidi w:val="0"/>
              <w:rPr>
                <w:rFonts w:hint="default" w:ascii="Times New Roman" w:hAnsi="Times New Roman" w:cs="Times New Roman"/>
                <w:caps w:val="0"/>
                <w:color w:val="auto"/>
                <w:spacing w:val="0"/>
                <w:position w:val="0"/>
                <w:highlight w:val="none"/>
              </w:rPr>
            </w:pPr>
            <w:r>
              <w:rPr>
                <w:rFonts w:hint="default" w:ascii="Times New Roman" w:hAnsi="Times New Roman" w:cs="Times New Roman"/>
                <w:caps w:val="0"/>
                <w:color w:val="auto"/>
                <w:spacing w:val="0"/>
                <w:position w:val="0"/>
                <w:highlight w:val="none"/>
              </w:rPr>
              <w:t>55.0</w:t>
            </w:r>
          </w:p>
        </w:tc>
        <w:tc>
          <w:tcPr>
            <w:tcW w:w="741" w:type="dxa"/>
            <w:tcBorders>
              <w:top w:val="single" w:color="auto" w:sz="4" w:space="0"/>
              <w:left w:val="single" w:color="auto" w:sz="4" w:space="0"/>
              <w:bottom w:val="single" w:color="auto" w:sz="4" w:space="0"/>
              <w:right w:val="single" w:color="auto" w:sz="4" w:space="0"/>
            </w:tcBorders>
            <w:noWrap w:val="0"/>
            <w:vAlign w:val="center"/>
          </w:tcPr>
          <w:p w14:paraId="6829D678">
            <w:pPr>
              <w:pStyle w:val="42"/>
              <w:bidi w:val="0"/>
              <w:rPr>
                <w:rFonts w:hint="default" w:ascii="Times New Roman" w:hAnsi="Times New Roman" w:cs="Times New Roman"/>
                <w:caps w:val="0"/>
                <w:color w:val="auto"/>
                <w:spacing w:val="0"/>
                <w:position w:val="0"/>
                <w:highlight w:val="none"/>
              </w:rPr>
            </w:pPr>
            <w:r>
              <w:rPr>
                <w:rFonts w:hint="default" w:ascii="Times New Roman" w:hAnsi="Times New Roman" w:cs="Times New Roman"/>
                <w:caps w:val="0"/>
                <w:color w:val="auto"/>
                <w:spacing w:val="0"/>
                <w:position w:val="0"/>
                <w:highlight w:val="none"/>
              </w:rPr>
              <w:t>51.5</w:t>
            </w:r>
          </w:p>
        </w:tc>
        <w:tc>
          <w:tcPr>
            <w:tcW w:w="741" w:type="dxa"/>
            <w:tcBorders>
              <w:top w:val="single" w:color="auto" w:sz="4" w:space="0"/>
              <w:left w:val="single" w:color="auto" w:sz="4" w:space="0"/>
              <w:bottom w:val="single" w:color="auto" w:sz="4" w:space="0"/>
              <w:right w:val="single" w:color="auto" w:sz="4" w:space="0"/>
            </w:tcBorders>
            <w:noWrap w:val="0"/>
            <w:vAlign w:val="center"/>
          </w:tcPr>
          <w:p w14:paraId="43798B15">
            <w:pPr>
              <w:pStyle w:val="42"/>
              <w:bidi w:val="0"/>
              <w:rPr>
                <w:rFonts w:hint="default" w:ascii="Times New Roman" w:hAnsi="Times New Roman" w:cs="Times New Roman"/>
                <w:caps w:val="0"/>
                <w:color w:val="auto"/>
                <w:spacing w:val="0"/>
                <w:position w:val="0"/>
                <w:highlight w:val="none"/>
              </w:rPr>
            </w:pPr>
            <w:r>
              <w:rPr>
                <w:rFonts w:hint="default" w:ascii="Times New Roman" w:hAnsi="Times New Roman" w:cs="Times New Roman"/>
                <w:caps w:val="0"/>
                <w:color w:val="auto"/>
                <w:spacing w:val="0"/>
                <w:position w:val="0"/>
                <w:highlight w:val="none"/>
              </w:rPr>
              <w:t>49.0</w:t>
            </w:r>
          </w:p>
        </w:tc>
        <w:tc>
          <w:tcPr>
            <w:tcW w:w="759" w:type="dxa"/>
            <w:tcBorders>
              <w:top w:val="single" w:color="auto" w:sz="4" w:space="0"/>
              <w:left w:val="single" w:color="auto" w:sz="4" w:space="0"/>
              <w:bottom w:val="single" w:color="auto" w:sz="4" w:space="0"/>
              <w:right w:val="single" w:color="auto" w:sz="4" w:space="0"/>
            </w:tcBorders>
            <w:noWrap w:val="0"/>
            <w:vAlign w:val="center"/>
          </w:tcPr>
          <w:p w14:paraId="1E93A135">
            <w:pPr>
              <w:pStyle w:val="42"/>
              <w:bidi w:val="0"/>
              <w:rPr>
                <w:rFonts w:hint="default" w:ascii="Times New Roman" w:hAnsi="Times New Roman" w:cs="Times New Roman"/>
                <w:caps w:val="0"/>
                <w:color w:val="auto"/>
                <w:spacing w:val="0"/>
                <w:position w:val="0"/>
                <w:highlight w:val="none"/>
              </w:rPr>
            </w:pPr>
            <w:r>
              <w:rPr>
                <w:rFonts w:hint="default" w:ascii="Times New Roman" w:hAnsi="Times New Roman" w:cs="Times New Roman"/>
                <w:caps w:val="0"/>
                <w:color w:val="auto"/>
                <w:spacing w:val="0"/>
                <w:position w:val="0"/>
                <w:highlight w:val="none"/>
              </w:rPr>
              <w:t>45.5</w:t>
            </w:r>
          </w:p>
        </w:tc>
      </w:tr>
      <w:tr w14:paraId="439A0C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7" w:hRule="atLeast"/>
          <w:jc w:val="center"/>
        </w:trPr>
        <w:tc>
          <w:tcPr>
            <w:tcW w:w="1809" w:type="dxa"/>
            <w:tcBorders>
              <w:top w:val="single" w:color="auto" w:sz="4" w:space="0"/>
              <w:left w:val="single" w:color="auto" w:sz="4" w:space="0"/>
              <w:bottom w:val="single" w:color="auto" w:sz="4" w:space="0"/>
              <w:right w:val="single" w:color="auto" w:sz="4" w:space="0"/>
            </w:tcBorders>
            <w:noWrap w:val="0"/>
            <w:vAlign w:val="center"/>
          </w:tcPr>
          <w:p w14:paraId="0DE05430">
            <w:pPr>
              <w:pStyle w:val="42"/>
              <w:bidi w:val="0"/>
              <w:rPr>
                <w:rFonts w:hint="default" w:ascii="Times New Roman" w:hAnsi="Times New Roman" w:cs="Times New Roman"/>
                <w:caps w:val="0"/>
                <w:color w:val="auto"/>
                <w:spacing w:val="0"/>
                <w:position w:val="0"/>
                <w:highlight w:val="none"/>
              </w:rPr>
            </w:pPr>
            <w:r>
              <w:rPr>
                <w:rFonts w:hint="default" w:ascii="Times New Roman" w:hAnsi="Times New Roman" w:cs="Times New Roman"/>
                <w:caps w:val="0"/>
                <w:color w:val="auto"/>
                <w:spacing w:val="0"/>
                <w:position w:val="0"/>
                <w:highlight w:val="none"/>
              </w:rPr>
              <w:t>挖掘机</w:t>
            </w:r>
          </w:p>
        </w:tc>
        <w:tc>
          <w:tcPr>
            <w:tcW w:w="661" w:type="dxa"/>
            <w:tcBorders>
              <w:top w:val="single" w:color="auto" w:sz="4" w:space="0"/>
              <w:left w:val="single" w:color="auto" w:sz="4" w:space="0"/>
              <w:bottom w:val="single" w:color="auto" w:sz="4" w:space="0"/>
              <w:right w:val="single" w:color="auto" w:sz="4" w:space="0"/>
            </w:tcBorders>
            <w:noWrap w:val="0"/>
            <w:vAlign w:val="center"/>
          </w:tcPr>
          <w:p w14:paraId="72E5BFD3">
            <w:pPr>
              <w:pStyle w:val="42"/>
              <w:bidi w:val="0"/>
              <w:rPr>
                <w:rFonts w:hint="default" w:ascii="Times New Roman" w:hAnsi="Times New Roman" w:cs="Times New Roman"/>
                <w:caps w:val="0"/>
                <w:color w:val="auto"/>
                <w:spacing w:val="0"/>
                <w:position w:val="0"/>
                <w:highlight w:val="none"/>
              </w:rPr>
            </w:pPr>
            <w:r>
              <w:rPr>
                <w:rFonts w:hint="default" w:ascii="Times New Roman" w:hAnsi="Times New Roman" w:cs="Times New Roman"/>
                <w:caps w:val="0"/>
                <w:color w:val="auto"/>
                <w:spacing w:val="0"/>
                <w:position w:val="0"/>
                <w:highlight w:val="none"/>
              </w:rPr>
              <w:t>95</w:t>
            </w:r>
          </w:p>
        </w:tc>
        <w:tc>
          <w:tcPr>
            <w:tcW w:w="593" w:type="dxa"/>
            <w:tcBorders>
              <w:top w:val="single" w:color="auto" w:sz="4" w:space="0"/>
              <w:left w:val="single" w:color="auto" w:sz="4" w:space="0"/>
              <w:bottom w:val="single" w:color="auto" w:sz="4" w:space="0"/>
              <w:right w:val="single" w:color="auto" w:sz="4" w:space="0"/>
            </w:tcBorders>
            <w:noWrap w:val="0"/>
            <w:vAlign w:val="center"/>
          </w:tcPr>
          <w:p w14:paraId="69A1E5B6">
            <w:pPr>
              <w:pStyle w:val="42"/>
              <w:bidi w:val="0"/>
              <w:rPr>
                <w:rFonts w:hint="default" w:ascii="Times New Roman" w:hAnsi="Times New Roman" w:cs="Times New Roman"/>
                <w:caps w:val="0"/>
                <w:color w:val="auto"/>
                <w:spacing w:val="0"/>
                <w:position w:val="0"/>
                <w:highlight w:val="none"/>
              </w:rPr>
            </w:pPr>
            <w:r>
              <w:rPr>
                <w:rFonts w:hint="default" w:ascii="Times New Roman" w:hAnsi="Times New Roman" w:cs="Times New Roman"/>
                <w:caps w:val="0"/>
                <w:color w:val="auto"/>
                <w:spacing w:val="0"/>
                <w:position w:val="0"/>
                <w:highlight w:val="none"/>
              </w:rPr>
              <w:t>75.0</w:t>
            </w:r>
          </w:p>
        </w:tc>
        <w:tc>
          <w:tcPr>
            <w:tcW w:w="593" w:type="dxa"/>
            <w:tcBorders>
              <w:top w:val="single" w:color="auto" w:sz="4" w:space="0"/>
              <w:left w:val="single" w:color="auto" w:sz="4" w:space="0"/>
              <w:bottom w:val="single" w:color="auto" w:sz="4" w:space="0"/>
              <w:right w:val="single" w:color="auto" w:sz="4" w:space="0"/>
            </w:tcBorders>
            <w:noWrap w:val="0"/>
            <w:vAlign w:val="center"/>
          </w:tcPr>
          <w:p w14:paraId="1E0BEFB0">
            <w:pPr>
              <w:pStyle w:val="42"/>
              <w:bidi w:val="0"/>
              <w:rPr>
                <w:rFonts w:hint="default" w:ascii="Times New Roman" w:hAnsi="Times New Roman" w:cs="Times New Roman"/>
                <w:caps w:val="0"/>
                <w:color w:val="auto"/>
                <w:spacing w:val="0"/>
                <w:position w:val="0"/>
                <w:highlight w:val="none"/>
              </w:rPr>
            </w:pPr>
            <w:r>
              <w:rPr>
                <w:rFonts w:hint="default" w:ascii="Times New Roman" w:hAnsi="Times New Roman" w:cs="Times New Roman"/>
                <w:caps w:val="0"/>
                <w:color w:val="auto"/>
                <w:spacing w:val="0"/>
                <w:position w:val="0"/>
                <w:highlight w:val="none"/>
              </w:rPr>
              <w:t>69.0</w:t>
            </w:r>
          </w:p>
        </w:tc>
        <w:tc>
          <w:tcPr>
            <w:tcW w:w="593" w:type="dxa"/>
            <w:tcBorders>
              <w:top w:val="single" w:color="auto" w:sz="4" w:space="0"/>
              <w:left w:val="single" w:color="auto" w:sz="4" w:space="0"/>
              <w:bottom w:val="single" w:color="auto" w:sz="4" w:space="0"/>
              <w:right w:val="single" w:color="auto" w:sz="4" w:space="0"/>
            </w:tcBorders>
            <w:noWrap w:val="0"/>
            <w:vAlign w:val="center"/>
          </w:tcPr>
          <w:p w14:paraId="5AD889F7">
            <w:pPr>
              <w:pStyle w:val="42"/>
              <w:bidi w:val="0"/>
              <w:rPr>
                <w:rFonts w:hint="default" w:ascii="Times New Roman" w:hAnsi="Times New Roman" w:cs="Times New Roman"/>
                <w:caps w:val="0"/>
                <w:color w:val="auto"/>
                <w:spacing w:val="0"/>
                <w:position w:val="0"/>
                <w:highlight w:val="none"/>
              </w:rPr>
            </w:pPr>
            <w:r>
              <w:rPr>
                <w:rFonts w:hint="default" w:ascii="Times New Roman" w:hAnsi="Times New Roman" w:cs="Times New Roman"/>
                <w:caps w:val="0"/>
                <w:color w:val="auto"/>
                <w:spacing w:val="0"/>
                <w:position w:val="0"/>
                <w:highlight w:val="none"/>
              </w:rPr>
              <w:t>65.5</w:t>
            </w:r>
          </w:p>
        </w:tc>
        <w:tc>
          <w:tcPr>
            <w:tcW w:w="593" w:type="dxa"/>
            <w:tcBorders>
              <w:top w:val="single" w:color="auto" w:sz="4" w:space="0"/>
              <w:left w:val="single" w:color="auto" w:sz="4" w:space="0"/>
              <w:bottom w:val="single" w:color="auto" w:sz="4" w:space="0"/>
              <w:right w:val="single" w:color="auto" w:sz="4" w:space="0"/>
            </w:tcBorders>
            <w:noWrap w:val="0"/>
            <w:vAlign w:val="center"/>
          </w:tcPr>
          <w:p w14:paraId="04D41E84">
            <w:pPr>
              <w:pStyle w:val="42"/>
              <w:bidi w:val="0"/>
              <w:rPr>
                <w:rFonts w:hint="default" w:ascii="Times New Roman" w:hAnsi="Times New Roman" w:cs="Times New Roman"/>
                <w:caps w:val="0"/>
                <w:color w:val="auto"/>
                <w:spacing w:val="0"/>
                <w:position w:val="0"/>
                <w:highlight w:val="none"/>
              </w:rPr>
            </w:pPr>
            <w:r>
              <w:rPr>
                <w:rFonts w:hint="default" w:ascii="Times New Roman" w:hAnsi="Times New Roman" w:cs="Times New Roman"/>
                <w:caps w:val="0"/>
                <w:color w:val="auto"/>
                <w:spacing w:val="0"/>
                <w:position w:val="0"/>
                <w:highlight w:val="none"/>
              </w:rPr>
              <w:t>63.0</w:t>
            </w:r>
          </w:p>
        </w:tc>
        <w:tc>
          <w:tcPr>
            <w:tcW w:w="593" w:type="dxa"/>
            <w:tcBorders>
              <w:top w:val="single" w:color="auto" w:sz="4" w:space="0"/>
              <w:left w:val="single" w:color="auto" w:sz="4" w:space="0"/>
              <w:bottom w:val="single" w:color="auto" w:sz="4" w:space="0"/>
              <w:right w:val="single" w:color="auto" w:sz="4" w:space="0"/>
            </w:tcBorders>
            <w:noWrap w:val="0"/>
            <w:vAlign w:val="center"/>
          </w:tcPr>
          <w:p w14:paraId="67FE43FD">
            <w:pPr>
              <w:pStyle w:val="42"/>
              <w:bidi w:val="0"/>
              <w:rPr>
                <w:rFonts w:hint="default" w:ascii="Times New Roman" w:hAnsi="Times New Roman" w:cs="Times New Roman"/>
                <w:caps w:val="0"/>
                <w:color w:val="auto"/>
                <w:spacing w:val="0"/>
                <w:position w:val="0"/>
                <w:highlight w:val="none"/>
              </w:rPr>
            </w:pPr>
            <w:r>
              <w:rPr>
                <w:rFonts w:hint="default" w:ascii="Times New Roman" w:hAnsi="Times New Roman" w:cs="Times New Roman"/>
                <w:caps w:val="0"/>
                <w:color w:val="auto"/>
                <w:spacing w:val="0"/>
                <w:position w:val="0"/>
                <w:highlight w:val="none"/>
              </w:rPr>
              <w:t>59.4</w:t>
            </w:r>
          </w:p>
        </w:tc>
        <w:tc>
          <w:tcPr>
            <w:tcW w:w="593" w:type="dxa"/>
            <w:tcBorders>
              <w:top w:val="single" w:color="auto" w:sz="4" w:space="0"/>
              <w:left w:val="single" w:color="auto" w:sz="4" w:space="0"/>
              <w:bottom w:val="single" w:color="auto" w:sz="4" w:space="0"/>
              <w:right w:val="single" w:color="auto" w:sz="4" w:space="0"/>
            </w:tcBorders>
            <w:noWrap w:val="0"/>
            <w:vAlign w:val="center"/>
          </w:tcPr>
          <w:p w14:paraId="61DCC5B8">
            <w:pPr>
              <w:pStyle w:val="42"/>
              <w:bidi w:val="0"/>
              <w:rPr>
                <w:rFonts w:hint="default" w:ascii="Times New Roman" w:hAnsi="Times New Roman" w:cs="Times New Roman"/>
                <w:caps w:val="0"/>
                <w:color w:val="auto"/>
                <w:spacing w:val="0"/>
                <w:position w:val="0"/>
                <w:highlight w:val="none"/>
              </w:rPr>
            </w:pPr>
            <w:r>
              <w:rPr>
                <w:rFonts w:hint="default" w:ascii="Times New Roman" w:hAnsi="Times New Roman" w:cs="Times New Roman"/>
                <w:caps w:val="0"/>
                <w:color w:val="auto"/>
                <w:spacing w:val="0"/>
                <w:position w:val="0"/>
                <w:highlight w:val="none"/>
              </w:rPr>
              <w:t>56.9</w:t>
            </w:r>
          </w:p>
        </w:tc>
        <w:tc>
          <w:tcPr>
            <w:tcW w:w="741" w:type="dxa"/>
            <w:tcBorders>
              <w:top w:val="single" w:color="auto" w:sz="4" w:space="0"/>
              <w:left w:val="single" w:color="auto" w:sz="4" w:space="0"/>
              <w:bottom w:val="single" w:color="auto" w:sz="4" w:space="0"/>
              <w:right w:val="single" w:color="auto" w:sz="4" w:space="0"/>
            </w:tcBorders>
            <w:noWrap w:val="0"/>
            <w:vAlign w:val="center"/>
          </w:tcPr>
          <w:p w14:paraId="688CEFB1">
            <w:pPr>
              <w:pStyle w:val="42"/>
              <w:bidi w:val="0"/>
              <w:rPr>
                <w:rFonts w:hint="default" w:ascii="Times New Roman" w:hAnsi="Times New Roman" w:cs="Times New Roman"/>
                <w:caps w:val="0"/>
                <w:color w:val="auto"/>
                <w:spacing w:val="0"/>
                <w:position w:val="0"/>
                <w:highlight w:val="none"/>
              </w:rPr>
            </w:pPr>
            <w:r>
              <w:rPr>
                <w:rFonts w:hint="default" w:ascii="Times New Roman" w:hAnsi="Times New Roman" w:cs="Times New Roman"/>
                <w:caps w:val="0"/>
                <w:color w:val="auto"/>
                <w:spacing w:val="0"/>
                <w:position w:val="0"/>
                <w:highlight w:val="none"/>
              </w:rPr>
              <w:t>55.0</w:t>
            </w:r>
          </w:p>
        </w:tc>
        <w:tc>
          <w:tcPr>
            <w:tcW w:w="741" w:type="dxa"/>
            <w:tcBorders>
              <w:top w:val="single" w:color="auto" w:sz="4" w:space="0"/>
              <w:left w:val="single" w:color="auto" w:sz="4" w:space="0"/>
              <w:bottom w:val="single" w:color="auto" w:sz="4" w:space="0"/>
              <w:right w:val="single" w:color="auto" w:sz="4" w:space="0"/>
            </w:tcBorders>
            <w:noWrap w:val="0"/>
            <w:vAlign w:val="center"/>
          </w:tcPr>
          <w:p w14:paraId="167FA515">
            <w:pPr>
              <w:pStyle w:val="42"/>
              <w:bidi w:val="0"/>
              <w:rPr>
                <w:rFonts w:hint="default" w:ascii="Times New Roman" w:hAnsi="Times New Roman" w:cs="Times New Roman"/>
                <w:caps w:val="0"/>
                <w:color w:val="auto"/>
                <w:spacing w:val="0"/>
                <w:position w:val="0"/>
                <w:highlight w:val="none"/>
              </w:rPr>
            </w:pPr>
            <w:r>
              <w:rPr>
                <w:rFonts w:hint="default" w:ascii="Times New Roman" w:hAnsi="Times New Roman" w:cs="Times New Roman"/>
                <w:caps w:val="0"/>
                <w:color w:val="auto"/>
                <w:spacing w:val="0"/>
                <w:position w:val="0"/>
                <w:highlight w:val="none"/>
              </w:rPr>
              <w:t>51.5</w:t>
            </w:r>
          </w:p>
        </w:tc>
        <w:tc>
          <w:tcPr>
            <w:tcW w:w="741" w:type="dxa"/>
            <w:tcBorders>
              <w:top w:val="single" w:color="auto" w:sz="4" w:space="0"/>
              <w:left w:val="single" w:color="auto" w:sz="4" w:space="0"/>
              <w:bottom w:val="single" w:color="auto" w:sz="4" w:space="0"/>
              <w:right w:val="single" w:color="auto" w:sz="4" w:space="0"/>
            </w:tcBorders>
            <w:noWrap w:val="0"/>
            <w:vAlign w:val="center"/>
          </w:tcPr>
          <w:p w14:paraId="575EB40A">
            <w:pPr>
              <w:pStyle w:val="42"/>
              <w:bidi w:val="0"/>
              <w:rPr>
                <w:rFonts w:hint="default" w:ascii="Times New Roman" w:hAnsi="Times New Roman" w:cs="Times New Roman"/>
                <w:caps w:val="0"/>
                <w:color w:val="auto"/>
                <w:spacing w:val="0"/>
                <w:position w:val="0"/>
                <w:highlight w:val="none"/>
              </w:rPr>
            </w:pPr>
            <w:r>
              <w:rPr>
                <w:rFonts w:hint="default" w:ascii="Times New Roman" w:hAnsi="Times New Roman" w:cs="Times New Roman"/>
                <w:caps w:val="0"/>
                <w:color w:val="auto"/>
                <w:spacing w:val="0"/>
                <w:position w:val="0"/>
                <w:highlight w:val="none"/>
              </w:rPr>
              <w:t>49.0</w:t>
            </w:r>
          </w:p>
        </w:tc>
        <w:tc>
          <w:tcPr>
            <w:tcW w:w="759" w:type="dxa"/>
            <w:tcBorders>
              <w:top w:val="single" w:color="auto" w:sz="4" w:space="0"/>
              <w:left w:val="single" w:color="auto" w:sz="4" w:space="0"/>
              <w:bottom w:val="single" w:color="auto" w:sz="4" w:space="0"/>
              <w:right w:val="single" w:color="auto" w:sz="4" w:space="0"/>
            </w:tcBorders>
            <w:noWrap w:val="0"/>
            <w:vAlign w:val="center"/>
          </w:tcPr>
          <w:p w14:paraId="2EED1759">
            <w:pPr>
              <w:pStyle w:val="42"/>
              <w:bidi w:val="0"/>
              <w:rPr>
                <w:rFonts w:hint="default" w:ascii="Times New Roman" w:hAnsi="Times New Roman" w:cs="Times New Roman"/>
                <w:caps w:val="0"/>
                <w:color w:val="auto"/>
                <w:spacing w:val="0"/>
                <w:position w:val="0"/>
                <w:highlight w:val="none"/>
              </w:rPr>
            </w:pPr>
            <w:r>
              <w:rPr>
                <w:rFonts w:hint="default" w:ascii="Times New Roman" w:hAnsi="Times New Roman" w:cs="Times New Roman"/>
                <w:caps w:val="0"/>
                <w:color w:val="auto"/>
                <w:spacing w:val="0"/>
                <w:position w:val="0"/>
                <w:highlight w:val="none"/>
              </w:rPr>
              <w:t>45.5</w:t>
            </w:r>
          </w:p>
        </w:tc>
      </w:tr>
      <w:tr w14:paraId="1D30A0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37" w:hRule="atLeast"/>
          <w:jc w:val="center"/>
        </w:trPr>
        <w:tc>
          <w:tcPr>
            <w:tcW w:w="1809" w:type="dxa"/>
            <w:tcBorders>
              <w:top w:val="single" w:color="auto" w:sz="4" w:space="0"/>
              <w:left w:val="single" w:color="auto" w:sz="4" w:space="0"/>
              <w:bottom w:val="single" w:color="auto" w:sz="4" w:space="0"/>
              <w:right w:val="single" w:color="auto" w:sz="4" w:space="0"/>
            </w:tcBorders>
            <w:noWrap w:val="0"/>
            <w:vAlign w:val="center"/>
          </w:tcPr>
          <w:p w14:paraId="6F407DFE">
            <w:pPr>
              <w:pStyle w:val="42"/>
              <w:bidi w:val="0"/>
              <w:rPr>
                <w:rFonts w:hint="default" w:ascii="Times New Roman" w:hAnsi="Times New Roman" w:cs="Times New Roman"/>
                <w:caps w:val="0"/>
                <w:color w:val="auto"/>
                <w:spacing w:val="0"/>
                <w:position w:val="0"/>
                <w:highlight w:val="none"/>
              </w:rPr>
            </w:pPr>
            <w:r>
              <w:rPr>
                <w:rFonts w:hint="default" w:ascii="Times New Roman" w:hAnsi="Times New Roman" w:cs="Times New Roman"/>
                <w:caps w:val="0"/>
                <w:color w:val="auto"/>
                <w:spacing w:val="0"/>
                <w:position w:val="0"/>
                <w:highlight w:val="none"/>
              </w:rPr>
              <w:t>装载机</w:t>
            </w:r>
          </w:p>
        </w:tc>
        <w:tc>
          <w:tcPr>
            <w:tcW w:w="661" w:type="dxa"/>
            <w:tcBorders>
              <w:top w:val="single" w:color="auto" w:sz="4" w:space="0"/>
              <w:left w:val="single" w:color="auto" w:sz="4" w:space="0"/>
              <w:bottom w:val="single" w:color="auto" w:sz="4" w:space="0"/>
              <w:right w:val="single" w:color="auto" w:sz="4" w:space="0"/>
            </w:tcBorders>
            <w:noWrap w:val="0"/>
            <w:vAlign w:val="center"/>
          </w:tcPr>
          <w:p w14:paraId="47F77AA5">
            <w:pPr>
              <w:pStyle w:val="42"/>
              <w:bidi w:val="0"/>
              <w:rPr>
                <w:rFonts w:hint="default" w:ascii="Times New Roman" w:hAnsi="Times New Roman" w:cs="Times New Roman"/>
                <w:caps w:val="0"/>
                <w:color w:val="auto"/>
                <w:spacing w:val="0"/>
                <w:position w:val="0"/>
                <w:highlight w:val="none"/>
              </w:rPr>
            </w:pPr>
            <w:r>
              <w:rPr>
                <w:rFonts w:hint="default" w:ascii="Times New Roman" w:hAnsi="Times New Roman" w:cs="Times New Roman"/>
                <w:caps w:val="0"/>
                <w:color w:val="auto"/>
                <w:spacing w:val="0"/>
                <w:position w:val="0"/>
                <w:highlight w:val="none"/>
              </w:rPr>
              <w:t>95</w:t>
            </w:r>
          </w:p>
        </w:tc>
        <w:tc>
          <w:tcPr>
            <w:tcW w:w="593" w:type="dxa"/>
            <w:tcBorders>
              <w:top w:val="single" w:color="auto" w:sz="4" w:space="0"/>
              <w:left w:val="single" w:color="auto" w:sz="4" w:space="0"/>
              <w:bottom w:val="single" w:color="auto" w:sz="4" w:space="0"/>
              <w:right w:val="single" w:color="auto" w:sz="4" w:space="0"/>
            </w:tcBorders>
            <w:noWrap w:val="0"/>
            <w:vAlign w:val="center"/>
          </w:tcPr>
          <w:p w14:paraId="26BE24BD">
            <w:pPr>
              <w:pStyle w:val="42"/>
              <w:bidi w:val="0"/>
              <w:rPr>
                <w:rFonts w:hint="default" w:ascii="Times New Roman" w:hAnsi="Times New Roman" w:cs="Times New Roman"/>
                <w:caps w:val="0"/>
                <w:color w:val="auto"/>
                <w:spacing w:val="0"/>
                <w:position w:val="0"/>
                <w:highlight w:val="none"/>
              </w:rPr>
            </w:pPr>
            <w:r>
              <w:rPr>
                <w:rFonts w:hint="default" w:ascii="Times New Roman" w:hAnsi="Times New Roman" w:cs="Times New Roman"/>
                <w:caps w:val="0"/>
                <w:color w:val="auto"/>
                <w:spacing w:val="0"/>
                <w:position w:val="0"/>
                <w:highlight w:val="none"/>
              </w:rPr>
              <w:t>75.0</w:t>
            </w:r>
          </w:p>
        </w:tc>
        <w:tc>
          <w:tcPr>
            <w:tcW w:w="593" w:type="dxa"/>
            <w:tcBorders>
              <w:top w:val="single" w:color="auto" w:sz="4" w:space="0"/>
              <w:left w:val="single" w:color="auto" w:sz="4" w:space="0"/>
              <w:bottom w:val="single" w:color="auto" w:sz="4" w:space="0"/>
              <w:right w:val="single" w:color="auto" w:sz="4" w:space="0"/>
            </w:tcBorders>
            <w:noWrap w:val="0"/>
            <w:vAlign w:val="center"/>
          </w:tcPr>
          <w:p w14:paraId="4E908C76">
            <w:pPr>
              <w:pStyle w:val="42"/>
              <w:bidi w:val="0"/>
              <w:rPr>
                <w:rFonts w:hint="default" w:ascii="Times New Roman" w:hAnsi="Times New Roman" w:cs="Times New Roman"/>
                <w:caps w:val="0"/>
                <w:color w:val="auto"/>
                <w:spacing w:val="0"/>
                <w:position w:val="0"/>
                <w:highlight w:val="none"/>
              </w:rPr>
            </w:pPr>
            <w:r>
              <w:rPr>
                <w:rFonts w:hint="default" w:ascii="Times New Roman" w:hAnsi="Times New Roman" w:cs="Times New Roman"/>
                <w:caps w:val="0"/>
                <w:color w:val="auto"/>
                <w:spacing w:val="0"/>
                <w:position w:val="0"/>
                <w:highlight w:val="none"/>
              </w:rPr>
              <w:t>69.0</w:t>
            </w:r>
          </w:p>
        </w:tc>
        <w:tc>
          <w:tcPr>
            <w:tcW w:w="593" w:type="dxa"/>
            <w:tcBorders>
              <w:top w:val="single" w:color="auto" w:sz="4" w:space="0"/>
              <w:left w:val="single" w:color="auto" w:sz="4" w:space="0"/>
              <w:bottom w:val="single" w:color="auto" w:sz="4" w:space="0"/>
              <w:right w:val="single" w:color="auto" w:sz="4" w:space="0"/>
            </w:tcBorders>
            <w:noWrap w:val="0"/>
            <w:vAlign w:val="center"/>
          </w:tcPr>
          <w:p w14:paraId="6DDF830D">
            <w:pPr>
              <w:pStyle w:val="42"/>
              <w:bidi w:val="0"/>
              <w:rPr>
                <w:rFonts w:hint="default" w:ascii="Times New Roman" w:hAnsi="Times New Roman" w:cs="Times New Roman"/>
                <w:caps w:val="0"/>
                <w:color w:val="auto"/>
                <w:spacing w:val="0"/>
                <w:position w:val="0"/>
                <w:highlight w:val="none"/>
              </w:rPr>
            </w:pPr>
            <w:r>
              <w:rPr>
                <w:rFonts w:hint="default" w:ascii="Times New Roman" w:hAnsi="Times New Roman" w:cs="Times New Roman"/>
                <w:caps w:val="0"/>
                <w:color w:val="auto"/>
                <w:spacing w:val="0"/>
                <w:position w:val="0"/>
                <w:highlight w:val="none"/>
              </w:rPr>
              <w:t>65.5</w:t>
            </w:r>
          </w:p>
        </w:tc>
        <w:tc>
          <w:tcPr>
            <w:tcW w:w="593" w:type="dxa"/>
            <w:tcBorders>
              <w:top w:val="single" w:color="auto" w:sz="4" w:space="0"/>
              <w:left w:val="single" w:color="auto" w:sz="4" w:space="0"/>
              <w:bottom w:val="single" w:color="auto" w:sz="4" w:space="0"/>
              <w:right w:val="single" w:color="auto" w:sz="4" w:space="0"/>
            </w:tcBorders>
            <w:noWrap w:val="0"/>
            <w:vAlign w:val="center"/>
          </w:tcPr>
          <w:p w14:paraId="51DB2337">
            <w:pPr>
              <w:pStyle w:val="42"/>
              <w:bidi w:val="0"/>
              <w:rPr>
                <w:rFonts w:hint="default" w:ascii="Times New Roman" w:hAnsi="Times New Roman" w:cs="Times New Roman"/>
                <w:caps w:val="0"/>
                <w:color w:val="auto"/>
                <w:spacing w:val="0"/>
                <w:position w:val="0"/>
                <w:highlight w:val="none"/>
              </w:rPr>
            </w:pPr>
            <w:r>
              <w:rPr>
                <w:rFonts w:hint="default" w:ascii="Times New Roman" w:hAnsi="Times New Roman" w:cs="Times New Roman"/>
                <w:caps w:val="0"/>
                <w:color w:val="auto"/>
                <w:spacing w:val="0"/>
                <w:position w:val="0"/>
                <w:highlight w:val="none"/>
              </w:rPr>
              <w:t>63.0</w:t>
            </w:r>
          </w:p>
        </w:tc>
        <w:tc>
          <w:tcPr>
            <w:tcW w:w="593" w:type="dxa"/>
            <w:tcBorders>
              <w:top w:val="single" w:color="auto" w:sz="4" w:space="0"/>
              <w:left w:val="single" w:color="auto" w:sz="4" w:space="0"/>
              <w:bottom w:val="single" w:color="auto" w:sz="4" w:space="0"/>
              <w:right w:val="single" w:color="auto" w:sz="4" w:space="0"/>
            </w:tcBorders>
            <w:noWrap w:val="0"/>
            <w:vAlign w:val="center"/>
          </w:tcPr>
          <w:p w14:paraId="018A89E1">
            <w:pPr>
              <w:pStyle w:val="42"/>
              <w:bidi w:val="0"/>
              <w:rPr>
                <w:rFonts w:hint="default" w:ascii="Times New Roman" w:hAnsi="Times New Roman" w:cs="Times New Roman"/>
                <w:caps w:val="0"/>
                <w:color w:val="auto"/>
                <w:spacing w:val="0"/>
                <w:position w:val="0"/>
                <w:highlight w:val="none"/>
              </w:rPr>
            </w:pPr>
            <w:r>
              <w:rPr>
                <w:rFonts w:hint="default" w:ascii="Times New Roman" w:hAnsi="Times New Roman" w:cs="Times New Roman"/>
                <w:caps w:val="0"/>
                <w:color w:val="auto"/>
                <w:spacing w:val="0"/>
                <w:position w:val="0"/>
                <w:highlight w:val="none"/>
              </w:rPr>
              <w:t>59.4</w:t>
            </w:r>
          </w:p>
        </w:tc>
        <w:tc>
          <w:tcPr>
            <w:tcW w:w="593" w:type="dxa"/>
            <w:tcBorders>
              <w:top w:val="single" w:color="auto" w:sz="4" w:space="0"/>
              <w:left w:val="single" w:color="auto" w:sz="4" w:space="0"/>
              <w:bottom w:val="single" w:color="auto" w:sz="4" w:space="0"/>
              <w:right w:val="single" w:color="auto" w:sz="4" w:space="0"/>
            </w:tcBorders>
            <w:noWrap w:val="0"/>
            <w:vAlign w:val="center"/>
          </w:tcPr>
          <w:p w14:paraId="0C8D8D67">
            <w:pPr>
              <w:pStyle w:val="42"/>
              <w:bidi w:val="0"/>
              <w:rPr>
                <w:rFonts w:hint="default" w:ascii="Times New Roman" w:hAnsi="Times New Roman" w:cs="Times New Roman"/>
                <w:caps w:val="0"/>
                <w:color w:val="auto"/>
                <w:spacing w:val="0"/>
                <w:position w:val="0"/>
                <w:highlight w:val="none"/>
              </w:rPr>
            </w:pPr>
            <w:r>
              <w:rPr>
                <w:rFonts w:hint="default" w:ascii="Times New Roman" w:hAnsi="Times New Roman" w:cs="Times New Roman"/>
                <w:caps w:val="0"/>
                <w:color w:val="auto"/>
                <w:spacing w:val="0"/>
                <w:position w:val="0"/>
                <w:highlight w:val="none"/>
              </w:rPr>
              <w:t>56.9</w:t>
            </w:r>
          </w:p>
        </w:tc>
        <w:tc>
          <w:tcPr>
            <w:tcW w:w="741" w:type="dxa"/>
            <w:tcBorders>
              <w:top w:val="single" w:color="auto" w:sz="4" w:space="0"/>
              <w:left w:val="single" w:color="auto" w:sz="4" w:space="0"/>
              <w:bottom w:val="single" w:color="auto" w:sz="4" w:space="0"/>
              <w:right w:val="single" w:color="auto" w:sz="4" w:space="0"/>
            </w:tcBorders>
            <w:noWrap w:val="0"/>
            <w:vAlign w:val="center"/>
          </w:tcPr>
          <w:p w14:paraId="5FCACDC8">
            <w:pPr>
              <w:pStyle w:val="42"/>
              <w:bidi w:val="0"/>
              <w:rPr>
                <w:rFonts w:hint="default" w:ascii="Times New Roman" w:hAnsi="Times New Roman" w:cs="Times New Roman"/>
                <w:caps w:val="0"/>
                <w:color w:val="auto"/>
                <w:spacing w:val="0"/>
                <w:position w:val="0"/>
                <w:highlight w:val="none"/>
              </w:rPr>
            </w:pPr>
            <w:r>
              <w:rPr>
                <w:rFonts w:hint="default" w:ascii="Times New Roman" w:hAnsi="Times New Roman" w:cs="Times New Roman"/>
                <w:caps w:val="0"/>
                <w:color w:val="auto"/>
                <w:spacing w:val="0"/>
                <w:position w:val="0"/>
                <w:highlight w:val="none"/>
              </w:rPr>
              <w:t>55.0</w:t>
            </w:r>
          </w:p>
        </w:tc>
        <w:tc>
          <w:tcPr>
            <w:tcW w:w="741" w:type="dxa"/>
            <w:tcBorders>
              <w:top w:val="single" w:color="auto" w:sz="4" w:space="0"/>
              <w:left w:val="single" w:color="auto" w:sz="4" w:space="0"/>
              <w:bottom w:val="single" w:color="auto" w:sz="4" w:space="0"/>
              <w:right w:val="single" w:color="auto" w:sz="4" w:space="0"/>
            </w:tcBorders>
            <w:noWrap w:val="0"/>
            <w:vAlign w:val="center"/>
          </w:tcPr>
          <w:p w14:paraId="165DC365">
            <w:pPr>
              <w:pStyle w:val="42"/>
              <w:bidi w:val="0"/>
              <w:rPr>
                <w:rFonts w:hint="default" w:ascii="Times New Roman" w:hAnsi="Times New Roman" w:cs="Times New Roman"/>
                <w:caps w:val="0"/>
                <w:color w:val="auto"/>
                <w:spacing w:val="0"/>
                <w:position w:val="0"/>
                <w:highlight w:val="none"/>
              </w:rPr>
            </w:pPr>
            <w:r>
              <w:rPr>
                <w:rFonts w:hint="default" w:ascii="Times New Roman" w:hAnsi="Times New Roman" w:cs="Times New Roman"/>
                <w:caps w:val="0"/>
                <w:color w:val="auto"/>
                <w:spacing w:val="0"/>
                <w:position w:val="0"/>
                <w:highlight w:val="none"/>
              </w:rPr>
              <w:t>51.5</w:t>
            </w:r>
          </w:p>
        </w:tc>
        <w:tc>
          <w:tcPr>
            <w:tcW w:w="741" w:type="dxa"/>
            <w:tcBorders>
              <w:top w:val="single" w:color="auto" w:sz="4" w:space="0"/>
              <w:left w:val="single" w:color="auto" w:sz="4" w:space="0"/>
              <w:bottom w:val="single" w:color="auto" w:sz="4" w:space="0"/>
              <w:right w:val="single" w:color="auto" w:sz="4" w:space="0"/>
            </w:tcBorders>
            <w:noWrap w:val="0"/>
            <w:vAlign w:val="center"/>
          </w:tcPr>
          <w:p w14:paraId="6FD194A1">
            <w:pPr>
              <w:pStyle w:val="42"/>
              <w:bidi w:val="0"/>
              <w:rPr>
                <w:rFonts w:hint="default" w:ascii="Times New Roman" w:hAnsi="Times New Roman" w:cs="Times New Roman"/>
                <w:caps w:val="0"/>
                <w:color w:val="auto"/>
                <w:spacing w:val="0"/>
                <w:position w:val="0"/>
                <w:highlight w:val="none"/>
              </w:rPr>
            </w:pPr>
            <w:r>
              <w:rPr>
                <w:rFonts w:hint="default" w:ascii="Times New Roman" w:hAnsi="Times New Roman" w:cs="Times New Roman"/>
                <w:caps w:val="0"/>
                <w:color w:val="auto"/>
                <w:spacing w:val="0"/>
                <w:position w:val="0"/>
                <w:highlight w:val="none"/>
              </w:rPr>
              <w:t>49.0</w:t>
            </w:r>
          </w:p>
        </w:tc>
        <w:tc>
          <w:tcPr>
            <w:tcW w:w="759" w:type="dxa"/>
            <w:tcBorders>
              <w:top w:val="single" w:color="auto" w:sz="4" w:space="0"/>
              <w:left w:val="single" w:color="auto" w:sz="4" w:space="0"/>
              <w:bottom w:val="single" w:color="auto" w:sz="4" w:space="0"/>
              <w:right w:val="single" w:color="auto" w:sz="4" w:space="0"/>
            </w:tcBorders>
            <w:noWrap w:val="0"/>
            <w:vAlign w:val="center"/>
          </w:tcPr>
          <w:p w14:paraId="0DB13966">
            <w:pPr>
              <w:pStyle w:val="42"/>
              <w:bidi w:val="0"/>
              <w:rPr>
                <w:rFonts w:hint="default" w:ascii="Times New Roman" w:hAnsi="Times New Roman" w:cs="Times New Roman"/>
                <w:caps w:val="0"/>
                <w:color w:val="auto"/>
                <w:spacing w:val="0"/>
                <w:position w:val="0"/>
                <w:highlight w:val="none"/>
              </w:rPr>
            </w:pPr>
            <w:r>
              <w:rPr>
                <w:rFonts w:hint="default" w:ascii="Times New Roman" w:hAnsi="Times New Roman" w:cs="Times New Roman"/>
                <w:caps w:val="0"/>
                <w:color w:val="auto"/>
                <w:spacing w:val="0"/>
                <w:position w:val="0"/>
                <w:highlight w:val="none"/>
              </w:rPr>
              <w:t>45.5</w:t>
            </w:r>
          </w:p>
        </w:tc>
      </w:tr>
      <w:tr w14:paraId="7C6A0F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37" w:hRule="atLeast"/>
          <w:jc w:val="center"/>
        </w:trPr>
        <w:tc>
          <w:tcPr>
            <w:tcW w:w="1809" w:type="dxa"/>
            <w:tcBorders>
              <w:top w:val="single" w:color="auto" w:sz="4" w:space="0"/>
              <w:left w:val="single" w:color="auto" w:sz="4" w:space="0"/>
              <w:bottom w:val="single" w:color="auto" w:sz="4" w:space="0"/>
              <w:right w:val="single" w:color="auto" w:sz="4" w:space="0"/>
            </w:tcBorders>
            <w:noWrap w:val="0"/>
            <w:vAlign w:val="center"/>
          </w:tcPr>
          <w:p w14:paraId="2CC9C524">
            <w:pPr>
              <w:pStyle w:val="42"/>
              <w:bidi w:val="0"/>
              <w:rPr>
                <w:rFonts w:hint="default" w:ascii="Times New Roman" w:hAnsi="Times New Roman" w:cs="Times New Roman"/>
                <w:caps w:val="0"/>
                <w:color w:val="auto"/>
                <w:spacing w:val="0"/>
                <w:position w:val="0"/>
                <w:highlight w:val="none"/>
              </w:rPr>
            </w:pPr>
            <w:r>
              <w:rPr>
                <w:rFonts w:hint="default" w:ascii="Times New Roman" w:hAnsi="Times New Roman" w:cs="Times New Roman"/>
                <w:caps w:val="0"/>
                <w:color w:val="auto"/>
                <w:spacing w:val="0"/>
                <w:position w:val="0"/>
                <w:highlight w:val="none"/>
              </w:rPr>
              <w:t>旋转式打桩机</w:t>
            </w:r>
          </w:p>
        </w:tc>
        <w:tc>
          <w:tcPr>
            <w:tcW w:w="661" w:type="dxa"/>
            <w:tcBorders>
              <w:top w:val="single" w:color="auto" w:sz="4" w:space="0"/>
              <w:left w:val="single" w:color="auto" w:sz="4" w:space="0"/>
              <w:bottom w:val="single" w:color="auto" w:sz="4" w:space="0"/>
              <w:right w:val="single" w:color="auto" w:sz="4" w:space="0"/>
            </w:tcBorders>
            <w:noWrap w:val="0"/>
            <w:vAlign w:val="center"/>
          </w:tcPr>
          <w:p w14:paraId="4A54A91E">
            <w:pPr>
              <w:pStyle w:val="42"/>
              <w:bidi w:val="0"/>
              <w:rPr>
                <w:rFonts w:hint="default" w:ascii="Times New Roman" w:hAnsi="Times New Roman" w:cs="Times New Roman"/>
                <w:caps w:val="0"/>
                <w:color w:val="auto"/>
                <w:spacing w:val="0"/>
                <w:position w:val="0"/>
                <w:highlight w:val="none"/>
              </w:rPr>
            </w:pPr>
            <w:r>
              <w:rPr>
                <w:rFonts w:hint="default" w:ascii="Times New Roman" w:hAnsi="Times New Roman" w:cs="Times New Roman"/>
                <w:caps w:val="0"/>
                <w:color w:val="auto"/>
                <w:spacing w:val="0"/>
                <w:position w:val="0"/>
                <w:highlight w:val="none"/>
              </w:rPr>
              <w:t>80</w:t>
            </w:r>
          </w:p>
        </w:tc>
        <w:tc>
          <w:tcPr>
            <w:tcW w:w="593" w:type="dxa"/>
            <w:tcBorders>
              <w:top w:val="single" w:color="auto" w:sz="4" w:space="0"/>
              <w:left w:val="single" w:color="auto" w:sz="4" w:space="0"/>
              <w:bottom w:val="single" w:color="auto" w:sz="4" w:space="0"/>
              <w:right w:val="single" w:color="auto" w:sz="4" w:space="0"/>
            </w:tcBorders>
            <w:noWrap w:val="0"/>
            <w:vAlign w:val="center"/>
          </w:tcPr>
          <w:p w14:paraId="13BBAAC5">
            <w:pPr>
              <w:pStyle w:val="42"/>
              <w:bidi w:val="0"/>
              <w:rPr>
                <w:rFonts w:hint="default" w:ascii="Times New Roman" w:hAnsi="Times New Roman" w:cs="Times New Roman"/>
                <w:caps w:val="0"/>
                <w:color w:val="auto"/>
                <w:spacing w:val="0"/>
                <w:position w:val="0"/>
                <w:highlight w:val="none"/>
              </w:rPr>
            </w:pPr>
            <w:r>
              <w:rPr>
                <w:rFonts w:hint="default" w:ascii="Times New Roman" w:hAnsi="Times New Roman" w:cs="Times New Roman"/>
                <w:caps w:val="0"/>
                <w:color w:val="auto"/>
                <w:spacing w:val="0"/>
                <w:position w:val="0"/>
                <w:highlight w:val="none"/>
              </w:rPr>
              <w:t>67.5</w:t>
            </w:r>
          </w:p>
        </w:tc>
        <w:tc>
          <w:tcPr>
            <w:tcW w:w="593" w:type="dxa"/>
            <w:tcBorders>
              <w:top w:val="single" w:color="auto" w:sz="4" w:space="0"/>
              <w:left w:val="single" w:color="auto" w:sz="4" w:space="0"/>
              <w:bottom w:val="single" w:color="auto" w:sz="4" w:space="0"/>
              <w:right w:val="single" w:color="auto" w:sz="4" w:space="0"/>
            </w:tcBorders>
            <w:noWrap w:val="0"/>
            <w:vAlign w:val="center"/>
          </w:tcPr>
          <w:p w14:paraId="3FAFA6DB">
            <w:pPr>
              <w:pStyle w:val="42"/>
              <w:bidi w:val="0"/>
              <w:rPr>
                <w:rFonts w:hint="default" w:ascii="Times New Roman" w:hAnsi="Times New Roman" w:cs="Times New Roman"/>
                <w:caps w:val="0"/>
                <w:color w:val="auto"/>
                <w:spacing w:val="0"/>
                <w:position w:val="0"/>
                <w:highlight w:val="none"/>
              </w:rPr>
            </w:pPr>
            <w:r>
              <w:rPr>
                <w:rFonts w:hint="default" w:ascii="Times New Roman" w:hAnsi="Times New Roman" w:cs="Times New Roman"/>
                <w:caps w:val="0"/>
                <w:color w:val="auto"/>
                <w:spacing w:val="0"/>
                <w:position w:val="0"/>
                <w:highlight w:val="none"/>
              </w:rPr>
              <w:t>59.0</w:t>
            </w:r>
          </w:p>
        </w:tc>
        <w:tc>
          <w:tcPr>
            <w:tcW w:w="593" w:type="dxa"/>
            <w:tcBorders>
              <w:top w:val="single" w:color="auto" w:sz="4" w:space="0"/>
              <w:left w:val="single" w:color="auto" w:sz="4" w:space="0"/>
              <w:bottom w:val="single" w:color="auto" w:sz="4" w:space="0"/>
              <w:right w:val="single" w:color="auto" w:sz="4" w:space="0"/>
            </w:tcBorders>
            <w:noWrap w:val="0"/>
            <w:vAlign w:val="center"/>
          </w:tcPr>
          <w:p w14:paraId="74FA3D7F">
            <w:pPr>
              <w:pStyle w:val="42"/>
              <w:bidi w:val="0"/>
              <w:rPr>
                <w:rFonts w:hint="default" w:ascii="Times New Roman" w:hAnsi="Times New Roman" w:cs="Times New Roman"/>
                <w:caps w:val="0"/>
                <w:color w:val="auto"/>
                <w:spacing w:val="0"/>
                <w:position w:val="0"/>
                <w:highlight w:val="none"/>
              </w:rPr>
            </w:pPr>
            <w:r>
              <w:rPr>
                <w:rFonts w:hint="default" w:ascii="Times New Roman" w:hAnsi="Times New Roman" w:cs="Times New Roman"/>
                <w:caps w:val="0"/>
                <w:color w:val="auto"/>
                <w:spacing w:val="0"/>
                <w:position w:val="0"/>
                <w:highlight w:val="none"/>
              </w:rPr>
              <w:t>55.5</w:t>
            </w:r>
          </w:p>
        </w:tc>
        <w:tc>
          <w:tcPr>
            <w:tcW w:w="593" w:type="dxa"/>
            <w:tcBorders>
              <w:top w:val="single" w:color="auto" w:sz="4" w:space="0"/>
              <w:left w:val="single" w:color="auto" w:sz="4" w:space="0"/>
              <w:bottom w:val="single" w:color="auto" w:sz="4" w:space="0"/>
              <w:right w:val="single" w:color="auto" w:sz="4" w:space="0"/>
            </w:tcBorders>
            <w:noWrap w:val="0"/>
            <w:vAlign w:val="center"/>
          </w:tcPr>
          <w:p w14:paraId="0253C9CB">
            <w:pPr>
              <w:pStyle w:val="42"/>
              <w:bidi w:val="0"/>
              <w:rPr>
                <w:rFonts w:hint="default" w:ascii="Times New Roman" w:hAnsi="Times New Roman" w:cs="Times New Roman"/>
                <w:caps w:val="0"/>
                <w:color w:val="auto"/>
                <w:spacing w:val="0"/>
                <w:position w:val="0"/>
                <w:highlight w:val="none"/>
              </w:rPr>
            </w:pPr>
            <w:r>
              <w:rPr>
                <w:rFonts w:hint="default" w:ascii="Times New Roman" w:hAnsi="Times New Roman" w:cs="Times New Roman"/>
                <w:caps w:val="0"/>
                <w:color w:val="auto"/>
                <w:spacing w:val="0"/>
                <w:position w:val="0"/>
                <w:highlight w:val="none"/>
              </w:rPr>
              <w:t>53.0</w:t>
            </w:r>
          </w:p>
        </w:tc>
        <w:tc>
          <w:tcPr>
            <w:tcW w:w="593" w:type="dxa"/>
            <w:tcBorders>
              <w:top w:val="single" w:color="auto" w:sz="4" w:space="0"/>
              <w:left w:val="single" w:color="auto" w:sz="4" w:space="0"/>
              <w:bottom w:val="single" w:color="auto" w:sz="4" w:space="0"/>
              <w:right w:val="single" w:color="auto" w:sz="4" w:space="0"/>
            </w:tcBorders>
            <w:noWrap w:val="0"/>
            <w:vAlign w:val="center"/>
          </w:tcPr>
          <w:p w14:paraId="35C7B90F">
            <w:pPr>
              <w:pStyle w:val="42"/>
              <w:bidi w:val="0"/>
              <w:rPr>
                <w:rFonts w:hint="default" w:ascii="Times New Roman" w:hAnsi="Times New Roman" w:cs="Times New Roman"/>
                <w:caps w:val="0"/>
                <w:color w:val="auto"/>
                <w:spacing w:val="0"/>
                <w:position w:val="0"/>
                <w:highlight w:val="none"/>
              </w:rPr>
            </w:pPr>
            <w:r>
              <w:rPr>
                <w:rFonts w:hint="default" w:ascii="Times New Roman" w:hAnsi="Times New Roman" w:cs="Times New Roman"/>
                <w:caps w:val="0"/>
                <w:color w:val="auto"/>
                <w:spacing w:val="0"/>
                <w:position w:val="0"/>
                <w:highlight w:val="none"/>
              </w:rPr>
              <w:t>49.4</w:t>
            </w:r>
          </w:p>
        </w:tc>
        <w:tc>
          <w:tcPr>
            <w:tcW w:w="593" w:type="dxa"/>
            <w:tcBorders>
              <w:top w:val="single" w:color="auto" w:sz="4" w:space="0"/>
              <w:left w:val="single" w:color="auto" w:sz="4" w:space="0"/>
              <w:bottom w:val="single" w:color="auto" w:sz="4" w:space="0"/>
              <w:right w:val="single" w:color="auto" w:sz="4" w:space="0"/>
            </w:tcBorders>
            <w:noWrap w:val="0"/>
            <w:vAlign w:val="center"/>
          </w:tcPr>
          <w:p w14:paraId="730E7F1F">
            <w:pPr>
              <w:pStyle w:val="42"/>
              <w:bidi w:val="0"/>
              <w:rPr>
                <w:rFonts w:hint="default" w:ascii="Times New Roman" w:hAnsi="Times New Roman" w:cs="Times New Roman"/>
                <w:caps w:val="0"/>
                <w:color w:val="auto"/>
                <w:spacing w:val="0"/>
                <w:position w:val="0"/>
                <w:highlight w:val="none"/>
              </w:rPr>
            </w:pPr>
            <w:r>
              <w:rPr>
                <w:rFonts w:hint="default" w:ascii="Times New Roman" w:hAnsi="Times New Roman" w:cs="Times New Roman"/>
                <w:caps w:val="0"/>
                <w:color w:val="auto"/>
                <w:spacing w:val="0"/>
                <w:position w:val="0"/>
                <w:highlight w:val="none"/>
              </w:rPr>
              <w:t>46.9</w:t>
            </w:r>
          </w:p>
        </w:tc>
        <w:tc>
          <w:tcPr>
            <w:tcW w:w="741" w:type="dxa"/>
            <w:tcBorders>
              <w:top w:val="single" w:color="auto" w:sz="4" w:space="0"/>
              <w:left w:val="single" w:color="auto" w:sz="4" w:space="0"/>
              <w:bottom w:val="single" w:color="auto" w:sz="4" w:space="0"/>
              <w:right w:val="single" w:color="auto" w:sz="4" w:space="0"/>
            </w:tcBorders>
            <w:noWrap w:val="0"/>
            <w:vAlign w:val="center"/>
          </w:tcPr>
          <w:p w14:paraId="25B86C9A">
            <w:pPr>
              <w:pStyle w:val="42"/>
              <w:bidi w:val="0"/>
              <w:rPr>
                <w:rFonts w:hint="default" w:ascii="Times New Roman" w:hAnsi="Times New Roman" w:cs="Times New Roman"/>
                <w:caps w:val="0"/>
                <w:color w:val="auto"/>
                <w:spacing w:val="0"/>
                <w:position w:val="0"/>
                <w:highlight w:val="none"/>
              </w:rPr>
            </w:pPr>
            <w:r>
              <w:rPr>
                <w:rFonts w:hint="default" w:ascii="Times New Roman" w:hAnsi="Times New Roman" w:cs="Times New Roman"/>
                <w:caps w:val="0"/>
                <w:color w:val="auto"/>
                <w:spacing w:val="0"/>
                <w:position w:val="0"/>
                <w:highlight w:val="none"/>
              </w:rPr>
              <w:t>45.0</w:t>
            </w:r>
          </w:p>
        </w:tc>
        <w:tc>
          <w:tcPr>
            <w:tcW w:w="741" w:type="dxa"/>
            <w:tcBorders>
              <w:top w:val="single" w:color="auto" w:sz="4" w:space="0"/>
              <w:left w:val="single" w:color="auto" w:sz="4" w:space="0"/>
              <w:bottom w:val="single" w:color="auto" w:sz="4" w:space="0"/>
              <w:right w:val="single" w:color="auto" w:sz="4" w:space="0"/>
            </w:tcBorders>
            <w:noWrap w:val="0"/>
            <w:vAlign w:val="center"/>
          </w:tcPr>
          <w:p w14:paraId="5E88599D">
            <w:pPr>
              <w:pStyle w:val="42"/>
              <w:bidi w:val="0"/>
              <w:rPr>
                <w:rFonts w:hint="default" w:ascii="Times New Roman" w:hAnsi="Times New Roman" w:cs="Times New Roman"/>
                <w:caps w:val="0"/>
                <w:color w:val="auto"/>
                <w:spacing w:val="0"/>
                <w:position w:val="0"/>
                <w:highlight w:val="none"/>
              </w:rPr>
            </w:pPr>
            <w:r>
              <w:rPr>
                <w:rFonts w:hint="default" w:ascii="Times New Roman" w:hAnsi="Times New Roman" w:cs="Times New Roman"/>
                <w:caps w:val="0"/>
                <w:color w:val="auto"/>
                <w:spacing w:val="0"/>
                <w:position w:val="0"/>
                <w:highlight w:val="none"/>
              </w:rPr>
              <w:t>41.5</w:t>
            </w:r>
          </w:p>
        </w:tc>
        <w:tc>
          <w:tcPr>
            <w:tcW w:w="741" w:type="dxa"/>
            <w:tcBorders>
              <w:top w:val="single" w:color="auto" w:sz="4" w:space="0"/>
              <w:left w:val="single" w:color="auto" w:sz="4" w:space="0"/>
              <w:bottom w:val="single" w:color="auto" w:sz="4" w:space="0"/>
              <w:right w:val="single" w:color="auto" w:sz="4" w:space="0"/>
            </w:tcBorders>
            <w:noWrap w:val="0"/>
            <w:vAlign w:val="center"/>
          </w:tcPr>
          <w:p w14:paraId="0B2B563D">
            <w:pPr>
              <w:pStyle w:val="42"/>
              <w:bidi w:val="0"/>
              <w:rPr>
                <w:rFonts w:hint="default" w:ascii="Times New Roman" w:hAnsi="Times New Roman" w:cs="Times New Roman"/>
                <w:caps w:val="0"/>
                <w:color w:val="auto"/>
                <w:spacing w:val="0"/>
                <w:position w:val="0"/>
                <w:highlight w:val="none"/>
              </w:rPr>
            </w:pPr>
            <w:r>
              <w:rPr>
                <w:rFonts w:hint="default" w:ascii="Times New Roman" w:hAnsi="Times New Roman" w:cs="Times New Roman"/>
                <w:caps w:val="0"/>
                <w:color w:val="auto"/>
                <w:spacing w:val="0"/>
                <w:position w:val="0"/>
                <w:highlight w:val="none"/>
              </w:rPr>
              <w:t>39.0</w:t>
            </w:r>
          </w:p>
        </w:tc>
        <w:tc>
          <w:tcPr>
            <w:tcW w:w="759" w:type="dxa"/>
            <w:tcBorders>
              <w:top w:val="single" w:color="auto" w:sz="4" w:space="0"/>
              <w:left w:val="single" w:color="auto" w:sz="4" w:space="0"/>
              <w:bottom w:val="single" w:color="auto" w:sz="4" w:space="0"/>
              <w:right w:val="single" w:color="auto" w:sz="4" w:space="0"/>
            </w:tcBorders>
            <w:noWrap w:val="0"/>
            <w:vAlign w:val="center"/>
          </w:tcPr>
          <w:p w14:paraId="73E7820C">
            <w:pPr>
              <w:pStyle w:val="42"/>
              <w:bidi w:val="0"/>
              <w:rPr>
                <w:rFonts w:hint="default" w:ascii="Times New Roman" w:hAnsi="Times New Roman" w:cs="Times New Roman"/>
                <w:caps w:val="0"/>
                <w:color w:val="auto"/>
                <w:spacing w:val="0"/>
                <w:position w:val="0"/>
                <w:highlight w:val="none"/>
              </w:rPr>
            </w:pPr>
            <w:r>
              <w:rPr>
                <w:rFonts w:hint="default" w:ascii="Times New Roman" w:hAnsi="Times New Roman" w:cs="Times New Roman"/>
                <w:caps w:val="0"/>
                <w:color w:val="auto"/>
                <w:spacing w:val="0"/>
                <w:position w:val="0"/>
                <w:highlight w:val="none"/>
              </w:rPr>
              <w:t>35.5</w:t>
            </w:r>
          </w:p>
        </w:tc>
      </w:tr>
      <w:tr w14:paraId="0F9A99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37" w:hRule="atLeast"/>
          <w:jc w:val="center"/>
        </w:trPr>
        <w:tc>
          <w:tcPr>
            <w:tcW w:w="1809" w:type="dxa"/>
            <w:tcBorders>
              <w:top w:val="single" w:color="auto" w:sz="4" w:space="0"/>
              <w:left w:val="single" w:color="auto" w:sz="4" w:space="0"/>
              <w:bottom w:val="single" w:color="auto" w:sz="4" w:space="0"/>
              <w:right w:val="single" w:color="auto" w:sz="4" w:space="0"/>
            </w:tcBorders>
            <w:noWrap w:val="0"/>
            <w:vAlign w:val="center"/>
          </w:tcPr>
          <w:p w14:paraId="33B4FB4B">
            <w:pPr>
              <w:pStyle w:val="42"/>
              <w:bidi w:val="0"/>
              <w:rPr>
                <w:rFonts w:hint="default" w:ascii="Times New Roman" w:hAnsi="Times New Roman" w:cs="Times New Roman"/>
                <w:caps w:val="0"/>
                <w:color w:val="auto"/>
                <w:spacing w:val="0"/>
                <w:position w:val="0"/>
                <w:highlight w:val="none"/>
              </w:rPr>
            </w:pPr>
            <w:r>
              <w:rPr>
                <w:rFonts w:hint="default" w:ascii="Times New Roman" w:hAnsi="Times New Roman" w:cs="Times New Roman"/>
                <w:caps w:val="0"/>
                <w:color w:val="auto"/>
                <w:spacing w:val="0"/>
                <w:position w:val="0"/>
                <w:highlight w:val="none"/>
              </w:rPr>
              <w:t>塔吊</w:t>
            </w:r>
          </w:p>
        </w:tc>
        <w:tc>
          <w:tcPr>
            <w:tcW w:w="661" w:type="dxa"/>
            <w:tcBorders>
              <w:top w:val="single" w:color="auto" w:sz="4" w:space="0"/>
              <w:left w:val="single" w:color="auto" w:sz="4" w:space="0"/>
              <w:bottom w:val="single" w:color="auto" w:sz="4" w:space="0"/>
              <w:right w:val="single" w:color="auto" w:sz="4" w:space="0"/>
            </w:tcBorders>
            <w:noWrap w:val="0"/>
            <w:vAlign w:val="center"/>
          </w:tcPr>
          <w:p w14:paraId="51D177A7">
            <w:pPr>
              <w:pStyle w:val="42"/>
              <w:bidi w:val="0"/>
              <w:rPr>
                <w:rFonts w:hint="default" w:ascii="Times New Roman" w:hAnsi="Times New Roman" w:cs="Times New Roman"/>
                <w:caps w:val="0"/>
                <w:color w:val="auto"/>
                <w:spacing w:val="0"/>
                <w:position w:val="0"/>
                <w:highlight w:val="none"/>
              </w:rPr>
            </w:pPr>
            <w:r>
              <w:rPr>
                <w:rFonts w:hint="default" w:ascii="Times New Roman" w:hAnsi="Times New Roman" w:cs="Times New Roman"/>
                <w:caps w:val="0"/>
                <w:color w:val="auto"/>
                <w:spacing w:val="0"/>
                <w:position w:val="0"/>
                <w:highlight w:val="none"/>
              </w:rPr>
              <w:t>85</w:t>
            </w:r>
          </w:p>
        </w:tc>
        <w:tc>
          <w:tcPr>
            <w:tcW w:w="593" w:type="dxa"/>
            <w:tcBorders>
              <w:top w:val="single" w:color="auto" w:sz="4" w:space="0"/>
              <w:left w:val="single" w:color="auto" w:sz="4" w:space="0"/>
              <w:bottom w:val="single" w:color="auto" w:sz="4" w:space="0"/>
              <w:right w:val="single" w:color="auto" w:sz="4" w:space="0"/>
            </w:tcBorders>
            <w:noWrap w:val="0"/>
            <w:vAlign w:val="center"/>
          </w:tcPr>
          <w:p w14:paraId="358A8657">
            <w:pPr>
              <w:pStyle w:val="42"/>
              <w:bidi w:val="0"/>
              <w:rPr>
                <w:rFonts w:hint="default" w:ascii="Times New Roman" w:hAnsi="Times New Roman" w:cs="Times New Roman"/>
                <w:caps w:val="0"/>
                <w:color w:val="auto"/>
                <w:spacing w:val="0"/>
                <w:position w:val="0"/>
                <w:highlight w:val="none"/>
              </w:rPr>
            </w:pPr>
            <w:r>
              <w:rPr>
                <w:rFonts w:hint="default" w:ascii="Times New Roman" w:hAnsi="Times New Roman" w:cs="Times New Roman"/>
                <w:caps w:val="0"/>
                <w:color w:val="auto"/>
                <w:spacing w:val="0"/>
                <w:position w:val="0"/>
                <w:highlight w:val="none"/>
              </w:rPr>
              <w:t>67.5</w:t>
            </w:r>
          </w:p>
        </w:tc>
        <w:tc>
          <w:tcPr>
            <w:tcW w:w="593" w:type="dxa"/>
            <w:tcBorders>
              <w:top w:val="single" w:color="auto" w:sz="4" w:space="0"/>
              <w:left w:val="single" w:color="auto" w:sz="4" w:space="0"/>
              <w:bottom w:val="single" w:color="auto" w:sz="4" w:space="0"/>
              <w:right w:val="single" w:color="auto" w:sz="4" w:space="0"/>
            </w:tcBorders>
            <w:noWrap w:val="0"/>
            <w:vAlign w:val="center"/>
          </w:tcPr>
          <w:p w14:paraId="7580F1B6">
            <w:pPr>
              <w:pStyle w:val="42"/>
              <w:bidi w:val="0"/>
              <w:rPr>
                <w:rFonts w:hint="default" w:ascii="Times New Roman" w:hAnsi="Times New Roman" w:cs="Times New Roman"/>
                <w:caps w:val="0"/>
                <w:color w:val="auto"/>
                <w:spacing w:val="0"/>
                <w:position w:val="0"/>
                <w:highlight w:val="none"/>
              </w:rPr>
            </w:pPr>
            <w:r>
              <w:rPr>
                <w:rFonts w:hint="default" w:ascii="Times New Roman" w:hAnsi="Times New Roman" w:cs="Times New Roman"/>
                <w:caps w:val="0"/>
                <w:color w:val="auto"/>
                <w:spacing w:val="0"/>
                <w:position w:val="0"/>
                <w:highlight w:val="none"/>
              </w:rPr>
              <w:t>59.0</w:t>
            </w:r>
          </w:p>
        </w:tc>
        <w:tc>
          <w:tcPr>
            <w:tcW w:w="593" w:type="dxa"/>
            <w:tcBorders>
              <w:top w:val="single" w:color="auto" w:sz="4" w:space="0"/>
              <w:left w:val="single" w:color="auto" w:sz="4" w:space="0"/>
              <w:bottom w:val="single" w:color="auto" w:sz="4" w:space="0"/>
              <w:right w:val="single" w:color="auto" w:sz="4" w:space="0"/>
            </w:tcBorders>
            <w:noWrap w:val="0"/>
            <w:vAlign w:val="center"/>
          </w:tcPr>
          <w:p w14:paraId="6A3DEC68">
            <w:pPr>
              <w:pStyle w:val="42"/>
              <w:bidi w:val="0"/>
              <w:rPr>
                <w:rFonts w:hint="default" w:ascii="Times New Roman" w:hAnsi="Times New Roman" w:cs="Times New Roman"/>
                <w:caps w:val="0"/>
                <w:color w:val="auto"/>
                <w:spacing w:val="0"/>
                <w:position w:val="0"/>
                <w:highlight w:val="none"/>
              </w:rPr>
            </w:pPr>
            <w:r>
              <w:rPr>
                <w:rFonts w:hint="default" w:ascii="Times New Roman" w:hAnsi="Times New Roman" w:cs="Times New Roman"/>
                <w:caps w:val="0"/>
                <w:color w:val="auto"/>
                <w:spacing w:val="0"/>
                <w:position w:val="0"/>
                <w:highlight w:val="none"/>
              </w:rPr>
              <w:t>55.5</w:t>
            </w:r>
          </w:p>
        </w:tc>
        <w:tc>
          <w:tcPr>
            <w:tcW w:w="593" w:type="dxa"/>
            <w:tcBorders>
              <w:top w:val="single" w:color="auto" w:sz="4" w:space="0"/>
              <w:left w:val="single" w:color="auto" w:sz="4" w:space="0"/>
              <w:bottom w:val="single" w:color="auto" w:sz="4" w:space="0"/>
              <w:right w:val="single" w:color="auto" w:sz="4" w:space="0"/>
            </w:tcBorders>
            <w:noWrap w:val="0"/>
            <w:vAlign w:val="center"/>
          </w:tcPr>
          <w:p w14:paraId="6BE0B86A">
            <w:pPr>
              <w:pStyle w:val="42"/>
              <w:bidi w:val="0"/>
              <w:rPr>
                <w:rFonts w:hint="default" w:ascii="Times New Roman" w:hAnsi="Times New Roman" w:cs="Times New Roman"/>
                <w:caps w:val="0"/>
                <w:color w:val="auto"/>
                <w:spacing w:val="0"/>
                <w:position w:val="0"/>
                <w:highlight w:val="none"/>
              </w:rPr>
            </w:pPr>
            <w:r>
              <w:rPr>
                <w:rFonts w:hint="default" w:ascii="Times New Roman" w:hAnsi="Times New Roman" w:cs="Times New Roman"/>
                <w:caps w:val="0"/>
                <w:color w:val="auto"/>
                <w:spacing w:val="0"/>
                <w:position w:val="0"/>
                <w:highlight w:val="none"/>
              </w:rPr>
              <w:t>53.0</w:t>
            </w:r>
          </w:p>
        </w:tc>
        <w:tc>
          <w:tcPr>
            <w:tcW w:w="593" w:type="dxa"/>
            <w:tcBorders>
              <w:top w:val="single" w:color="auto" w:sz="4" w:space="0"/>
              <w:left w:val="single" w:color="auto" w:sz="4" w:space="0"/>
              <w:bottom w:val="single" w:color="auto" w:sz="4" w:space="0"/>
              <w:right w:val="single" w:color="auto" w:sz="4" w:space="0"/>
            </w:tcBorders>
            <w:noWrap w:val="0"/>
            <w:vAlign w:val="center"/>
          </w:tcPr>
          <w:p w14:paraId="5C524409">
            <w:pPr>
              <w:pStyle w:val="42"/>
              <w:bidi w:val="0"/>
              <w:rPr>
                <w:rFonts w:hint="default" w:ascii="Times New Roman" w:hAnsi="Times New Roman" w:cs="Times New Roman"/>
                <w:caps w:val="0"/>
                <w:color w:val="auto"/>
                <w:spacing w:val="0"/>
                <w:position w:val="0"/>
                <w:highlight w:val="none"/>
              </w:rPr>
            </w:pPr>
            <w:r>
              <w:rPr>
                <w:rFonts w:hint="default" w:ascii="Times New Roman" w:hAnsi="Times New Roman" w:cs="Times New Roman"/>
                <w:caps w:val="0"/>
                <w:color w:val="auto"/>
                <w:spacing w:val="0"/>
                <w:position w:val="0"/>
                <w:highlight w:val="none"/>
              </w:rPr>
              <w:t>49.4</w:t>
            </w:r>
          </w:p>
        </w:tc>
        <w:tc>
          <w:tcPr>
            <w:tcW w:w="593" w:type="dxa"/>
            <w:tcBorders>
              <w:top w:val="single" w:color="auto" w:sz="4" w:space="0"/>
              <w:left w:val="single" w:color="auto" w:sz="4" w:space="0"/>
              <w:bottom w:val="single" w:color="auto" w:sz="4" w:space="0"/>
              <w:right w:val="single" w:color="auto" w:sz="4" w:space="0"/>
            </w:tcBorders>
            <w:noWrap w:val="0"/>
            <w:vAlign w:val="center"/>
          </w:tcPr>
          <w:p w14:paraId="6068635B">
            <w:pPr>
              <w:pStyle w:val="42"/>
              <w:bidi w:val="0"/>
              <w:rPr>
                <w:rFonts w:hint="default" w:ascii="Times New Roman" w:hAnsi="Times New Roman" w:cs="Times New Roman"/>
                <w:caps w:val="0"/>
                <w:color w:val="auto"/>
                <w:spacing w:val="0"/>
                <w:position w:val="0"/>
                <w:highlight w:val="none"/>
              </w:rPr>
            </w:pPr>
            <w:r>
              <w:rPr>
                <w:rFonts w:hint="default" w:ascii="Times New Roman" w:hAnsi="Times New Roman" w:cs="Times New Roman"/>
                <w:caps w:val="0"/>
                <w:color w:val="auto"/>
                <w:spacing w:val="0"/>
                <w:position w:val="0"/>
                <w:highlight w:val="none"/>
              </w:rPr>
              <w:t>46.9</w:t>
            </w:r>
          </w:p>
        </w:tc>
        <w:tc>
          <w:tcPr>
            <w:tcW w:w="741" w:type="dxa"/>
            <w:tcBorders>
              <w:top w:val="single" w:color="auto" w:sz="4" w:space="0"/>
              <w:left w:val="single" w:color="auto" w:sz="4" w:space="0"/>
              <w:bottom w:val="single" w:color="auto" w:sz="4" w:space="0"/>
              <w:right w:val="single" w:color="auto" w:sz="4" w:space="0"/>
            </w:tcBorders>
            <w:noWrap w:val="0"/>
            <w:vAlign w:val="center"/>
          </w:tcPr>
          <w:p w14:paraId="03DA76BB">
            <w:pPr>
              <w:pStyle w:val="42"/>
              <w:bidi w:val="0"/>
              <w:rPr>
                <w:rFonts w:hint="default" w:ascii="Times New Roman" w:hAnsi="Times New Roman" w:cs="Times New Roman"/>
                <w:caps w:val="0"/>
                <w:color w:val="auto"/>
                <w:spacing w:val="0"/>
                <w:position w:val="0"/>
                <w:highlight w:val="none"/>
              </w:rPr>
            </w:pPr>
            <w:r>
              <w:rPr>
                <w:rFonts w:hint="default" w:ascii="Times New Roman" w:hAnsi="Times New Roman" w:cs="Times New Roman"/>
                <w:caps w:val="0"/>
                <w:color w:val="auto"/>
                <w:spacing w:val="0"/>
                <w:position w:val="0"/>
                <w:highlight w:val="none"/>
              </w:rPr>
              <w:t>45.0</w:t>
            </w:r>
          </w:p>
        </w:tc>
        <w:tc>
          <w:tcPr>
            <w:tcW w:w="741" w:type="dxa"/>
            <w:tcBorders>
              <w:top w:val="single" w:color="auto" w:sz="4" w:space="0"/>
              <w:left w:val="single" w:color="auto" w:sz="4" w:space="0"/>
              <w:bottom w:val="single" w:color="auto" w:sz="4" w:space="0"/>
              <w:right w:val="single" w:color="auto" w:sz="4" w:space="0"/>
            </w:tcBorders>
            <w:noWrap w:val="0"/>
            <w:vAlign w:val="center"/>
          </w:tcPr>
          <w:p w14:paraId="30F955D3">
            <w:pPr>
              <w:pStyle w:val="42"/>
              <w:bidi w:val="0"/>
              <w:rPr>
                <w:rFonts w:hint="default" w:ascii="Times New Roman" w:hAnsi="Times New Roman" w:cs="Times New Roman"/>
                <w:caps w:val="0"/>
                <w:color w:val="auto"/>
                <w:spacing w:val="0"/>
                <w:position w:val="0"/>
                <w:highlight w:val="none"/>
              </w:rPr>
            </w:pPr>
            <w:r>
              <w:rPr>
                <w:rFonts w:hint="default" w:ascii="Times New Roman" w:hAnsi="Times New Roman" w:cs="Times New Roman"/>
                <w:caps w:val="0"/>
                <w:color w:val="auto"/>
                <w:spacing w:val="0"/>
                <w:position w:val="0"/>
                <w:highlight w:val="none"/>
              </w:rPr>
              <w:t>41.5</w:t>
            </w:r>
          </w:p>
        </w:tc>
        <w:tc>
          <w:tcPr>
            <w:tcW w:w="741" w:type="dxa"/>
            <w:tcBorders>
              <w:top w:val="single" w:color="auto" w:sz="4" w:space="0"/>
              <w:left w:val="single" w:color="auto" w:sz="4" w:space="0"/>
              <w:bottom w:val="single" w:color="auto" w:sz="4" w:space="0"/>
              <w:right w:val="single" w:color="auto" w:sz="4" w:space="0"/>
            </w:tcBorders>
            <w:noWrap w:val="0"/>
            <w:vAlign w:val="center"/>
          </w:tcPr>
          <w:p w14:paraId="32524200">
            <w:pPr>
              <w:pStyle w:val="42"/>
              <w:bidi w:val="0"/>
              <w:rPr>
                <w:rFonts w:hint="default" w:ascii="Times New Roman" w:hAnsi="Times New Roman" w:cs="Times New Roman"/>
                <w:caps w:val="0"/>
                <w:color w:val="auto"/>
                <w:spacing w:val="0"/>
                <w:position w:val="0"/>
                <w:highlight w:val="none"/>
              </w:rPr>
            </w:pPr>
            <w:r>
              <w:rPr>
                <w:rFonts w:hint="default" w:ascii="Times New Roman" w:hAnsi="Times New Roman" w:cs="Times New Roman"/>
                <w:caps w:val="0"/>
                <w:color w:val="auto"/>
                <w:spacing w:val="0"/>
                <w:position w:val="0"/>
                <w:highlight w:val="none"/>
              </w:rPr>
              <w:t>39.0</w:t>
            </w:r>
          </w:p>
        </w:tc>
        <w:tc>
          <w:tcPr>
            <w:tcW w:w="759" w:type="dxa"/>
            <w:tcBorders>
              <w:top w:val="single" w:color="auto" w:sz="4" w:space="0"/>
              <w:left w:val="single" w:color="auto" w:sz="4" w:space="0"/>
              <w:bottom w:val="single" w:color="auto" w:sz="4" w:space="0"/>
              <w:right w:val="single" w:color="auto" w:sz="4" w:space="0"/>
            </w:tcBorders>
            <w:noWrap w:val="0"/>
            <w:vAlign w:val="center"/>
          </w:tcPr>
          <w:p w14:paraId="45EA3163">
            <w:pPr>
              <w:pStyle w:val="42"/>
              <w:bidi w:val="0"/>
              <w:rPr>
                <w:rFonts w:hint="default" w:ascii="Times New Roman" w:hAnsi="Times New Roman" w:cs="Times New Roman"/>
                <w:caps w:val="0"/>
                <w:color w:val="auto"/>
                <w:spacing w:val="0"/>
                <w:position w:val="0"/>
                <w:highlight w:val="none"/>
              </w:rPr>
            </w:pPr>
            <w:r>
              <w:rPr>
                <w:rFonts w:hint="default" w:ascii="Times New Roman" w:hAnsi="Times New Roman" w:cs="Times New Roman"/>
                <w:caps w:val="0"/>
                <w:color w:val="auto"/>
                <w:spacing w:val="0"/>
                <w:position w:val="0"/>
                <w:highlight w:val="none"/>
              </w:rPr>
              <w:t>35.5</w:t>
            </w:r>
          </w:p>
        </w:tc>
      </w:tr>
      <w:tr w14:paraId="651596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22" w:hRule="atLeast"/>
          <w:jc w:val="center"/>
        </w:trPr>
        <w:tc>
          <w:tcPr>
            <w:tcW w:w="1809" w:type="dxa"/>
            <w:tcBorders>
              <w:top w:val="single" w:color="auto" w:sz="4" w:space="0"/>
              <w:left w:val="single" w:color="auto" w:sz="4" w:space="0"/>
              <w:bottom w:val="single" w:color="auto" w:sz="4" w:space="0"/>
              <w:right w:val="single" w:color="auto" w:sz="4" w:space="0"/>
            </w:tcBorders>
            <w:noWrap w:val="0"/>
            <w:vAlign w:val="center"/>
          </w:tcPr>
          <w:p w14:paraId="7B7FD38A">
            <w:pPr>
              <w:pStyle w:val="42"/>
              <w:bidi w:val="0"/>
              <w:rPr>
                <w:rFonts w:hint="default" w:ascii="Times New Roman" w:hAnsi="Times New Roman" w:cs="Times New Roman"/>
                <w:caps w:val="0"/>
                <w:color w:val="auto"/>
                <w:spacing w:val="0"/>
                <w:position w:val="0"/>
                <w:highlight w:val="none"/>
              </w:rPr>
            </w:pPr>
            <w:r>
              <w:rPr>
                <w:rFonts w:hint="default" w:ascii="Times New Roman" w:hAnsi="Times New Roman" w:cs="Times New Roman"/>
                <w:caps w:val="0"/>
                <w:color w:val="auto"/>
                <w:spacing w:val="0"/>
                <w:position w:val="0"/>
                <w:highlight w:val="none"/>
              </w:rPr>
              <w:t>搅拌机</w:t>
            </w:r>
          </w:p>
        </w:tc>
        <w:tc>
          <w:tcPr>
            <w:tcW w:w="661" w:type="dxa"/>
            <w:tcBorders>
              <w:top w:val="single" w:color="auto" w:sz="4" w:space="0"/>
              <w:left w:val="single" w:color="auto" w:sz="4" w:space="0"/>
              <w:bottom w:val="single" w:color="auto" w:sz="4" w:space="0"/>
              <w:right w:val="single" w:color="auto" w:sz="4" w:space="0"/>
            </w:tcBorders>
            <w:noWrap w:val="0"/>
            <w:vAlign w:val="center"/>
          </w:tcPr>
          <w:p w14:paraId="1E6797A7">
            <w:pPr>
              <w:pStyle w:val="42"/>
              <w:bidi w:val="0"/>
              <w:rPr>
                <w:rFonts w:hint="default" w:ascii="Times New Roman" w:hAnsi="Times New Roman" w:cs="Times New Roman"/>
                <w:caps w:val="0"/>
                <w:color w:val="auto"/>
                <w:spacing w:val="0"/>
                <w:position w:val="0"/>
                <w:highlight w:val="none"/>
              </w:rPr>
            </w:pPr>
            <w:r>
              <w:rPr>
                <w:rFonts w:hint="default" w:ascii="Times New Roman" w:hAnsi="Times New Roman" w:cs="Times New Roman"/>
                <w:caps w:val="0"/>
                <w:color w:val="auto"/>
                <w:spacing w:val="0"/>
                <w:position w:val="0"/>
                <w:highlight w:val="none"/>
              </w:rPr>
              <w:t>95</w:t>
            </w:r>
          </w:p>
        </w:tc>
        <w:tc>
          <w:tcPr>
            <w:tcW w:w="593" w:type="dxa"/>
            <w:tcBorders>
              <w:top w:val="single" w:color="auto" w:sz="4" w:space="0"/>
              <w:left w:val="single" w:color="auto" w:sz="4" w:space="0"/>
              <w:bottom w:val="single" w:color="auto" w:sz="4" w:space="0"/>
              <w:right w:val="single" w:color="auto" w:sz="4" w:space="0"/>
            </w:tcBorders>
            <w:noWrap w:val="0"/>
            <w:vAlign w:val="center"/>
          </w:tcPr>
          <w:p w14:paraId="1E81386F">
            <w:pPr>
              <w:pStyle w:val="42"/>
              <w:bidi w:val="0"/>
              <w:rPr>
                <w:rFonts w:hint="default" w:ascii="Times New Roman" w:hAnsi="Times New Roman" w:cs="Times New Roman"/>
                <w:caps w:val="0"/>
                <w:color w:val="auto"/>
                <w:spacing w:val="0"/>
                <w:position w:val="0"/>
                <w:highlight w:val="none"/>
              </w:rPr>
            </w:pPr>
            <w:r>
              <w:rPr>
                <w:rFonts w:hint="default" w:ascii="Times New Roman" w:hAnsi="Times New Roman" w:cs="Times New Roman"/>
                <w:caps w:val="0"/>
                <w:color w:val="auto"/>
                <w:spacing w:val="0"/>
                <w:position w:val="0"/>
                <w:highlight w:val="none"/>
              </w:rPr>
              <w:t>75.0</w:t>
            </w:r>
          </w:p>
        </w:tc>
        <w:tc>
          <w:tcPr>
            <w:tcW w:w="593" w:type="dxa"/>
            <w:tcBorders>
              <w:top w:val="single" w:color="auto" w:sz="4" w:space="0"/>
              <w:left w:val="single" w:color="auto" w:sz="4" w:space="0"/>
              <w:bottom w:val="single" w:color="auto" w:sz="4" w:space="0"/>
              <w:right w:val="single" w:color="auto" w:sz="4" w:space="0"/>
            </w:tcBorders>
            <w:noWrap w:val="0"/>
            <w:vAlign w:val="center"/>
          </w:tcPr>
          <w:p w14:paraId="600CA280">
            <w:pPr>
              <w:pStyle w:val="42"/>
              <w:bidi w:val="0"/>
              <w:rPr>
                <w:rFonts w:hint="default" w:ascii="Times New Roman" w:hAnsi="Times New Roman" w:cs="Times New Roman"/>
                <w:caps w:val="0"/>
                <w:color w:val="auto"/>
                <w:spacing w:val="0"/>
                <w:position w:val="0"/>
                <w:highlight w:val="none"/>
              </w:rPr>
            </w:pPr>
            <w:r>
              <w:rPr>
                <w:rFonts w:hint="default" w:ascii="Times New Roman" w:hAnsi="Times New Roman" w:cs="Times New Roman"/>
                <w:caps w:val="0"/>
                <w:color w:val="auto"/>
                <w:spacing w:val="0"/>
                <w:position w:val="0"/>
                <w:highlight w:val="none"/>
              </w:rPr>
              <w:t>69.0</w:t>
            </w:r>
          </w:p>
        </w:tc>
        <w:tc>
          <w:tcPr>
            <w:tcW w:w="593" w:type="dxa"/>
            <w:tcBorders>
              <w:top w:val="single" w:color="auto" w:sz="4" w:space="0"/>
              <w:left w:val="single" w:color="auto" w:sz="4" w:space="0"/>
              <w:bottom w:val="single" w:color="auto" w:sz="4" w:space="0"/>
              <w:right w:val="single" w:color="auto" w:sz="4" w:space="0"/>
            </w:tcBorders>
            <w:noWrap w:val="0"/>
            <w:vAlign w:val="center"/>
          </w:tcPr>
          <w:p w14:paraId="43FE01F2">
            <w:pPr>
              <w:pStyle w:val="42"/>
              <w:bidi w:val="0"/>
              <w:rPr>
                <w:rFonts w:hint="default" w:ascii="Times New Roman" w:hAnsi="Times New Roman" w:cs="Times New Roman"/>
                <w:caps w:val="0"/>
                <w:color w:val="auto"/>
                <w:spacing w:val="0"/>
                <w:position w:val="0"/>
                <w:highlight w:val="none"/>
              </w:rPr>
            </w:pPr>
            <w:r>
              <w:rPr>
                <w:rFonts w:hint="default" w:ascii="Times New Roman" w:hAnsi="Times New Roman" w:cs="Times New Roman"/>
                <w:caps w:val="0"/>
                <w:color w:val="auto"/>
                <w:spacing w:val="0"/>
                <w:position w:val="0"/>
                <w:highlight w:val="none"/>
              </w:rPr>
              <w:t>65.5</w:t>
            </w:r>
          </w:p>
        </w:tc>
        <w:tc>
          <w:tcPr>
            <w:tcW w:w="593" w:type="dxa"/>
            <w:tcBorders>
              <w:top w:val="single" w:color="auto" w:sz="4" w:space="0"/>
              <w:left w:val="single" w:color="auto" w:sz="4" w:space="0"/>
              <w:bottom w:val="single" w:color="auto" w:sz="4" w:space="0"/>
              <w:right w:val="single" w:color="auto" w:sz="4" w:space="0"/>
            </w:tcBorders>
            <w:noWrap w:val="0"/>
            <w:vAlign w:val="center"/>
          </w:tcPr>
          <w:p w14:paraId="5F8A51A3">
            <w:pPr>
              <w:pStyle w:val="42"/>
              <w:bidi w:val="0"/>
              <w:rPr>
                <w:rFonts w:hint="default" w:ascii="Times New Roman" w:hAnsi="Times New Roman" w:cs="Times New Roman"/>
                <w:caps w:val="0"/>
                <w:color w:val="auto"/>
                <w:spacing w:val="0"/>
                <w:position w:val="0"/>
                <w:highlight w:val="none"/>
              </w:rPr>
            </w:pPr>
            <w:r>
              <w:rPr>
                <w:rFonts w:hint="default" w:ascii="Times New Roman" w:hAnsi="Times New Roman" w:cs="Times New Roman"/>
                <w:caps w:val="0"/>
                <w:color w:val="auto"/>
                <w:spacing w:val="0"/>
                <w:position w:val="0"/>
                <w:highlight w:val="none"/>
              </w:rPr>
              <w:t>63.0</w:t>
            </w:r>
          </w:p>
        </w:tc>
        <w:tc>
          <w:tcPr>
            <w:tcW w:w="593" w:type="dxa"/>
            <w:tcBorders>
              <w:top w:val="single" w:color="auto" w:sz="4" w:space="0"/>
              <w:left w:val="single" w:color="auto" w:sz="4" w:space="0"/>
              <w:bottom w:val="single" w:color="auto" w:sz="4" w:space="0"/>
              <w:right w:val="single" w:color="auto" w:sz="4" w:space="0"/>
            </w:tcBorders>
            <w:noWrap w:val="0"/>
            <w:vAlign w:val="center"/>
          </w:tcPr>
          <w:p w14:paraId="26A357B3">
            <w:pPr>
              <w:pStyle w:val="42"/>
              <w:bidi w:val="0"/>
              <w:rPr>
                <w:rFonts w:hint="default" w:ascii="Times New Roman" w:hAnsi="Times New Roman" w:cs="Times New Roman"/>
                <w:caps w:val="0"/>
                <w:color w:val="auto"/>
                <w:spacing w:val="0"/>
                <w:position w:val="0"/>
                <w:highlight w:val="none"/>
              </w:rPr>
            </w:pPr>
            <w:r>
              <w:rPr>
                <w:rFonts w:hint="default" w:ascii="Times New Roman" w:hAnsi="Times New Roman" w:cs="Times New Roman"/>
                <w:caps w:val="0"/>
                <w:color w:val="auto"/>
                <w:spacing w:val="0"/>
                <w:position w:val="0"/>
                <w:highlight w:val="none"/>
              </w:rPr>
              <w:t>59.4</w:t>
            </w:r>
          </w:p>
        </w:tc>
        <w:tc>
          <w:tcPr>
            <w:tcW w:w="593" w:type="dxa"/>
            <w:tcBorders>
              <w:top w:val="single" w:color="auto" w:sz="4" w:space="0"/>
              <w:left w:val="single" w:color="auto" w:sz="4" w:space="0"/>
              <w:bottom w:val="single" w:color="auto" w:sz="4" w:space="0"/>
              <w:right w:val="single" w:color="auto" w:sz="4" w:space="0"/>
            </w:tcBorders>
            <w:noWrap w:val="0"/>
            <w:vAlign w:val="center"/>
          </w:tcPr>
          <w:p w14:paraId="0F6C39D2">
            <w:pPr>
              <w:pStyle w:val="42"/>
              <w:bidi w:val="0"/>
              <w:rPr>
                <w:rFonts w:hint="default" w:ascii="Times New Roman" w:hAnsi="Times New Roman" w:cs="Times New Roman"/>
                <w:caps w:val="0"/>
                <w:color w:val="auto"/>
                <w:spacing w:val="0"/>
                <w:position w:val="0"/>
                <w:highlight w:val="none"/>
              </w:rPr>
            </w:pPr>
            <w:r>
              <w:rPr>
                <w:rFonts w:hint="default" w:ascii="Times New Roman" w:hAnsi="Times New Roman" w:cs="Times New Roman"/>
                <w:caps w:val="0"/>
                <w:color w:val="auto"/>
                <w:spacing w:val="0"/>
                <w:position w:val="0"/>
                <w:highlight w:val="none"/>
              </w:rPr>
              <w:t>56.9</w:t>
            </w:r>
          </w:p>
        </w:tc>
        <w:tc>
          <w:tcPr>
            <w:tcW w:w="741" w:type="dxa"/>
            <w:tcBorders>
              <w:top w:val="single" w:color="auto" w:sz="4" w:space="0"/>
              <w:left w:val="single" w:color="auto" w:sz="4" w:space="0"/>
              <w:bottom w:val="single" w:color="auto" w:sz="4" w:space="0"/>
              <w:right w:val="single" w:color="auto" w:sz="4" w:space="0"/>
            </w:tcBorders>
            <w:noWrap w:val="0"/>
            <w:vAlign w:val="center"/>
          </w:tcPr>
          <w:p w14:paraId="0AAD93E0">
            <w:pPr>
              <w:pStyle w:val="42"/>
              <w:bidi w:val="0"/>
              <w:rPr>
                <w:rFonts w:hint="default" w:ascii="Times New Roman" w:hAnsi="Times New Roman" w:cs="Times New Roman"/>
                <w:caps w:val="0"/>
                <w:color w:val="auto"/>
                <w:spacing w:val="0"/>
                <w:position w:val="0"/>
                <w:highlight w:val="none"/>
              </w:rPr>
            </w:pPr>
            <w:r>
              <w:rPr>
                <w:rFonts w:hint="default" w:ascii="Times New Roman" w:hAnsi="Times New Roman" w:cs="Times New Roman"/>
                <w:caps w:val="0"/>
                <w:color w:val="auto"/>
                <w:spacing w:val="0"/>
                <w:position w:val="0"/>
                <w:highlight w:val="none"/>
              </w:rPr>
              <w:t>55.0</w:t>
            </w:r>
          </w:p>
        </w:tc>
        <w:tc>
          <w:tcPr>
            <w:tcW w:w="741" w:type="dxa"/>
            <w:tcBorders>
              <w:top w:val="single" w:color="auto" w:sz="4" w:space="0"/>
              <w:left w:val="single" w:color="auto" w:sz="4" w:space="0"/>
              <w:bottom w:val="single" w:color="auto" w:sz="4" w:space="0"/>
              <w:right w:val="single" w:color="auto" w:sz="4" w:space="0"/>
            </w:tcBorders>
            <w:noWrap w:val="0"/>
            <w:vAlign w:val="center"/>
          </w:tcPr>
          <w:p w14:paraId="36495046">
            <w:pPr>
              <w:pStyle w:val="42"/>
              <w:bidi w:val="0"/>
              <w:rPr>
                <w:rFonts w:hint="default" w:ascii="Times New Roman" w:hAnsi="Times New Roman" w:cs="Times New Roman"/>
                <w:caps w:val="0"/>
                <w:color w:val="auto"/>
                <w:spacing w:val="0"/>
                <w:position w:val="0"/>
                <w:highlight w:val="none"/>
              </w:rPr>
            </w:pPr>
            <w:r>
              <w:rPr>
                <w:rFonts w:hint="default" w:ascii="Times New Roman" w:hAnsi="Times New Roman" w:cs="Times New Roman"/>
                <w:caps w:val="0"/>
                <w:color w:val="auto"/>
                <w:spacing w:val="0"/>
                <w:position w:val="0"/>
                <w:highlight w:val="none"/>
              </w:rPr>
              <w:t>51.5</w:t>
            </w:r>
          </w:p>
        </w:tc>
        <w:tc>
          <w:tcPr>
            <w:tcW w:w="741" w:type="dxa"/>
            <w:tcBorders>
              <w:top w:val="single" w:color="auto" w:sz="4" w:space="0"/>
              <w:left w:val="single" w:color="auto" w:sz="4" w:space="0"/>
              <w:bottom w:val="single" w:color="auto" w:sz="4" w:space="0"/>
              <w:right w:val="single" w:color="auto" w:sz="4" w:space="0"/>
            </w:tcBorders>
            <w:noWrap w:val="0"/>
            <w:vAlign w:val="center"/>
          </w:tcPr>
          <w:p w14:paraId="4F40ED34">
            <w:pPr>
              <w:pStyle w:val="42"/>
              <w:bidi w:val="0"/>
              <w:rPr>
                <w:rFonts w:hint="default" w:ascii="Times New Roman" w:hAnsi="Times New Roman" w:cs="Times New Roman"/>
                <w:caps w:val="0"/>
                <w:color w:val="auto"/>
                <w:spacing w:val="0"/>
                <w:position w:val="0"/>
                <w:highlight w:val="none"/>
              </w:rPr>
            </w:pPr>
            <w:r>
              <w:rPr>
                <w:rFonts w:hint="default" w:ascii="Times New Roman" w:hAnsi="Times New Roman" w:cs="Times New Roman"/>
                <w:caps w:val="0"/>
                <w:color w:val="auto"/>
                <w:spacing w:val="0"/>
                <w:position w:val="0"/>
                <w:highlight w:val="none"/>
              </w:rPr>
              <w:t>49.0</w:t>
            </w:r>
          </w:p>
        </w:tc>
        <w:tc>
          <w:tcPr>
            <w:tcW w:w="759" w:type="dxa"/>
            <w:tcBorders>
              <w:top w:val="single" w:color="auto" w:sz="4" w:space="0"/>
              <w:left w:val="single" w:color="auto" w:sz="4" w:space="0"/>
              <w:bottom w:val="single" w:color="auto" w:sz="4" w:space="0"/>
              <w:right w:val="single" w:color="auto" w:sz="4" w:space="0"/>
            </w:tcBorders>
            <w:noWrap w:val="0"/>
            <w:vAlign w:val="center"/>
          </w:tcPr>
          <w:p w14:paraId="65187267">
            <w:pPr>
              <w:pStyle w:val="42"/>
              <w:bidi w:val="0"/>
              <w:rPr>
                <w:rFonts w:hint="default" w:ascii="Times New Roman" w:hAnsi="Times New Roman" w:cs="Times New Roman"/>
                <w:caps w:val="0"/>
                <w:color w:val="auto"/>
                <w:spacing w:val="0"/>
                <w:position w:val="0"/>
                <w:highlight w:val="none"/>
              </w:rPr>
            </w:pPr>
            <w:r>
              <w:rPr>
                <w:rFonts w:hint="default" w:ascii="Times New Roman" w:hAnsi="Times New Roman" w:cs="Times New Roman"/>
                <w:caps w:val="0"/>
                <w:color w:val="auto"/>
                <w:spacing w:val="0"/>
                <w:position w:val="0"/>
                <w:highlight w:val="none"/>
              </w:rPr>
              <w:t>45.5</w:t>
            </w:r>
          </w:p>
        </w:tc>
      </w:tr>
      <w:tr w14:paraId="3C9807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37" w:hRule="atLeast"/>
          <w:jc w:val="center"/>
        </w:trPr>
        <w:tc>
          <w:tcPr>
            <w:tcW w:w="1809" w:type="dxa"/>
            <w:tcBorders>
              <w:top w:val="single" w:color="auto" w:sz="4" w:space="0"/>
              <w:left w:val="single" w:color="auto" w:sz="4" w:space="0"/>
              <w:bottom w:val="single" w:color="auto" w:sz="4" w:space="0"/>
              <w:right w:val="single" w:color="auto" w:sz="4" w:space="0"/>
            </w:tcBorders>
            <w:noWrap w:val="0"/>
            <w:vAlign w:val="center"/>
          </w:tcPr>
          <w:p w14:paraId="188D01CE">
            <w:pPr>
              <w:pStyle w:val="42"/>
              <w:bidi w:val="0"/>
              <w:rPr>
                <w:rFonts w:hint="default" w:ascii="Times New Roman" w:hAnsi="Times New Roman" w:cs="Times New Roman"/>
                <w:caps w:val="0"/>
                <w:color w:val="auto"/>
                <w:spacing w:val="0"/>
                <w:position w:val="0"/>
                <w:highlight w:val="none"/>
              </w:rPr>
            </w:pPr>
            <w:r>
              <w:rPr>
                <w:rFonts w:hint="default" w:ascii="Times New Roman" w:hAnsi="Times New Roman" w:cs="Times New Roman"/>
                <w:caps w:val="0"/>
                <w:color w:val="auto"/>
                <w:spacing w:val="0"/>
                <w:position w:val="0"/>
                <w:highlight w:val="none"/>
              </w:rPr>
              <w:t>运输车辆</w:t>
            </w:r>
          </w:p>
        </w:tc>
        <w:tc>
          <w:tcPr>
            <w:tcW w:w="661" w:type="dxa"/>
            <w:tcBorders>
              <w:top w:val="single" w:color="auto" w:sz="4" w:space="0"/>
              <w:left w:val="single" w:color="auto" w:sz="4" w:space="0"/>
              <w:bottom w:val="single" w:color="auto" w:sz="4" w:space="0"/>
              <w:right w:val="single" w:color="auto" w:sz="4" w:space="0"/>
            </w:tcBorders>
            <w:noWrap w:val="0"/>
            <w:vAlign w:val="center"/>
          </w:tcPr>
          <w:p w14:paraId="736A3CEA">
            <w:pPr>
              <w:pStyle w:val="42"/>
              <w:bidi w:val="0"/>
              <w:rPr>
                <w:rFonts w:hint="default" w:ascii="Times New Roman" w:hAnsi="Times New Roman" w:cs="Times New Roman"/>
                <w:caps w:val="0"/>
                <w:color w:val="auto"/>
                <w:spacing w:val="0"/>
                <w:position w:val="0"/>
                <w:highlight w:val="none"/>
              </w:rPr>
            </w:pPr>
            <w:r>
              <w:rPr>
                <w:rFonts w:hint="default" w:ascii="Times New Roman" w:hAnsi="Times New Roman" w:cs="Times New Roman"/>
                <w:caps w:val="0"/>
                <w:color w:val="auto"/>
                <w:spacing w:val="0"/>
                <w:position w:val="0"/>
                <w:highlight w:val="none"/>
              </w:rPr>
              <w:t>85</w:t>
            </w:r>
          </w:p>
        </w:tc>
        <w:tc>
          <w:tcPr>
            <w:tcW w:w="593" w:type="dxa"/>
            <w:tcBorders>
              <w:top w:val="single" w:color="auto" w:sz="4" w:space="0"/>
              <w:left w:val="single" w:color="auto" w:sz="4" w:space="0"/>
              <w:bottom w:val="single" w:color="auto" w:sz="4" w:space="0"/>
              <w:right w:val="single" w:color="auto" w:sz="4" w:space="0"/>
            </w:tcBorders>
            <w:noWrap w:val="0"/>
            <w:vAlign w:val="center"/>
          </w:tcPr>
          <w:p w14:paraId="2A45B856">
            <w:pPr>
              <w:pStyle w:val="42"/>
              <w:bidi w:val="0"/>
              <w:rPr>
                <w:rFonts w:hint="default" w:ascii="Times New Roman" w:hAnsi="Times New Roman" w:cs="Times New Roman"/>
                <w:caps w:val="0"/>
                <w:color w:val="auto"/>
                <w:spacing w:val="0"/>
                <w:position w:val="0"/>
                <w:highlight w:val="none"/>
              </w:rPr>
            </w:pPr>
            <w:r>
              <w:rPr>
                <w:rFonts w:hint="default" w:ascii="Times New Roman" w:hAnsi="Times New Roman" w:cs="Times New Roman"/>
                <w:caps w:val="0"/>
                <w:color w:val="auto"/>
                <w:spacing w:val="0"/>
                <w:position w:val="0"/>
                <w:highlight w:val="none"/>
              </w:rPr>
              <w:t>67.5</w:t>
            </w:r>
          </w:p>
        </w:tc>
        <w:tc>
          <w:tcPr>
            <w:tcW w:w="593" w:type="dxa"/>
            <w:tcBorders>
              <w:top w:val="single" w:color="auto" w:sz="4" w:space="0"/>
              <w:left w:val="single" w:color="auto" w:sz="4" w:space="0"/>
              <w:bottom w:val="single" w:color="auto" w:sz="4" w:space="0"/>
              <w:right w:val="single" w:color="auto" w:sz="4" w:space="0"/>
            </w:tcBorders>
            <w:noWrap w:val="0"/>
            <w:vAlign w:val="center"/>
          </w:tcPr>
          <w:p w14:paraId="7A28D21A">
            <w:pPr>
              <w:pStyle w:val="42"/>
              <w:bidi w:val="0"/>
              <w:rPr>
                <w:rFonts w:hint="default" w:ascii="Times New Roman" w:hAnsi="Times New Roman" w:cs="Times New Roman"/>
                <w:caps w:val="0"/>
                <w:color w:val="auto"/>
                <w:spacing w:val="0"/>
                <w:position w:val="0"/>
                <w:highlight w:val="none"/>
              </w:rPr>
            </w:pPr>
            <w:r>
              <w:rPr>
                <w:rFonts w:hint="default" w:ascii="Times New Roman" w:hAnsi="Times New Roman" w:cs="Times New Roman"/>
                <w:caps w:val="0"/>
                <w:color w:val="auto"/>
                <w:spacing w:val="0"/>
                <w:position w:val="0"/>
                <w:highlight w:val="none"/>
              </w:rPr>
              <w:t>59.0</w:t>
            </w:r>
          </w:p>
        </w:tc>
        <w:tc>
          <w:tcPr>
            <w:tcW w:w="593" w:type="dxa"/>
            <w:tcBorders>
              <w:top w:val="single" w:color="auto" w:sz="4" w:space="0"/>
              <w:left w:val="single" w:color="auto" w:sz="4" w:space="0"/>
              <w:bottom w:val="single" w:color="auto" w:sz="4" w:space="0"/>
              <w:right w:val="single" w:color="auto" w:sz="4" w:space="0"/>
            </w:tcBorders>
            <w:noWrap w:val="0"/>
            <w:vAlign w:val="center"/>
          </w:tcPr>
          <w:p w14:paraId="2A818128">
            <w:pPr>
              <w:pStyle w:val="42"/>
              <w:bidi w:val="0"/>
              <w:rPr>
                <w:rFonts w:hint="default" w:ascii="Times New Roman" w:hAnsi="Times New Roman" w:cs="Times New Roman"/>
                <w:caps w:val="0"/>
                <w:color w:val="auto"/>
                <w:spacing w:val="0"/>
                <w:position w:val="0"/>
                <w:highlight w:val="none"/>
              </w:rPr>
            </w:pPr>
            <w:r>
              <w:rPr>
                <w:rFonts w:hint="default" w:ascii="Times New Roman" w:hAnsi="Times New Roman" w:cs="Times New Roman"/>
                <w:caps w:val="0"/>
                <w:color w:val="auto"/>
                <w:spacing w:val="0"/>
                <w:position w:val="0"/>
                <w:highlight w:val="none"/>
              </w:rPr>
              <w:t>55.5</w:t>
            </w:r>
          </w:p>
        </w:tc>
        <w:tc>
          <w:tcPr>
            <w:tcW w:w="593" w:type="dxa"/>
            <w:tcBorders>
              <w:top w:val="single" w:color="auto" w:sz="4" w:space="0"/>
              <w:left w:val="single" w:color="auto" w:sz="4" w:space="0"/>
              <w:bottom w:val="single" w:color="auto" w:sz="4" w:space="0"/>
              <w:right w:val="single" w:color="auto" w:sz="4" w:space="0"/>
            </w:tcBorders>
            <w:noWrap w:val="0"/>
            <w:vAlign w:val="center"/>
          </w:tcPr>
          <w:p w14:paraId="4F278941">
            <w:pPr>
              <w:pStyle w:val="42"/>
              <w:bidi w:val="0"/>
              <w:rPr>
                <w:rFonts w:hint="default" w:ascii="Times New Roman" w:hAnsi="Times New Roman" w:cs="Times New Roman"/>
                <w:caps w:val="0"/>
                <w:color w:val="auto"/>
                <w:spacing w:val="0"/>
                <w:position w:val="0"/>
                <w:highlight w:val="none"/>
              </w:rPr>
            </w:pPr>
            <w:r>
              <w:rPr>
                <w:rFonts w:hint="default" w:ascii="Times New Roman" w:hAnsi="Times New Roman" w:cs="Times New Roman"/>
                <w:caps w:val="0"/>
                <w:color w:val="auto"/>
                <w:spacing w:val="0"/>
                <w:position w:val="0"/>
                <w:highlight w:val="none"/>
              </w:rPr>
              <w:t>53.0</w:t>
            </w:r>
          </w:p>
        </w:tc>
        <w:tc>
          <w:tcPr>
            <w:tcW w:w="593" w:type="dxa"/>
            <w:tcBorders>
              <w:top w:val="single" w:color="auto" w:sz="4" w:space="0"/>
              <w:left w:val="single" w:color="auto" w:sz="4" w:space="0"/>
              <w:bottom w:val="single" w:color="auto" w:sz="4" w:space="0"/>
              <w:right w:val="single" w:color="auto" w:sz="4" w:space="0"/>
            </w:tcBorders>
            <w:noWrap w:val="0"/>
            <w:vAlign w:val="center"/>
          </w:tcPr>
          <w:p w14:paraId="62FB7FF7">
            <w:pPr>
              <w:pStyle w:val="42"/>
              <w:bidi w:val="0"/>
              <w:rPr>
                <w:rFonts w:hint="default" w:ascii="Times New Roman" w:hAnsi="Times New Roman" w:cs="Times New Roman"/>
                <w:caps w:val="0"/>
                <w:color w:val="auto"/>
                <w:spacing w:val="0"/>
                <w:position w:val="0"/>
                <w:highlight w:val="none"/>
              </w:rPr>
            </w:pPr>
            <w:r>
              <w:rPr>
                <w:rFonts w:hint="default" w:ascii="Times New Roman" w:hAnsi="Times New Roman" w:cs="Times New Roman"/>
                <w:caps w:val="0"/>
                <w:color w:val="auto"/>
                <w:spacing w:val="0"/>
                <w:position w:val="0"/>
                <w:highlight w:val="none"/>
              </w:rPr>
              <w:t>49.4</w:t>
            </w:r>
          </w:p>
        </w:tc>
        <w:tc>
          <w:tcPr>
            <w:tcW w:w="593" w:type="dxa"/>
            <w:tcBorders>
              <w:top w:val="single" w:color="auto" w:sz="4" w:space="0"/>
              <w:left w:val="single" w:color="auto" w:sz="4" w:space="0"/>
              <w:bottom w:val="single" w:color="auto" w:sz="4" w:space="0"/>
              <w:right w:val="single" w:color="auto" w:sz="4" w:space="0"/>
            </w:tcBorders>
            <w:noWrap w:val="0"/>
            <w:vAlign w:val="center"/>
          </w:tcPr>
          <w:p w14:paraId="74DA6A13">
            <w:pPr>
              <w:pStyle w:val="42"/>
              <w:bidi w:val="0"/>
              <w:rPr>
                <w:rFonts w:hint="default" w:ascii="Times New Roman" w:hAnsi="Times New Roman" w:cs="Times New Roman"/>
                <w:caps w:val="0"/>
                <w:color w:val="auto"/>
                <w:spacing w:val="0"/>
                <w:position w:val="0"/>
                <w:highlight w:val="none"/>
              </w:rPr>
            </w:pPr>
            <w:r>
              <w:rPr>
                <w:rFonts w:hint="default" w:ascii="Times New Roman" w:hAnsi="Times New Roman" w:cs="Times New Roman"/>
                <w:caps w:val="0"/>
                <w:color w:val="auto"/>
                <w:spacing w:val="0"/>
                <w:position w:val="0"/>
                <w:highlight w:val="none"/>
              </w:rPr>
              <w:t>46.9</w:t>
            </w:r>
          </w:p>
        </w:tc>
        <w:tc>
          <w:tcPr>
            <w:tcW w:w="741" w:type="dxa"/>
            <w:tcBorders>
              <w:top w:val="single" w:color="auto" w:sz="4" w:space="0"/>
              <w:left w:val="single" w:color="auto" w:sz="4" w:space="0"/>
              <w:bottom w:val="single" w:color="auto" w:sz="4" w:space="0"/>
              <w:right w:val="single" w:color="auto" w:sz="4" w:space="0"/>
            </w:tcBorders>
            <w:noWrap w:val="0"/>
            <w:vAlign w:val="center"/>
          </w:tcPr>
          <w:p w14:paraId="48D8A741">
            <w:pPr>
              <w:pStyle w:val="42"/>
              <w:bidi w:val="0"/>
              <w:rPr>
                <w:rFonts w:hint="default" w:ascii="Times New Roman" w:hAnsi="Times New Roman" w:cs="Times New Roman"/>
                <w:caps w:val="0"/>
                <w:color w:val="auto"/>
                <w:spacing w:val="0"/>
                <w:position w:val="0"/>
                <w:highlight w:val="none"/>
              </w:rPr>
            </w:pPr>
            <w:r>
              <w:rPr>
                <w:rFonts w:hint="default" w:ascii="Times New Roman" w:hAnsi="Times New Roman" w:cs="Times New Roman"/>
                <w:caps w:val="0"/>
                <w:color w:val="auto"/>
                <w:spacing w:val="0"/>
                <w:position w:val="0"/>
                <w:highlight w:val="none"/>
              </w:rPr>
              <w:t>45.0</w:t>
            </w:r>
          </w:p>
        </w:tc>
        <w:tc>
          <w:tcPr>
            <w:tcW w:w="741" w:type="dxa"/>
            <w:tcBorders>
              <w:top w:val="single" w:color="auto" w:sz="4" w:space="0"/>
              <w:left w:val="single" w:color="auto" w:sz="4" w:space="0"/>
              <w:bottom w:val="single" w:color="auto" w:sz="4" w:space="0"/>
              <w:right w:val="single" w:color="auto" w:sz="4" w:space="0"/>
            </w:tcBorders>
            <w:noWrap w:val="0"/>
            <w:vAlign w:val="center"/>
          </w:tcPr>
          <w:p w14:paraId="26E37F1D">
            <w:pPr>
              <w:pStyle w:val="42"/>
              <w:bidi w:val="0"/>
              <w:rPr>
                <w:rFonts w:hint="default" w:ascii="Times New Roman" w:hAnsi="Times New Roman" w:cs="Times New Roman"/>
                <w:caps w:val="0"/>
                <w:color w:val="auto"/>
                <w:spacing w:val="0"/>
                <w:position w:val="0"/>
                <w:highlight w:val="none"/>
              </w:rPr>
            </w:pPr>
            <w:r>
              <w:rPr>
                <w:rFonts w:hint="default" w:ascii="Times New Roman" w:hAnsi="Times New Roman" w:cs="Times New Roman"/>
                <w:caps w:val="0"/>
                <w:color w:val="auto"/>
                <w:spacing w:val="0"/>
                <w:position w:val="0"/>
                <w:highlight w:val="none"/>
              </w:rPr>
              <w:t>41.5</w:t>
            </w:r>
          </w:p>
        </w:tc>
        <w:tc>
          <w:tcPr>
            <w:tcW w:w="741" w:type="dxa"/>
            <w:tcBorders>
              <w:top w:val="single" w:color="auto" w:sz="4" w:space="0"/>
              <w:left w:val="single" w:color="auto" w:sz="4" w:space="0"/>
              <w:bottom w:val="single" w:color="auto" w:sz="4" w:space="0"/>
              <w:right w:val="single" w:color="auto" w:sz="4" w:space="0"/>
            </w:tcBorders>
            <w:noWrap w:val="0"/>
            <w:vAlign w:val="center"/>
          </w:tcPr>
          <w:p w14:paraId="2E8406E5">
            <w:pPr>
              <w:pStyle w:val="42"/>
              <w:bidi w:val="0"/>
              <w:rPr>
                <w:rFonts w:hint="default" w:ascii="Times New Roman" w:hAnsi="Times New Roman" w:cs="Times New Roman"/>
                <w:caps w:val="0"/>
                <w:color w:val="auto"/>
                <w:spacing w:val="0"/>
                <w:position w:val="0"/>
                <w:highlight w:val="none"/>
              </w:rPr>
            </w:pPr>
            <w:r>
              <w:rPr>
                <w:rFonts w:hint="default" w:ascii="Times New Roman" w:hAnsi="Times New Roman" w:cs="Times New Roman"/>
                <w:caps w:val="0"/>
                <w:color w:val="auto"/>
                <w:spacing w:val="0"/>
                <w:position w:val="0"/>
                <w:highlight w:val="none"/>
              </w:rPr>
              <w:t>39.0</w:t>
            </w:r>
          </w:p>
        </w:tc>
        <w:tc>
          <w:tcPr>
            <w:tcW w:w="759" w:type="dxa"/>
            <w:tcBorders>
              <w:top w:val="single" w:color="auto" w:sz="4" w:space="0"/>
              <w:left w:val="single" w:color="auto" w:sz="4" w:space="0"/>
              <w:bottom w:val="single" w:color="auto" w:sz="4" w:space="0"/>
              <w:right w:val="single" w:color="auto" w:sz="4" w:space="0"/>
            </w:tcBorders>
            <w:noWrap w:val="0"/>
            <w:vAlign w:val="center"/>
          </w:tcPr>
          <w:p w14:paraId="3C75943C">
            <w:pPr>
              <w:pStyle w:val="42"/>
              <w:bidi w:val="0"/>
              <w:rPr>
                <w:rFonts w:hint="default" w:ascii="Times New Roman" w:hAnsi="Times New Roman" w:cs="Times New Roman"/>
                <w:caps w:val="0"/>
                <w:color w:val="auto"/>
                <w:spacing w:val="0"/>
                <w:position w:val="0"/>
                <w:highlight w:val="none"/>
              </w:rPr>
            </w:pPr>
            <w:r>
              <w:rPr>
                <w:rFonts w:hint="default" w:ascii="Times New Roman" w:hAnsi="Times New Roman" w:cs="Times New Roman"/>
                <w:caps w:val="0"/>
                <w:color w:val="auto"/>
                <w:spacing w:val="0"/>
                <w:position w:val="0"/>
                <w:highlight w:val="none"/>
              </w:rPr>
              <w:t>35.5</w:t>
            </w:r>
          </w:p>
        </w:tc>
      </w:tr>
    </w:tbl>
    <w:p w14:paraId="4344FEA2">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default" w:ascii="Times New Roman" w:hAnsi="Times New Roman" w:eastAsia="宋体" w:cs="Times New Roman"/>
          <w:caps w:val="0"/>
          <w:color w:val="auto"/>
          <w:spacing w:val="0"/>
          <w:position w:val="0"/>
          <w:highlight w:val="none"/>
        </w:rPr>
      </w:pPr>
    </w:p>
    <w:p w14:paraId="6D8387D5">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eastAsia="宋体" w:cs="Times New Roman"/>
          <w:caps w:val="0"/>
          <w:color w:val="auto"/>
          <w:spacing w:val="0"/>
          <w:position w:val="0"/>
          <w:highlight w:val="none"/>
        </w:rPr>
        <w:t>从表5</w:t>
      </w:r>
      <w:r>
        <w:rPr>
          <w:rFonts w:hint="eastAsia" w:ascii="Times New Roman" w:hAnsi="Times New Roman" w:cs="Times New Roman"/>
          <w:caps w:val="0"/>
          <w:color w:val="auto"/>
          <w:spacing w:val="0"/>
          <w:position w:val="0"/>
          <w:highlight w:val="none"/>
          <w:lang w:val="en-US" w:eastAsia="zh-CN"/>
        </w:rPr>
        <w:t>.1-3</w:t>
      </w:r>
      <w:r>
        <w:rPr>
          <w:rFonts w:hint="default" w:ascii="Times New Roman" w:hAnsi="Times New Roman" w:eastAsia="宋体" w:cs="Times New Roman"/>
          <w:caps w:val="0"/>
          <w:color w:val="auto"/>
          <w:spacing w:val="0"/>
          <w:position w:val="0"/>
          <w:highlight w:val="none"/>
        </w:rPr>
        <w:t>可见，在单个施工设备作业情况下，施工噪声昼间在场界</w:t>
      </w:r>
      <w:r>
        <w:rPr>
          <w:rFonts w:hint="default" w:ascii="Times New Roman" w:hAnsi="Times New Roman" w:eastAsia="宋体" w:cs="Times New Roman"/>
          <w:caps w:val="0"/>
          <w:color w:val="auto"/>
          <w:spacing w:val="0"/>
          <w:position w:val="0"/>
          <w:highlight w:val="none"/>
          <w:lang w:eastAsia="zh-CN"/>
        </w:rPr>
        <w:t>20</w:t>
      </w:r>
      <w:r>
        <w:rPr>
          <w:rFonts w:hint="default" w:ascii="Times New Roman" w:hAnsi="Times New Roman" w:eastAsia="宋体" w:cs="Times New Roman"/>
          <w:caps w:val="0"/>
          <w:color w:val="auto"/>
          <w:spacing w:val="0"/>
          <w:position w:val="0"/>
          <w:highlight w:val="none"/>
        </w:rPr>
        <w:t>m处可达到相应标准限值，夜间在场界100m处可达到相应标准限值。考虑到同一阶段施工各种机械的同时运行，施工现场噪声昼间在施工场界30m处，夜间在场界200m处可达到《建筑施工厂界环境噪声排放标准》(GB12523-2011)中的限值，即昼间70dB(A)，夜间55dB(A)。</w:t>
      </w:r>
      <w:r>
        <w:rPr>
          <w:rFonts w:hint="default" w:ascii="Times New Roman" w:hAnsi="Times New Roman" w:cs="Times New Roman"/>
          <w:color w:val="auto"/>
          <w:sz w:val="24"/>
          <w:szCs w:val="24"/>
          <w:highlight w:val="none"/>
        </w:rPr>
        <w:t>根据现场调查，施工场地位于</w:t>
      </w:r>
      <w:r>
        <w:rPr>
          <w:rFonts w:hint="default" w:ascii="Times New Roman" w:hAnsi="Times New Roman" w:cs="Times New Roman"/>
          <w:color w:val="auto"/>
          <w:sz w:val="24"/>
          <w:szCs w:val="24"/>
          <w:highlight w:val="none"/>
          <w:lang w:val="en-US" w:eastAsia="zh-CN"/>
        </w:rPr>
        <w:t>沙漠腹地</w:t>
      </w:r>
      <w:r>
        <w:rPr>
          <w:rFonts w:hint="default" w:ascii="Times New Roman" w:hAnsi="Times New Roman" w:cs="Times New Roman"/>
          <w:color w:val="auto"/>
          <w:sz w:val="24"/>
          <w:szCs w:val="24"/>
          <w:highlight w:val="none"/>
        </w:rPr>
        <w:t>，周围无</w:t>
      </w:r>
      <w:r>
        <w:rPr>
          <w:rFonts w:hint="default" w:ascii="Times New Roman" w:hAnsi="Times New Roman" w:cs="Times New Roman"/>
          <w:color w:val="auto"/>
          <w:sz w:val="24"/>
          <w:szCs w:val="24"/>
          <w:highlight w:val="none"/>
          <w:lang w:eastAsia="zh-CN"/>
        </w:rPr>
        <w:t>声环境保护目标</w:t>
      </w:r>
      <w:r>
        <w:rPr>
          <w:rFonts w:hint="default" w:ascii="Times New Roman" w:hAnsi="Times New Roman" w:cs="Times New Roman"/>
          <w:color w:val="auto"/>
          <w:sz w:val="24"/>
          <w:szCs w:val="24"/>
          <w:highlight w:val="none"/>
        </w:rPr>
        <w:t>。因此施工噪声影响对象主要为施工人员，应对其采取配备耳塞等劳动卫生防护措施。在制定施工计划时尽可能避免大量高噪声设备同时施工，并避免高噪声设备夜间施工。施工期的噪声能满足</w:t>
      </w:r>
      <w:r>
        <w:rPr>
          <w:rFonts w:hint="default" w:ascii="Times New Roman" w:hAnsi="Times New Roman" w:eastAsia="宋体" w:cs="Times New Roman"/>
          <w:caps w:val="0"/>
          <w:color w:val="auto"/>
          <w:spacing w:val="0"/>
          <w:position w:val="0"/>
          <w:highlight w:val="none"/>
        </w:rPr>
        <w:t>《建筑施工厂界环境噪声排放标准》(GB12523</w:t>
      </w:r>
      <w:r>
        <w:rPr>
          <w:rFonts w:hint="default" w:ascii="Times New Roman" w:hAnsi="Times New Roman" w:eastAsia="宋体" w:cs="Times New Roman"/>
          <w:caps w:val="0"/>
          <w:color w:val="auto"/>
          <w:spacing w:val="0"/>
          <w:position w:val="0"/>
          <w:highlight w:val="none"/>
          <w:lang w:val="en-US" w:eastAsia="zh-CN"/>
        </w:rPr>
        <w:t>-</w:t>
      </w:r>
      <w:r>
        <w:rPr>
          <w:rFonts w:hint="default" w:ascii="Times New Roman" w:hAnsi="Times New Roman" w:eastAsia="宋体" w:cs="Times New Roman"/>
          <w:caps w:val="0"/>
          <w:color w:val="auto"/>
          <w:spacing w:val="0"/>
          <w:position w:val="0"/>
          <w:highlight w:val="none"/>
        </w:rPr>
        <w:t>2011)</w:t>
      </w:r>
      <w:r>
        <w:rPr>
          <w:rFonts w:hint="default" w:ascii="Times New Roman" w:hAnsi="Times New Roman" w:cs="Times New Roman"/>
          <w:color w:val="auto"/>
          <w:sz w:val="24"/>
          <w:szCs w:val="24"/>
          <w:highlight w:val="none"/>
        </w:rPr>
        <w:t>中的要求。</w:t>
      </w:r>
    </w:p>
    <w:p w14:paraId="0A8643C3">
      <w:pPr>
        <w:pStyle w:val="4"/>
        <w:bidi w:val="0"/>
        <w:rPr>
          <w:rFonts w:hint="default"/>
        </w:rPr>
      </w:pPr>
      <w:r>
        <w:rPr>
          <w:rFonts w:hint="default"/>
        </w:rPr>
        <w:t>施工期固体废物影响分析</w:t>
      </w:r>
    </w:p>
    <w:p w14:paraId="1875DF90">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在施工期产生的固体废弃物主要为废弃土石方、建筑垃圾和少量的施工人员生活垃圾。这些固体废弃物如随意堆放，会造成水土流失、污染环境、破坏景观等不良影响。本次评价要求将施工期产生的废弃土石方、建筑垃圾等集中收集后优先综合利用，不能综合利用的运往阜康市建筑垃圾填埋场处置；施工人员的生活垃圾设置垃圾箱集中收集，定期拉运至阜康市生活垃圾填埋场处置。采取以上措施后，施工期间所产生的固体废弃物对环境的影响较小。</w:t>
      </w:r>
    </w:p>
    <w:p w14:paraId="7B3CF0E6">
      <w:pPr>
        <w:pStyle w:val="4"/>
        <w:bidi w:val="0"/>
        <w:rPr>
          <w:rFonts w:hint="default"/>
        </w:rPr>
      </w:pPr>
      <w:bookmarkStart w:id="259" w:name="5.1.5施工期生态环境影响分析"/>
      <w:bookmarkEnd w:id="259"/>
      <w:r>
        <w:rPr>
          <w:rFonts w:hint="default"/>
        </w:rPr>
        <w:t>施工期生态环境影响分析</w:t>
      </w:r>
    </w:p>
    <w:p w14:paraId="4AEC9D4F">
      <w:pPr>
        <w:pStyle w:val="5"/>
        <w:bidi w:val="0"/>
        <w:rPr>
          <w:rFonts w:hint="default"/>
        </w:rPr>
      </w:pPr>
      <w:bookmarkStart w:id="260" w:name="5.1.5.1土地利用影响分析"/>
      <w:bookmarkEnd w:id="260"/>
      <w:r>
        <w:rPr>
          <w:rFonts w:hint="default"/>
          <w:lang w:val="en-US" w:eastAsia="zh-CN"/>
        </w:rPr>
        <w:t>工程占地</w:t>
      </w:r>
      <w:r>
        <w:rPr>
          <w:rFonts w:hint="default"/>
        </w:rPr>
        <w:t>影响分析</w:t>
      </w:r>
    </w:p>
    <w:p w14:paraId="19F520A2">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项目土地资源的占用分为临时性占地和永久性占地两种类型。永久性占地一经征用，其土地利用类型将发生根本性的改变，并贯穿于整个施工期和运营期，对当地土地利用结构和功能有一定影响。</w:t>
      </w:r>
    </w:p>
    <w:p w14:paraId="076AD8E6">
      <w:pPr>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（1）</w:t>
      </w:r>
      <w:r>
        <w:rPr>
          <w:rFonts w:hint="default" w:ascii="Times New Roman" w:hAnsi="Times New Roman" w:cs="Times New Roman"/>
          <w:color w:val="auto"/>
          <w:highlight w:val="none"/>
          <w:lang w:val="en-US" w:eastAsia="zh-CN"/>
        </w:rPr>
        <w:t>永久占地</w:t>
      </w:r>
    </w:p>
    <w:p w14:paraId="6673990C">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矿石开采对地形地貌的改变是永久性的，土地利用格局</w:t>
      </w:r>
      <w:r>
        <w:rPr>
          <w:rFonts w:hint="default" w:ascii="Times New Roman" w:hAnsi="Times New Roman" w:cs="Times New Roman"/>
          <w:color w:val="auto"/>
          <w:highlight w:val="none"/>
          <w:lang w:eastAsia="zh-CN"/>
        </w:rPr>
        <w:t>由</w:t>
      </w:r>
      <w:r>
        <w:rPr>
          <w:rFonts w:hint="default" w:ascii="Times New Roman" w:hAnsi="Times New Roman" w:cs="Times New Roman"/>
          <w:color w:val="auto"/>
          <w:highlight w:val="none"/>
          <w:lang w:val="en-US" w:eastAsia="zh-CN"/>
        </w:rPr>
        <w:t>天然牧草地</w:t>
      </w:r>
      <w:r>
        <w:rPr>
          <w:rFonts w:hint="default" w:ascii="Times New Roman" w:hAnsi="Times New Roman" w:cs="Times New Roman"/>
          <w:color w:val="auto"/>
          <w:highlight w:val="none"/>
        </w:rPr>
        <w:t>转化为</w:t>
      </w:r>
      <w:r>
        <w:rPr>
          <w:rFonts w:hint="default" w:ascii="Times New Roman" w:hAnsi="Times New Roman" w:cs="Times New Roman"/>
          <w:color w:val="auto"/>
          <w:highlight w:val="none"/>
          <w:lang w:val="en-US" w:eastAsia="zh-CN"/>
        </w:rPr>
        <w:t>工矿</w:t>
      </w:r>
      <w:r>
        <w:rPr>
          <w:rFonts w:hint="default" w:ascii="Times New Roman" w:hAnsi="Times New Roman" w:cs="Times New Roman"/>
          <w:color w:val="auto"/>
          <w:highlight w:val="none"/>
        </w:rPr>
        <w:t>用地，改变了区域地表覆盖层类型和性质。工程施工期在矿区修筑场地道路等建设活动时，将改变现有的土地利用方式，被占土地的地表植被破坏，使原自然生态系统所有功能完全损失，对生态系统完整性有一定影响并导致一定程度的水土流失</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建设单位在施工期应做好水土保持工作，</w:t>
      </w:r>
      <w:r>
        <w:rPr>
          <w:rFonts w:hint="default" w:ascii="Times New Roman" w:hAnsi="Times New Roman" w:cs="Times New Roman"/>
          <w:color w:val="auto"/>
          <w:highlight w:val="none"/>
        </w:rPr>
        <w:t>在经过矿区闭矿后的生态恢复工作后，</w:t>
      </w:r>
      <w:r>
        <w:rPr>
          <w:rFonts w:hint="default" w:ascii="Times New Roman" w:hAnsi="Times New Roman" w:cs="Times New Roman"/>
          <w:color w:val="auto"/>
          <w:highlight w:val="none"/>
          <w:lang w:val="en-US" w:eastAsia="zh-CN"/>
        </w:rPr>
        <w:t>对生态系统的</w:t>
      </w:r>
      <w:r>
        <w:rPr>
          <w:rFonts w:hint="default" w:ascii="Times New Roman" w:hAnsi="Times New Roman" w:cs="Times New Roman"/>
          <w:color w:val="auto"/>
          <w:highlight w:val="none"/>
        </w:rPr>
        <w:t>影响将减轻。</w:t>
      </w:r>
    </w:p>
    <w:p w14:paraId="46535A76">
      <w:pPr>
        <w:keepNext w:val="0"/>
        <w:keepLines w:val="0"/>
        <w:pageBreakBefore w:val="0"/>
        <w:widowControl w:val="0"/>
        <w:kinsoku/>
        <w:wordWrap/>
        <w:overflowPunct/>
        <w:topLinePunct w:val="0"/>
        <w:autoSpaceDE/>
        <w:autoSpaceDN/>
        <w:bidi w:val="0"/>
        <w:snapToGrid/>
        <w:spacing w:line="480" w:lineRule="exact"/>
        <w:ind w:firstLine="480" w:firstLineChars="200"/>
        <w:textAlignment w:val="auto"/>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（2）临时性占地</w:t>
      </w:r>
    </w:p>
    <w:p w14:paraId="2919916D">
      <w:pPr>
        <w:keepNext w:val="0"/>
        <w:keepLines w:val="0"/>
        <w:pageBreakBefore w:val="0"/>
        <w:widowControl w:val="0"/>
        <w:kinsoku/>
        <w:wordWrap/>
        <w:overflowPunct/>
        <w:topLinePunct w:val="0"/>
        <w:autoSpaceDE/>
        <w:autoSpaceDN/>
        <w:bidi w:val="0"/>
        <w:snapToGrid/>
        <w:spacing w:line="480" w:lineRule="exact"/>
        <w:ind w:firstLine="480" w:firstLineChars="200"/>
        <w:textAlignment w:val="auto"/>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临时性占地是工程施工过程中施工人员活动，施工机械</w:t>
      </w:r>
      <w:r>
        <w:rPr>
          <w:rFonts w:hint="default" w:ascii="Times New Roman" w:hAnsi="Times New Roman" w:cs="Times New Roman"/>
          <w:color w:val="auto"/>
          <w:sz w:val="24"/>
          <w:highlight w:val="none"/>
          <w:lang w:eastAsia="zh-CN"/>
        </w:rPr>
        <w:t>碾轧</w:t>
      </w:r>
      <w:r>
        <w:rPr>
          <w:rFonts w:hint="default" w:ascii="Times New Roman" w:hAnsi="Times New Roman" w:cs="Times New Roman"/>
          <w:color w:val="auto"/>
          <w:sz w:val="24"/>
          <w:highlight w:val="none"/>
        </w:rPr>
        <w:t>，施工材料堆放，施工料场开挖，施工临时设施建设，施工场地平整所占用的土地。其影响主要表现在</w:t>
      </w:r>
      <w:r>
        <w:rPr>
          <w:rFonts w:hint="default" w:ascii="Times New Roman" w:hAnsi="Times New Roman" w:cs="Times New Roman"/>
          <w:color w:val="auto"/>
          <w:sz w:val="24"/>
          <w:highlight w:val="none"/>
          <w:lang w:val="en-US" w:eastAsia="zh-CN"/>
        </w:rPr>
        <w:t>两</w:t>
      </w:r>
      <w:r>
        <w:rPr>
          <w:rFonts w:hint="default" w:ascii="Times New Roman" w:hAnsi="Times New Roman" w:cs="Times New Roman"/>
          <w:color w:val="auto"/>
          <w:sz w:val="24"/>
          <w:highlight w:val="none"/>
        </w:rPr>
        <w:t>个方面：一是取土或弃土、弃渣等造成对地表形态的影响；二是留下的临时设施即不利用又不拆除，影响景观的恢复，临时占地的影响性质是暂时性的，采取一定的措施和随着时间的推移，破坏的土地能够得以恢复，它未改变土地的利用形式，属可逆影响。但不采取文明施工和一定的恢复措施，对生态环境所造成的破坏，则往往需要</w:t>
      </w:r>
      <w:r>
        <w:rPr>
          <w:rFonts w:hint="default" w:ascii="Times New Roman" w:hAnsi="Times New Roman" w:cs="Times New Roman"/>
          <w:color w:val="auto"/>
          <w:sz w:val="24"/>
          <w:highlight w:val="none"/>
          <w:lang w:val="en-US" w:eastAsia="zh-CN"/>
        </w:rPr>
        <w:t>较长</w:t>
      </w:r>
      <w:r>
        <w:rPr>
          <w:rFonts w:hint="default" w:ascii="Times New Roman" w:hAnsi="Times New Roman" w:cs="Times New Roman"/>
          <w:color w:val="auto"/>
          <w:sz w:val="24"/>
          <w:highlight w:val="none"/>
        </w:rPr>
        <w:t>时间才能恢复。</w:t>
      </w:r>
    </w:p>
    <w:p w14:paraId="1756F018">
      <w:pPr>
        <w:spacing w:beforeLines="0" w:afterLines="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设置一个表土堆场，要求施工期在建设前，先将表土剥离单独堆放于表土堆场。表土堆场在堆放前，应采取先挡后弃的原则，在表土堆场设置拦挡设施，然后将表土堆放，并采取篷布覆盖，定期喷雾洒水降尘。</w:t>
      </w:r>
    </w:p>
    <w:p w14:paraId="2B401B4C">
      <w:pPr>
        <w:pStyle w:val="5"/>
        <w:bidi w:val="0"/>
        <w:rPr>
          <w:rFonts w:hint="default"/>
          <w:lang w:val="en-US" w:eastAsia="zh-CN"/>
        </w:rPr>
      </w:pPr>
      <w:r>
        <w:rPr>
          <w:rFonts w:hint="default"/>
          <w:lang w:val="en-US" w:eastAsia="zh-CN"/>
        </w:rPr>
        <w:t>工程建设对区域植被影响</w:t>
      </w:r>
    </w:p>
    <w:p w14:paraId="0BB197A6">
      <w:pPr>
        <w:numPr>
          <w:ilvl w:val="0"/>
          <w:numId w:val="0"/>
        </w:numPr>
        <w:spacing w:beforeLines="0" w:afterLines="0"/>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本项目在其建设过程中将不可避免地会直接破坏地表土层和植被，这种清除植被的活动包括建构筑物场地平整、堆场土地压占等。</w:t>
      </w:r>
      <w:r>
        <w:rPr>
          <w:rFonts w:hint="default" w:ascii="Times New Roman" w:hAnsi="Times New Roman" w:cs="Times New Roman"/>
          <w:color w:val="auto"/>
          <w:sz w:val="24"/>
          <w:szCs w:val="24"/>
          <w:highlight w:val="none"/>
          <w:lang w:val="en-US" w:eastAsia="zh-CN"/>
        </w:rPr>
        <w:t>植被的破坏将</w:t>
      </w:r>
      <w:r>
        <w:rPr>
          <w:rFonts w:hint="default" w:ascii="Times New Roman" w:hAnsi="Times New Roman" w:cs="Times New Roman"/>
          <w:color w:val="auto"/>
          <w:sz w:val="24"/>
          <w:szCs w:val="24"/>
          <w:highlight w:val="none"/>
        </w:rPr>
        <w:t>造成生物量损失，从而造成对原有生态系统的破坏</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以植被为核心的生态系统将由于生产活动会完全被清除掉，原生植被在遭到破坏后的第一个生长期内将全部消失，一次性减少了植被的面积，导致蓄水保土功能降低或丧失。施工期结束后，将开展生态恢复及治理工作，另外本项目在服务期满后，将按照《</w:t>
      </w:r>
      <w:r>
        <w:rPr>
          <w:rFonts w:hint="eastAsia" w:cs="Times New Roman"/>
          <w:color w:val="auto"/>
          <w:sz w:val="24"/>
          <w:szCs w:val="24"/>
          <w:highlight w:val="none"/>
          <w:lang w:eastAsia="zh-CN"/>
        </w:rPr>
        <w:t>新疆采虹矿业投资有限公司新疆阜康市北部沙漠天然石英砂矿（压裂用）项目</w:t>
      </w:r>
      <w:r>
        <w:rPr>
          <w:rFonts w:hint="default" w:ascii="Times New Roman" w:hAnsi="Times New Roman" w:cs="Times New Roman"/>
          <w:color w:val="auto"/>
          <w:sz w:val="24"/>
          <w:szCs w:val="24"/>
          <w:highlight w:val="none"/>
        </w:rPr>
        <w:t>矿产资源开发利用与生态保护修复方案》逐年开展生态环境恢复、治理，可以减少对矿区及周边的生态影响。</w:t>
      </w:r>
    </w:p>
    <w:p w14:paraId="1DDDBC49">
      <w:pPr>
        <w:pStyle w:val="5"/>
        <w:bidi w:val="0"/>
        <w:rPr>
          <w:rFonts w:hint="default"/>
        </w:rPr>
      </w:pPr>
      <w:bookmarkStart w:id="261" w:name="5.1.5.2土壤影响分析"/>
      <w:bookmarkEnd w:id="261"/>
      <w:r>
        <w:rPr>
          <w:rFonts w:hint="default"/>
        </w:rPr>
        <w:t>土壤影响分析</w:t>
      </w:r>
    </w:p>
    <w:p w14:paraId="7DE55734">
      <w:pPr>
        <w:numPr>
          <w:ilvl w:val="0"/>
          <w:numId w:val="36"/>
        </w:numPr>
        <w:spacing w:beforeLines="0" w:afterLines="0"/>
        <w:rPr>
          <w:rFonts w:hint="default" w:ascii="Times New Roman" w:hAnsi="Times New Roman" w:cs="Times New Roman"/>
          <w:color w:val="auto"/>
          <w:sz w:val="24"/>
          <w:szCs w:val="24"/>
          <w:highlight w:val="none"/>
        </w:rPr>
      </w:pPr>
      <w:bookmarkStart w:id="262" w:name="_Toc31758"/>
      <w:r>
        <w:rPr>
          <w:rFonts w:hint="default" w:ascii="Times New Roman" w:hAnsi="Times New Roman" w:cs="Times New Roman"/>
          <w:color w:val="auto"/>
          <w:sz w:val="24"/>
          <w:szCs w:val="24"/>
          <w:highlight w:val="none"/>
        </w:rPr>
        <w:t>土壤理化性质</w:t>
      </w:r>
      <w:bookmarkEnd w:id="262"/>
    </w:p>
    <w:p w14:paraId="6ACF0E70">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施工过程中，土石方开挖、堆放、回填及材料堆放、人工践踏、机械设备碾压等活动对土壤理化性质影响较大。</w:t>
      </w:r>
    </w:p>
    <w:p w14:paraId="1E8FFC8F">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①扰乱土壤表层，破坏土壤结构</w:t>
      </w:r>
    </w:p>
    <w:p w14:paraId="66ABF083">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土壤表层肥力集中、腐殖质含量高、水分相对优越，表层土层松软，团粒结构发达。地表开挖必定扰乱和破坏土壤表层，除开挖处受到直接的破坏外，挖出土方的堆放将直接占压开挖处附近的土地，破坏土壤表层及其结构。由于表层的团粒结构是经过较长的历史时期形成的，一旦遭到破坏，短期内难以恢复。因此，施工过程中，对土壤表层的影响较严重。</w:t>
      </w:r>
    </w:p>
    <w:p w14:paraId="4106BF7D">
      <w:pPr>
        <w:bidi w:val="0"/>
        <w:rPr>
          <w:rFonts w:hint="default" w:ascii="Times New Roman" w:hAnsi="Times New Roman" w:cs="Times New Roman"/>
          <w:color w:val="auto"/>
          <w:highlight w:val="none"/>
        </w:rPr>
      </w:pPr>
      <w:bookmarkStart w:id="263" w:name="_Toc32683"/>
      <w:r>
        <w:rPr>
          <w:rFonts w:hint="default" w:ascii="Times New Roman" w:hAnsi="Times New Roman" w:cs="Times New Roman"/>
          <w:color w:val="auto"/>
          <w:highlight w:val="none"/>
        </w:rPr>
        <w:t>②混合土壤层次，改变土体构型</w:t>
      </w:r>
      <w:bookmarkEnd w:id="263"/>
    </w:p>
    <w:p w14:paraId="0E26424A">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施工期的土石方开挖与回填，使原土壤层次混合，原土体构型破坏。土体构型的破坏，将改变土体中物质和能量的运动变化规律，使表层通气透水性变差，使亚表层保水、保肥性能降低。</w:t>
      </w:r>
    </w:p>
    <w:p w14:paraId="20354E0A">
      <w:pPr>
        <w:bidi w:val="0"/>
        <w:rPr>
          <w:rFonts w:hint="default" w:ascii="Times New Roman" w:hAnsi="Times New Roman" w:cs="Times New Roman"/>
          <w:color w:val="auto"/>
          <w:highlight w:val="none"/>
        </w:rPr>
      </w:pPr>
      <w:bookmarkStart w:id="264" w:name="_Toc13852"/>
      <w:r>
        <w:rPr>
          <w:rFonts w:hint="default" w:ascii="Times New Roman" w:hAnsi="Times New Roman" w:cs="Times New Roman"/>
          <w:color w:val="auto"/>
          <w:highlight w:val="none"/>
        </w:rPr>
        <w:t>③影响土壤紧实度</w:t>
      </w:r>
      <w:bookmarkEnd w:id="264"/>
    </w:p>
    <w:p w14:paraId="19605CCF">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施工机械碾压，尤其在坡度较大的地段，将大大改变土壤的紧实程度，与原有的上松下紧结构相比，极不利于土壤的通气、透水作用，甚至导致压实地段的地表寸草 不生。</w:t>
      </w:r>
    </w:p>
    <w:p w14:paraId="7A488168">
      <w:pPr>
        <w:numPr>
          <w:ilvl w:val="0"/>
          <w:numId w:val="36"/>
        </w:numPr>
        <w:spacing w:beforeLines="0" w:afterLines="0"/>
        <w:rPr>
          <w:rFonts w:hint="default" w:ascii="Times New Roman" w:hAnsi="Times New Roman" w:cs="Times New Roman"/>
          <w:color w:val="auto"/>
          <w:sz w:val="24"/>
          <w:szCs w:val="24"/>
          <w:highlight w:val="none"/>
        </w:rPr>
      </w:pPr>
      <w:bookmarkStart w:id="265" w:name="_Toc13023"/>
      <w:r>
        <w:rPr>
          <w:rFonts w:hint="default" w:ascii="Times New Roman" w:hAnsi="Times New Roman" w:cs="Times New Roman"/>
          <w:color w:val="auto"/>
          <w:sz w:val="24"/>
          <w:szCs w:val="24"/>
          <w:highlight w:val="none"/>
        </w:rPr>
        <w:t>土壤肥力影响</w:t>
      </w:r>
      <w:bookmarkEnd w:id="265"/>
    </w:p>
    <w:p w14:paraId="5D8199C7">
      <w:pPr>
        <w:numPr>
          <w:ilvl w:val="0"/>
          <w:numId w:val="0"/>
        </w:numPr>
        <w:spacing w:beforeLines="0" w:afterLines="0"/>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土壤中的有机质、氮、磷、钾等养分含量，均表现为表土层远高于心土层；施工期土石方的开挖与回填，将扰动甚至打乱原土体构型，使土壤肥力状况受到较大的影响。因此在土石方开挖、回填过程中，必须严格对表层土实行分层堆放和分层回填，尽量减小因工程开挖施工对土壤养分的影响。</w:t>
      </w:r>
    </w:p>
    <w:p w14:paraId="60A7206B">
      <w:pPr>
        <w:numPr>
          <w:ilvl w:val="0"/>
          <w:numId w:val="36"/>
        </w:numPr>
        <w:spacing w:beforeLines="0" w:afterLines="0"/>
        <w:rPr>
          <w:rFonts w:hint="default" w:ascii="Times New Roman" w:hAnsi="Times New Roman" w:cs="Times New Roman"/>
          <w:color w:val="auto"/>
          <w:sz w:val="24"/>
          <w:szCs w:val="24"/>
          <w:highlight w:val="none"/>
        </w:rPr>
      </w:pPr>
      <w:bookmarkStart w:id="266" w:name="_Toc28802"/>
      <w:r>
        <w:rPr>
          <w:rFonts w:hint="default" w:ascii="Times New Roman" w:hAnsi="Times New Roman" w:cs="Times New Roman"/>
          <w:color w:val="auto"/>
          <w:sz w:val="24"/>
          <w:szCs w:val="24"/>
          <w:highlight w:val="none"/>
        </w:rPr>
        <w:t>土壤污染影响</w:t>
      </w:r>
      <w:bookmarkEnd w:id="266"/>
    </w:p>
    <w:p w14:paraId="0BFF6B38">
      <w:pPr>
        <w:numPr>
          <w:ilvl w:val="0"/>
          <w:numId w:val="0"/>
        </w:numPr>
        <w:spacing w:beforeLines="0" w:afterLines="0"/>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施工过程中将产生建筑垃圾、生活垃圾等固体废物。这些固体垃圾含有难分解的物质，如不妥善管理，回填入土，将影响土壤质量。另外施工过程中，各种设备的燃油滴漏也可能对施工区域土壤造成一定的影响。随着施工结束，通过采取一定的恢复措施，土壤质量将逐渐得到恢复。</w:t>
      </w:r>
    </w:p>
    <w:p w14:paraId="58072F0C">
      <w:pPr>
        <w:pStyle w:val="5"/>
        <w:bidi w:val="0"/>
        <w:rPr>
          <w:rFonts w:hint="default"/>
        </w:rPr>
      </w:pPr>
      <w:bookmarkStart w:id="267" w:name="5.1.5.4野生动物影响分析"/>
      <w:bookmarkEnd w:id="267"/>
      <w:bookmarkStart w:id="268" w:name="5.1.5.3植被影响分析"/>
      <w:bookmarkEnd w:id="268"/>
      <w:bookmarkStart w:id="269" w:name="_Toc4491"/>
      <w:r>
        <w:rPr>
          <w:rFonts w:hint="default"/>
        </w:rPr>
        <w:t>野生动物影响分析</w:t>
      </w:r>
      <w:bookmarkEnd w:id="269"/>
    </w:p>
    <w:p w14:paraId="096F042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根据本工程的特点，各种施工机械的噪声及施工人员的活动干扰，都将使原来栖息在工程区附近的各种野生动物受到惊吓而迁移别处安生。</w:t>
      </w:r>
      <w:r>
        <w:rPr>
          <w:rFonts w:hint="eastAsia"/>
          <w:color w:val="auto"/>
          <w:highlight w:val="none"/>
          <w:lang w:val="en-US" w:eastAsia="zh-CN"/>
        </w:rPr>
        <w:t>在评价区域内未发现大型野生动植物种群，也不存在大的野生动物栖息地以及迁徙路线。项目区野生动物鸟类有麻雀、乌鸦、苍鹰，啮齿类动物有2-3种鼠类，根据《国家重点保护野生动物名录》（2021年），苍鹰为国家Ⅱ级保护物种。</w:t>
      </w:r>
      <w:r>
        <w:rPr>
          <w:rFonts w:hint="default" w:ascii="Times New Roman" w:hAnsi="Times New Roman" w:cs="Times New Roman"/>
          <w:color w:val="auto"/>
          <w:sz w:val="24"/>
          <w:szCs w:val="24"/>
          <w:highlight w:val="none"/>
        </w:rPr>
        <w:t>施工过程中应</w:t>
      </w:r>
      <w:r>
        <w:rPr>
          <w:rFonts w:hint="default" w:ascii="Times New Roman" w:hAnsi="Times New Roman" w:cs="Times New Roman"/>
          <w:color w:val="auto"/>
          <w:sz w:val="24"/>
          <w:szCs w:val="24"/>
          <w:highlight w:val="none"/>
          <w:lang w:val="en-US" w:eastAsia="zh-CN"/>
        </w:rPr>
        <w:t>采用低噪声设备，施工区域设置围挡，</w:t>
      </w:r>
      <w:r>
        <w:rPr>
          <w:rFonts w:hint="default" w:ascii="Times New Roman" w:hAnsi="Times New Roman" w:cs="Times New Roman"/>
          <w:color w:val="auto"/>
          <w:sz w:val="24"/>
          <w:szCs w:val="24"/>
          <w:highlight w:val="none"/>
        </w:rPr>
        <w:t>对施工人员进行保护野生动物的宣传教育。施工期结束后施工人员撤离，对野生动物的扰动会逐渐减轻，因此对于野生动物的栖息地来说不会产生大的影响，不会导致野生动物因丧失栖息地而灭绝。</w:t>
      </w:r>
    </w:p>
    <w:p w14:paraId="0B475711">
      <w:pP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根据《中华人民共和国野生动物保护法》第八条和第三十一条的规定，严格规范施工队伍的行为，禁止非法猎捕和破坏国家野生动物及其生存环境。</w:t>
      </w:r>
    </w:p>
    <w:p w14:paraId="606FF55E">
      <w:pP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加强生态保护宣传教育工作，施工前后，应加强项目矿区生态环境保护的宣传教育工作，在工地及周边，设立与环境保护有关的科普性宣传牌，包括生态保护的科普知识、相关法规、项目所采取的生态保护措施及意义等。</w:t>
      </w:r>
    </w:p>
    <w:p w14:paraId="240BBE58">
      <w:pP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②建议施工单位与林业部门配合在施工营地内张贴项目区野生保护动植物宣传画及材料，禁止施工人员随意猎捕野生动物。</w:t>
      </w:r>
    </w:p>
    <w:p w14:paraId="2D551729">
      <w:pP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③施工单位和人员要严格遵守国家法令，坚决禁止捕猎任何野生动物；夜间</w:t>
      </w:r>
      <w:r>
        <w:rPr>
          <w:rFonts w:hint="eastAsia" w:ascii="Times New Roman" w:hAnsi="Times New Roman" w:eastAsia="宋体" w:cs="Times New Roman"/>
          <w:color w:val="auto"/>
          <w:sz w:val="24"/>
          <w:szCs w:val="24"/>
          <w:highlight w:val="none"/>
          <w:lang w:eastAsia="zh-CN"/>
        </w:rPr>
        <w:t>禁止</w:t>
      </w:r>
      <w:r>
        <w:rPr>
          <w:rFonts w:hint="default" w:ascii="Times New Roman" w:hAnsi="Times New Roman" w:eastAsia="宋体" w:cs="Times New Roman"/>
          <w:color w:val="auto"/>
          <w:sz w:val="24"/>
          <w:szCs w:val="24"/>
          <w:highlight w:val="none"/>
        </w:rPr>
        <w:t>作业，避免灯光、噪声对夜间动物活动的惊扰。野生鸟类和兽类大多是晨、昏（早晨、黄昏）或夜间外出觅食，正午是鸟类休息时间，为了减少工程施工噪声对野生动物的惊扰，应做好施工方式、机械数量、施工时间的计划，并力求避免在晨昏和正午施工等。</w:t>
      </w:r>
    </w:p>
    <w:p w14:paraId="6610718D">
      <w:pP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④为了加强矿区及周边生态环境的保护及实施力度，建设单位与施工单位协商制定相应的环境保护奖惩制度，明确环保职责，提高施工主体的环保责任感。</w:t>
      </w:r>
    </w:p>
    <w:p w14:paraId="40115338">
      <w:pPr>
        <w:pStyle w:val="5"/>
        <w:bidi w:val="0"/>
        <w:rPr>
          <w:rFonts w:hint="default"/>
        </w:rPr>
      </w:pPr>
      <w:bookmarkStart w:id="270" w:name="5.1.5.5水土流失影响分析"/>
      <w:bookmarkEnd w:id="270"/>
      <w:bookmarkStart w:id="271" w:name="_Toc24039"/>
      <w:r>
        <w:rPr>
          <w:rFonts w:hint="default"/>
        </w:rPr>
        <w:t>水土流失影响分析</w:t>
      </w:r>
      <w:bookmarkEnd w:id="271"/>
    </w:p>
    <w:p w14:paraId="4BC953BA">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本工程</w:t>
      </w:r>
      <w:r>
        <w:rPr>
          <w:rFonts w:hint="default" w:ascii="Times New Roman" w:hAnsi="Times New Roman" w:cs="Times New Roman"/>
          <w:color w:val="auto"/>
          <w:highlight w:val="none"/>
        </w:rPr>
        <w:t>建设过程中，由于施工人员践踏、机械作业等，将对地表植被及土壤结构造成破坏，形成一定面积的裸地，遇到雨天气将会造成水土流失，开挖的土石方将占用一定的土地，对占地范围产生扰动、植被破坏，开挖土石方堆存易发生水土流失。工程建设新增水土流失产生于以下方面：</w:t>
      </w:r>
    </w:p>
    <w:p w14:paraId="40EF716B">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①</w:t>
      </w:r>
      <w:r>
        <w:rPr>
          <w:rFonts w:hint="default" w:ascii="Times New Roman" w:hAnsi="Times New Roman" w:cs="Times New Roman"/>
          <w:color w:val="auto"/>
          <w:highlight w:val="none"/>
          <w:lang w:eastAsia="zh-CN"/>
        </w:rPr>
        <w:t>本工程</w:t>
      </w:r>
      <w:r>
        <w:rPr>
          <w:rFonts w:hint="default" w:ascii="Times New Roman" w:hAnsi="Times New Roman" w:cs="Times New Roman"/>
          <w:color w:val="auto"/>
          <w:highlight w:val="none"/>
        </w:rPr>
        <w:t>实施期间，由于场地开拓及平整地基土层的填挖、施工人员临时生活区等，均有可能造成原生地表植被的破坏，引发和加剧水土流失。</w:t>
      </w:r>
    </w:p>
    <w:p w14:paraId="49D0D6FD">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②弃渣堆放被风蚀的可能性较大，若堆放或保护措施不当，将会在大风作用下产生水土流失。</w:t>
      </w:r>
    </w:p>
    <w:p w14:paraId="460EF6D0">
      <w:pPr>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从</w:t>
      </w:r>
      <w:r>
        <w:rPr>
          <w:rFonts w:hint="default" w:ascii="Times New Roman" w:hAnsi="Times New Roman" w:cs="Times New Roman"/>
          <w:color w:val="auto"/>
          <w:highlight w:val="none"/>
          <w:lang w:eastAsia="zh-CN"/>
        </w:rPr>
        <w:t>本工程</w:t>
      </w:r>
      <w:r>
        <w:rPr>
          <w:rFonts w:hint="default" w:ascii="Times New Roman" w:hAnsi="Times New Roman" w:cs="Times New Roman"/>
          <w:color w:val="auto"/>
          <w:highlight w:val="none"/>
        </w:rPr>
        <w:t>建设性质来看，项目及其配套设施建设将扰动原地貌，改变地形地貌，破坏植被，工程建设对拟建项目占地范围内的土地产生扰动，项目占地面积较小，影响范围也有限，对项目区周边水土流失的影响不大</w:t>
      </w:r>
      <w:r>
        <w:rPr>
          <w:rFonts w:hint="default" w:ascii="Times New Roman" w:hAnsi="Times New Roman" w:cs="Times New Roman"/>
          <w:color w:val="auto"/>
          <w:highlight w:val="none"/>
          <w:lang w:eastAsia="zh-CN"/>
        </w:rPr>
        <w:t>。</w:t>
      </w:r>
    </w:p>
    <w:p w14:paraId="5ED01A46">
      <w:pPr>
        <w:pStyle w:val="3"/>
        <w:bidi w:val="0"/>
        <w:rPr>
          <w:rFonts w:hint="default"/>
        </w:rPr>
      </w:pPr>
      <w:bookmarkStart w:id="272" w:name="bookmark30"/>
      <w:bookmarkEnd w:id="272"/>
      <w:bookmarkStart w:id="273" w:name="5.2运营期环境影响预测与评价"/>
      <w:bookmarkEnd w:id="273"/>
      <w:bookmarkStart w:id="274" w:name="_Toc18512"/>
      <w:bookmarkStart w:id="275" w:name="_Toc29352"/>
      <w:r>
        <w:rPr>
          <w:rFonts w:hint="default"/>
        </w:rPr>
        <w:t>运营期环境影响预测与评价</w:t>
      </w:r>
      <w:bookmarkEnd w:id="274"/>
      <w:bookmarkEnd w:id="275"/>
    </w:p>
    <w:p w14:paraId="70B93CC7">
      <w:pPr>
        <w:pStyle w:val="4"/>
        <w:bidi w:val="0"/>
        <w:rPr>
          <w:rFonts w:hint="default"/>
        </w:rPr>
      </w:pPr>
      <w:bookmarkStart w:id="276" w:name="5.2.1大气环境影响预测与评价"/>
      <w:bookmarkEnd w:id="276"/>
      <w:r>
        <w:rPr>
          <w:rFonts w:hint="default"/>
        </w:rPr>
        <w:t>大气环境影响预测与评价</w:t>
      </w:r>
    </w:p>
    <w:p w14:paraId="11B68E99">
      <w:pPr>
        <w:pStyle w:val="5"/>
        <w:bidi w:val="0"/>
        <w:rPr>
          <w:rFonts w:hint="default"/>
        </w:rPr>
      </w:pPr>
      <w:bookmarkStart w:id="277" w:name="5.2.1.1气象数据"/>
      <w:bookmarkEnd w:id="277"/>
      <w:bookmarkStart w:id="278" w:name="_Toc23900"/>
      <w:r>
        <w:rPr>
          <w:rFonts w:hint="default"/>
        </w:rPr>
        <w:t>气象数据</w:t>
      </w:r>
      <w:bookmarkEnd w:id="278"/>
    </w:p>
    <w:p w14:paraId="64277045">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本项目厂址最近的气象站为阜康市气象局（E87°58'51.6″</w:t>
      </w:r>
      <w:r>
        <w:rPr>
          <w:rFonts w:hint="eastAsia"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N44°10'01.4″），海拔540m)，距离本项目厂址</w:t>
      </w:r>
      <w:r>
        <w:rPr>
          <w:rFonts w:hint="default" w:ascii="Times New Roman" w:hAnsi="Times New Roman" w:cs="Times New Roman"/>
          <w:color w:val="auto"/>
          <w:sz w:val="24"/>
          <w:szCs w:val="24"/>
          <w:highlight w:val="none"/>
          <w:lang w:val="en-US" w:eastAsia="zh-CN"/>
        </w:rPr>
        <w:t>6</w:t>
      </w:r>
      <w:r>
        <w:rPr>
          <w:rFonts w:hint="default" w:ascii="Times New Roman" w:hAnsi="Times New Roman" w:cs="Times New Roman"/>
          <w:color w:val="auto"/>
          <w:sz w:val="24"/>
          <w:szCs w:val="24"/>
          <w:highlight w:val="none"/>
        </w:rPr>
        <w:t>5km。本报告采用的地面历史气象资料均来源于该气象站，据调查，该气象站周围地理环境与气候条件与本项目周边基本一致，且气象站距离本项目较近，故该气象站气象资料具有较好的适用性。</w:t>
      </w:r>
    </w:p>
    <w:p w14:paraId="03085C66">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阜康市近20年年平均风速为1.8m/s，最大风速为23.8m/s；年平均气温为7.4°C，极端最低气温为-34.4°C；年降水量为237.6mm，最大降水量 64mm；年日照时数2786小时。近20年主要气候统计资料见表5.2-1。</w:t>
      </w:r>
    </w:p>
    <w:p w14:paraId="64A94EBA">
      <w:pPr>
        <w:pStyle w:val="45"/>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表5.2-1</w:t>
      </w:r>
      <w:r>
        <w:rPr>
          <w:rFonts w:hint="default" w:ascii="Times New Roman" w:hAnsi="Times New Roman" w:cs="Times New Roman"/>
          <w:color w:val="auto"/>
          <w:sz w:val="24"/>
          <w:szCs w:val="24"/>
          <w:highlight w:val="none"/>
        </w:rPr>
        <w:tab/>
      </w:r>
      <w:r>
        <w:rPr>
          <w:rFonts w:hint="default" w:ascii="Times New Roman" w:hAnsi="Times New Roman" w:cs="Times New Roman"/>
          <w:color w:val="auto"/>
          <w:sz w:val="24"/>
          <w:szCs w:val="24"/>
          <w:highlight w:val="none"/>
        </w:rPr>
        <w:t>气象数据统计表</w:t>
      </w:r>
    </w:p>
    <w:tbl>
      <w:tblPr>
        <w:tblStyle w:val="31"/>
        <w:tblW w:w="0" w:type="auto"/>
        <w:tblInd w:w="2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3"/>
        <w:gridCol w:w="2293"/>
        <w:gridCol w:w="2294"/>
        <w:gridCol w:w="2294"/>
      </w:tblGrid>
      <w:tr w14:paraId="4762D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93" w:type="dxa"/>
            <w:tcBorders>
              <w:top w:val="single" w:color="auto" w:sz="4" w:space="0"/>
              <w:left w:val="single" w:color="auto" w:sz="4" w:space="0"/>
              <w:bottom w:val="single" w:color="auto" w:sz="4" w:space="0"/>
              <w:right w:val="single" w:color="auto" w:sz="4" w:space="0"/>
              <w:tl2br w:val="nil"/>
              <w:tr2bl w:val="nil"/>
            </w:tcBorders>
            <w:noWrap w:val="0"/>
            <w:vAlign w:val="top"/>
          </w:tcPr>
          <w:p w14:paraId="6F61D73C">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气象要素</w:t>
            </w:r>
          </w:p>
        </w:tc>
        <w:tc>
          <w:tcPr>
            <w:tcW w:w="2293" w:type="dxa"/>
            <w:tcBorders>
              <w:top w:val="single" w:color="auto" w:sz="4" w:space="0"/>
              <w:left w:val="single" w:color="auto" w:sz="4" w:space="0"/>
              <w:bottom w:val="single" w:color="auto" w:sz="4" w:space="0"/>
              <w:right w:val="single" w:color="auto" w:sz="4" w:space="0"/>
              <w:tl2br w:val="nil"/>
              <w:tr2bl w:val="nil"/>
            </w:tcBorders>
            <w:noWrap w:val="0"/>
            <w:vAlign w:val="top"/>
          </w:tcPr>
          <w:p w14:paraId="32208163">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数据</w:t>
            </w:r>
          </w:p>
        </w:tc>
        <w:tc>
          <w:tcPr>
            <w:tcW w:w="2294" w:type="dxa"/>
            <w:tcBorders>
              <w:top w:val="single" w:color="auto" w:sz="4" w:space="0"/>
              <w:left w:val="single" w:color="auto" w:sz="4" w:space="0"/>
              <w:bottom w:val="single" w:color="auto" w:sz="4" w:space="0"/>
              <w:right w:val="single" w:color="auto" w:sz="4" w:space="0"/>
              <w:tl2br w:val="nil"/>
              <w:tr2bl w:val="nil"/>
            </w:tcBorders>
            <w:noWrap w:val="0"/>
            <w:vAlign w:val="top"/>
          </w:tcPr>
          <w:p w14:paraId="39AE921A">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气象要素</w:t>
            </w:r>
          </w:p>
        </w:tc>
        <w:tc>
          <w:tcPr>
            <w:tcW w:w="2294" w:type="dxa"/>
            <w:tcBorders>
              <w:top w:val="single" w:color="auto" w:sz="4" w:space="0"/>
              <w:left w:val="single" w:color="auto" w:sz="4" w:space="0"/>
              <w:bottom w:val="single" w:color="auto" w:sz="4" w:space="0"/>
              <w:right w:val="single" w:color="auto" w:sz="4" w:space="0"/>
              <w:tl2br w:val="nil"/>
              <w:tr2bl w:val="nil"/>
            </w:tcBorders>
            <w:noWrap w:val="0"/>
            <w:vAlign w:val="top"/>
          </w:tcPr>
          <w:p w14:paraId="392672C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数据</w:t>
            </w:r>
          </w:p>
        </w:tc>
      </w:tr>
      <w:tr w14:paraId="3CC25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93" w:type="dxa"/>
            <w:tcBorders>
              <w:top w:val="single" w:color="auto" w:sz="4" w:space="0"/>
              <w:left w:val="single" w:color="auto" w:sz="4" w:space="0"/>
              <w:bottom w:val="single" w:color="auto" w:sz="4" w:space="0"/>
              <w:right w:val="single" w:color="auto" w:sz="4" w:space="0"/>
              <w:tl2br w:val="nil"/>
              <w:tr2bl w:val="nil"/>
            </w:tcBorders>
            <w:noWrap w:val="0"/>
            <w:vAlign w:val="top"/>
          </w:tcPr>
          <w:p w14:paraId="73179E2E">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平均气温</w:t>
            </w:r>
          </w:p>
        </w:tc>
        <w:tc>
          <w:tcPr>
            <w:tcW w:w="2293" w:type="dxa"/>
            <w:tcBorders>
              <w:top w:val="single" w:color="auto" w:sz="4" w:space="0"/>
              <w:left w:val="single" w:color="auto" w:sz="4" w:space="0"/>
              <w:bottom w:val="single" w:color="auto" w:sz="4" w:space="0"/>
              <w:right w:val="single" w:color="auto" w:sz="4" w:space="0"/>
              <w:tl2br w:val="nil"/>
              <w:tr2bl w:val="nil"/>
            </w:tcBorders>
            <w:noWrap w:val="0"/>
            <w:vAlign w:val="top"/>
          </w:tcPr>
          <w:p w14:paraId="279C9F98">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7.4℃</w:t>
            </w:r>
          </w:p>
        </w:tc>
        <w:tc>
          <w:tcPr>
            <w:tcW w:w="2294" w:type="dxa"/>
            <w:tcBorders>
              <w:top w:val="single" w:color="auto" w:sz="4" w:space="0"/>
              <w:left w:val="single" w:color="auto" w:sz="4" w:space="0"/>
              <w:bottom w:val="single" w:color="auto" w:sz="4" w:space="0"/>
              <w:right w:val="single" w:color="auto" w:sz="4" w:space="0"/>
              <w:tl2br w:val="nil"/>
              <w:tr2bl w:val="nil"/>
            </w:tcBorders>
            <w:noWrap w:val="0"/>
            <w:vAlign w:val="top"/>
          </w:tcPr>
          <w:p w14:paraId="6C4A83BB">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年平均风速</w:t>
            </w:r>
          </w:p>
        </w:tc>
        <w:tc>
          <w:tcPr>
            <w:tcW w:w="2294" w:type="dxa"/>
            <w:tcBorders>
              <w:top w:val="single" w:color="auto" w:sz="4" w:space="0"/>
              <w:left w:val="single" w:color="auto" w:sz="4" w:space="0"/>
              <w:bottom w:val="single" w:color="auto" w:sz="4" w:space="0"/>
              <w:right w:val="single" w:color="auto" w:sz="4" w:space="0"/>
              <w:tl2br w:val="nil"/>
              <w:tr2bl w:val="nil"/>
            </w:tcBorders>
            <w:noWrap w:val="0"/>
            <w:vAlign w:val="top"/>
          </w:tcPr>
          <w:p w14:paraId="62069BC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1.8m/s</w:t>
            </w:r>
          </w:p>
        </w:tc>
      </w:tr>
      <w:tr w14:paraId="39F52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93" w:type="dxa"/>
            <w:tcBorders>
              <w:top w:val="single" w:color="auto" w:sz="4" w:space="0"/>
              <w:left w:val="single" w:color="auto" w:sz="4" w:space="0"/>
              <w:bottom w:val="single" w:color="auto" w:sz="4" w:space="0"/>
              <w:right w:val="single" w:color="auto" w:sz="4" w:space="0"/>
              <w:tl2br w:val="nil"/>
              <w:tr2bl w:val="nil"/>
            </w:tcBorders>
            <w:noWrap w:val="0"/>
            <w:vAlign w:val="top"/>
          </w:tcPr>
          <w:p w14:paraId="3ED700CB">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历年极端最高气温</w:t>
            </w:r>
          </w:p>
        </w:tc>
        <w:tc>
          <w:tcPr>
            <w:tcW w:w="2293" w:type="dxa"/>
            <w:tcBorders>
              <w:top w:val="single" w:color="auto" w:sz="4" w:space="0"/>
              <w:left w:val="single" w:color="auto" w:sz="4" w:space="0"/>
              <w:bottom w:val="single" w:color="auto" w:sz="4" w:space="0"/>
              <w:right w:val="single" w:color="auto" w:sz="4" w:space="0"/>
              <w:tl2br w:val="nil"/>
              <w:tr2bl w:val="nil"/>
            </w:tcBorders>
            <w:noWrap w:val="0"/>
            <w:vAlign w:val="top"/>
          </w:tcPr>
          <w:p w14:paraId="7C522861">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41.5℃</w:t>
            </w:r>
          </w:p>
        </w:tc>
        <w:tc>
          <w:tcPr>
            <w:tcW w:w="2294" w:type="dxa"/>
            <w:tcBorders>
              <w:top w:val="single" w:color="auto" w:sz="4" w:space="0"/>
              <w:left w:val="single" w:color="auto" w:sz="4" w:space="0"/>
              <w:bottom w:val="single" w:color="auto" w:sz="4" w:space="0"/>
              <w:right w:val="single" w:color="auto" w:sz="4" w:space="0"/>
              <w:tl2br w:val="nil"/>
              <w:tr2bl w:val="nil"/>
            </w:tcBorders>
            <w:noWrap w:val="0"/>
            <w:vAlign w:val="top"/>
          </w:tcPr>
          <w:p w14:paraId="0604DE6D">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年平均降水量</w:t>
            </w:r>
          </w:p>
        </w:tc>
        <w:tc>
          <w:tcPr>
            <w:tcW w:w="2294" w:type="dxa"/>
            <w:tcBorders>
              <w:top w:val="single" w:color="auto" w:sz="4" w:space="0"/>
              <w:left w:val="single" w:color="auto" w:sz="4" w:space="0"/>
              <w:bottom w:val="single" w:color="auto" w:sz="4" w:space="0"/>
              <w:right w:val="single" w:color="auto" w:sz="4" w:space="0"/>
              <w:tl2br w:val="nil"/>
              <w:tr2bl w:val="nil"/>
            </w:tcBorders>
            <w:noWrap w:val="0"/>
            <w:vAlign w:val="top"/>
          </w:tcPr>
          <w:p w14:paraId="6647DAE7">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237.6mm</w:t>
            </w:r>
          </w:p>
        </w:tc>
      </w:tr>
      <w:tr w14:paraId="4F5F9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93" w:type="dxa"/>
            <w:tcBorders>
              <w:top w:val="single" w:color="auto" w:sz="4" w:space="0"/>
              <w:left w:val="single" w:color="auto" w:sz="4" w:space="0"/>
              <w:bottom w:val="single" w:color="auto" w:sz="4" w:space="0"/>
              <w:right w:val="single" w:color="auto" w:sz="4" w:space="0"/>
              <w:tl2br w:val="nil"/>
              <w:tr2bl w:val="nil"/>
            </w:tcBorders>
            <w:noWrap w:val="0"/>
            <w:vAlign w:val="top"/>
          </w:tcPr>
          <w:p w14:paraId="742EB325">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历年极端最低气温</w:t>
            </w:r>
          </w:p>
        </w:tc>
        <w:tc>
          <w:tcPr>
            <w:tcW w:w="2293" w:type="dxa"/>
            <w:tcBorders>
              <w:top w:val="single" w:color="auto" w:sz="4" w:space="0"/>
              <w:left w:val="single" w:color="auto" w:sz="4" w:space="0"/>
              <w:bottom w:val="single" w:color="auto" w:sz="4" w:space="0"/>
              <w:right w:val="single" w:color="auto" w:sz="4" w:space="0"/>
              <w:tl2br w:val="nil"/>
              <w:tr2bl w:val="nil"/>
            </w:tcBorders>
            <w:noWrap w:val="0"/>
            <w:vAlign w:val="top"/>
          </w:tcPr>
          <w:p w14:paraId="271947D8">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-34.4℃</w:t>
            </w:r>
          </w:p>
        </w:tc>
        <w:tc>
          <w:tcPr>
            <w:tcW w:w="2294" w:type="dxa"/>
            <w:tcBorders>
              <w:top w:val="single" w:color="auto" w:sz="4" w:space="0"/>
              <w:left w:val="single" w:color="auto" w:sz="4" w:space="0"/>
              <w:bottom w:val="single" w:color="auto" w:sz="4" w:space="0"/>
              <w:right w:val="single" w:color="auto" w:sz="4" w:space="0"/>
              <w:tl2br w:val="nil"/>
              <w:tr2bl w:val="nil"/>
            </w:tcBorders>
            <w:noWrap w:val="0"/>
            <w:vAlign w:val="top"/>
          </w:tcPr>
          <w:p w14:paraId="52DA7AA3">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日最大降水量</w:t>
            </w:r>
          </w:p>
        </w:tc>
        <w:tc>
          <w:tcPr>
            <w:tcW w:w="2294" w:type="dxa"/>
            <w:tcBorders>
              <w:top w:val="single" w:color="auto" w:sz="4" w:space="0"/>
              <w:left w:val="single" w:color="auto" w:sz="4" w:space="0"/>
              <w:bottom w:val="single" w:color="auto" w:sz="4" w:space="0"/>
              <w:right w:val="single" w:color="auto" w:sz="4" w:space="0"/>
              <w:tl2br w:val="nil"/>
              <w:tr2bl w:val="nil"/>
            </w:tcBorders>
            <w:noWrap w:val="0"/>
            <w:vAlign w:val="top"/>
          </w:tcPr>
          <w:p w14:paraId="31E16D55">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64mm</w:t>
            </w:r>
          </w:p>
        </w:tc>
      </w:tr>
      <w:tr w14:paraId="51E39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93" w:type="dxa"/>
            <w:tcBorders>
              <w:top w:val="single" w:color="auto" w:sz="4" w:space="0"/>
              <w:left w:val="single" w:color="auto" w:sz="4" w:space="0"/>
              <w:bottom w:val="single" w:color="auto" w:sz="4" w:space="0"/>
              <w:right w:val="single" w:color="auto" w:sz="4" w:space="0"/>
              <w:tl2br w:val="nil"/>
              <w:tr2bl w:val="nil"/>
            </w:tcBorders>
            <w:noWrap w:val="0"/>
            <w:vAlign w:val="top"/>
          </w:tcPr>
          <w:p w14:paraId="1027E74C">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最热月平均气温</w:t>
            </w:r>
          </w:p>
        </w:tc>
        <w:tc>
          <w:tcPr>
            <w:tcW w:w="2293" w:type="dxa"/>
            <w:tcBorders>
              <w:top w:val="single" w:color="auto" w:sz="4" w:space="0"/>
              <w:left w:val="single" w:color="auto" w:sz="4" w:space="0"/>
              <w:bottom w:val="single" w:color="auto" w:sz="4" w:space="0"/>
              <w:right w:val="single" w:color="auto" w:sz="4" w:space="0"/>
              <w:tl2br w:val="nil"/>
              <w:tr2bl w:val="nil"/>
            </w:tcBorders>
            <w:noWrap w:val="0"/>
            <w:vAlign w:val="top"/>
          </w:tcPr>
          <w:p w14:paraId="1880D7CB">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25.3℃</w:t>
            </w:r>
          </w:p>
        </w:tc>
        <w:tc>
          <w:tcPr>
            <w:tcW w:w="2294" w:type="dxa"/>
            <w:tcBorders>
              <w:top w:val="single" w:color="auto" w:sz="4" w:space="0"/>
              <w:left w:val="single" w:color="auto" w:sz="4" w:space="0"/>
              <w:bottom w:val="single" w:color="auto" w:sz="4" w:space="0"/>
              <w:right w:val="single" w:color="auto" w:sz="4" w:space="0"/>
              <w:tl2br w:val="nil"/>
              <w:tr2bl w:val="nil"/>
            </w:tcBorders>
            <w:noWrap w:val="0"/>
            <w:vAlign w:val="top"/>
          </w:tcPr>
          <w:p w14:paraId="74F69B84">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年均相对湿度</w:t>
            </w:r>
          </w:p>
        </w:tc>
        <w:tc>
          <w:tcPr>
            <w:tcW w:w="2294" w:type="dxa"/>
            <w:tcBorders>
              <w:top w:val="single" w:color="auto" w:sz="4" w:space="0"/>
              <w:left w:val="single" w:color="auto" w:sz="4" w:space="0"/>
              <w:bottom w:val="single" w:color="auto" w:sz="4" w:space="0"/>
              <w:right w:val="single" w:color="auto" w:sz="4" w:space="0"/>
              <w:tl2br w:val="nil"/>
              <w:tr2bl w:val="nil"/>
            </w:tcBorders>
            <w:noWrap w:val="0"/>
            <w:vAlign w:val="top"/>
          </w:tcPr>
          <w:p w14:paraId="1C55F3C7">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59%</w:t>
            </w:r>
          </w:p>
        </w:tc>
      </w:tr>
      <w:tr w14:paraId="4839F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93" w:type="dxa"/>
            <w:tcBorders>
              <w:top w:val="single" w:color="auto" w:sz="4" w:space="0"/>
              <w:left w:val="single" w:color="auto" w:sz="4" w:space="0"/>
              <w:bottom w:val="single" w:color="auto" w:sz="4" w:space="0"/>
              <w:right w:val="single" w:color="auto" w:sz="4" w:space="0"/>
              <w:tl2br w:val="nil"/>
              <w:tr2bl w:val="nil"/>
            </w:tcBorders>
            <w:noWrap w:val="0"/>
            <w:vAlign w:val="top"/>
          </w:tcPr>
          <w:p w14:paraId="5BE07555">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最冷月平均气温</w:t>
            </w:r>
          </w:p>
        </w:tc>
        <w:tc>
          <w:tcPr>
            <w:tcW w:w="2293" w:type="dxa"/>
            <w:tcBorders>
              <w:top w:val="single" w:color="auto" w:sz="4" w:space="0"/>
              <w:left w:val="single" w:color="auto" w:sz="4" w:space="0"/>
              <w:bottom w:val="single" w:color="auto" w:sz="4" w:space="0"/>
              <w:right w:val="single" w:color="auto" w:sz="4" w:space="0"/>
              <w:tl2br w:val="nil"/>
              <w:tr2bl w:val="nil"/>
            </w:tcBorders>
            <w:noWrap w:val="0"/>
            <w:vAlign w:val="top"/>
          </w:tcPr>
          <w:p w14:paraId="5001D63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-14.4℃</w:t>
            </w:r>
          </w:p>
        </w:tc>
        <w:tc>
          <w:tcPr>
            <w:tcW w:w="2294" w:type="dxa"/>
            <w:tcBorders>
              <w:top w:val="single" w:color="auto" w:sz="4" w:space="0"/>
              <w:left w:val="single" w:color="auto" w:sz="4" w:space="0"/>
              <w:bottom w:val="single" w:color="auto" w:sz="4" w:space="0"/>
              <w:right w:val="single" w:color="auto" w:sz="4" w:space="0"/>
              <w:tl2br w:val="nil"/>
              <w:tr2bl w:val="nil"/>
            </w:tcBorders>
            <w:noWrap w:val="0"/>
            <w:vAlign w:val="top"/>
          </w:tcPr>
          <w:p w14:paraId="11A7A96D">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年平均大气压</w:t>
            </w:r>
          </w:p>
        </w:tc>
        <w:tc>
          <w:tcPr>
            <w:tcW w:w="2294" w:type="dxa"/>
            <w:tcBorders>
              <w:top w:val="single" w:color="auto" w:sz="4" w:space="0"/>
              <w:left w:val="single" w:color="auto" w:sz="4" w:space="0"/>
              <w:bottom w:val="single" w:color="auto" w:sz="4" w:space="0"/>
              <w:right w:val="single" w:color="auto" w:sz="4" w:space="0"/>
              <w:tl2br w:val="nil"/>
              <w:tr2bl w:val="nil"/>
            </w:tcBorders>
            <w:noWrap w:val="0"/>
            <w:vAlign w:val="top"/>
          </w:tcPr>
          <w:p w14:paraId="23C39BD6">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956.5hPa</w:t>
            </w:r>
          </w:p>
        </w:tc>
      </w:tr>
      <w:tr w14:paraId="24202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93" w:type="dxa"/>
            <w:tcBorders>
              <w:top w:val="single" w:color="auto" w:sz="4" w:space="0"/>
              <w:left w:val="single" w:color="auto" w:sz="4" w:space="0"/>
              <w:bottom w:val="single" w:color="auto" w:sz="4" w:space="0"/>
              <w:right w:val="single" w:color="auto" w:sz="4" w:space="0"/>
              <w:tl2br w:val="nil"/>
              <w:tr2bl w:val="nil"/>
            </w:tcBorders>
            <w:noWrap w:val="0"/>
            <w:vAlign w:val="top"/>
          </w:tcPr>
          <w:p w14:paraId="37FF3C65">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年主导风向</w:t>
            </w:r>
          </w:p>
        </w:tc>
        <w:tc>
          <w:tcPr>
            <w:tcW w:w="2293" w:type="dxa"/>
            <w:tcBorders>
              <w:top w:val="single" w:color="auto" w:sz="4" w:space="0"/>
              <w:left w:val="single" w:color="auto" w:sz="4" w:space="0"/>
              <w:bottom w:val="single" w:color="auto" w:sz="4" w:space="0"/>
              <w:right w:val="single" w:color="auto" w:sz="4" w:space="0"/>
              <w:tl2br w:val="nil"/>
              <w:tr2bl w:val="nil"/>
            </w:tcBorders>
            <w:noWrap w:val="0"/>
            <w:vAlign w:val="top"/>
          </w:tcPr>
          <w:p w14:paraId="51B67295">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西风</w:t>
            </w:r>
          </w:p>
        </w:tc>
        <w:tc>
          <w:tcPr>
            <w:tcW w:w="2294" w:type="dxa"/>
            <w:tcBorders>
              <w:top w:val="single" w:color="auto" w:sz="4" w:space="0"/>
              <w:left w:val="single" w:color="auto" w:sz="4" w:space="0"/>
              <w:bottom w:val="single" w:color="auto" w:sz="4" w:space="0"/>
              <w:right w:val="single" w:color="auto" w:sz="4" w:space="0"/>
              <w:tl2br w:val="nil"/>
              <w:tr2bl w:val="nil"/>
            </w:tcBorders>
            <w:noWrap w:val="0"/>
            <w:vAlign w:val="top"/>
          </w:tcPr>
          <w:p w14:paraId="62BB61A5">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年均蒸发量</w:t>
            </w:r>
          </w:p>
        </w:tc>
        <w:tc>
          <w:tcPr>
            <w:tcW w:w="2294" w:type="dxa"/>
            <w:tcBorders>
              <w:top w:val="single" w:color="auto" w:sz="4" w:space="0"/>
              <w:left w:val="single" w:color="auto" w:sz="4" w:space="0"/>
              <w:bottom w:val="single" w:color="auto" w:sz="4" w:space="0"/>
              <w:right w:val="single" w:color="auto" w:sz="4" w:space="0"/>
              <w:tl2br w:val="nil"/>
              <w:tr2bl w:val="nil"/>
            </w:tcBorders>
            <w:noWrap w:val="0"/>
            <w:vAlign w:val="top"/>
          </w:tcPr>
          <w:p w14:paraId="4CFB8A7E">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2060.8mm</w:t>
            </w:r>
          </w:p>
        </w:tc>
      </w:tr>
      <w:tr w14:paraId="57C87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93" w:type="dxa"/>
            <w:tcBorders>
              <w:top w:val="single" w:color="auto" w:sz="4" w:space="0"/>
              <w:left w:val="single" w:color="auto" w:sz="4" w:space="0"/>
              <w:bottom w:val="single" w:color="auto" w:sz="4" w:space="0"/>
              <w:right w:val="single" w:color="auto" w:sz="4" w:space="0"/>
              <w:tl2br w:val="nil"/>
              <w:tr2bl w:val="nil"/>
            </w:tcBorders>
            <w:noWrap w:val="0"/>
            <w:vAlign w:val="top"/>
          </w:tcPr>
          <w:p w14:paraId="10F5EE0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冬季风速</w:t>
            </w:r>
          </w:p>
        </w:tc>
        <w:tc>
          <w:tcPr>
            <w:tcW w:w="2293" w:type="dxa"/>
            <w:tcBorders>
              <w:top w:val="single" w:color="auto" w:sz="4" w:space="0"/>
              <w:left w:val="single" w:color="auto" w:sz="4" w:space="0"/>
              <w:bottom w:val="single" w:color="auto" w:sz="4" w:space="0"/>
              <w:right w:val="single" w:color="auto" w:sz="4" w:space="0"/>
              <w:tl2br w:val="nil"/>
              <w:tr2bl w:val="nil"/>
            </w:tcBorders>
            <w:noWrap w:val="0"/>
            <w:vAlign w:val="top"/>
          </w:tcPr>
          <w:p w14:paraId="058CF318">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1.3m/s</w:t>
            </w:r>
          </w:p>
        </w:tc>
        <w:tc>
          <w:tcPr>
            <w:tcW w:w="2294" w:type="dxa"/>
            <w:tcBorders>
              <w:top w:val="single" w:color="auto" w:sz="4" w:space="0"/>
              <w:left w:val="single" w:color="auto" w:sz="4" w:space="0"/>
              <w:bottom w:val="single" w:color="auto" w:sz="4" w:space="0"/>
              <w:right w:val="single" w:color="auto" w:sz="4" w:space="0"/>
              <w:tl2br w:val="nil"/>
              <w:tr2bl w:val="nil"/>
            </w:tcBorders>
            <w:noWrap w:val="0"/>
            <w:vAlign w:val="top"/>
          </w:tcPr>
          <w:p w14:paraId="1DB4901C">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最大冻土深度</w:t>
            </w:r>
          </w:p>
        </w:tc>
        <w:tc>
          <w:tcPr>
            <w:tcW w:w="2294" w:type="dxa"/>
            <w:tcBorders>
              <w:top w:val="single" w:color="auto" w:sz="4" w:space="0"/>
              <w:left w:val="single" w:color="auto" w:sz="4" w:space="0"/>
              <w:bottom w:val="single" w:color="auto" w:sz="4" w:space="0"/>
              <w:right w:val="single" w:color="auto" w:sz="4" w:space="0"/>
              <w:tl2br w:val="nil"/>
              <w:tr2bl w:val="nil"/>
            </w:tcBorders>
            <w:noWrap w:val="0"/>
            <w:vAlign w:val="top"/>
          </w:tcPr>
          <w:p w14:paraId="79CF610E">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1.44m</w:t>
            </w:r>
          </w:p>
        </w:tc>
      </w:tr>
      <w:tr w14:paraId="724DC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93" w:type="dxa"/>
            <w:tcBorders>
              <w:top w:val="single" w:color="auto" w:sz="4" w:space="0"/>
              <w:left w:val="single" w:color="auto" w:sz="4" w:space="0"/>
              <w:bottom w:val="single" w:color="auto" w:sz="4" w:space="0"/>
              <w:right w:val="single" w:color="auto" w:sz="4" w:space="0"/>
              <w:tl2br w:val="nil"/>
              <w:tr2bl w:val="nil"/>
            </w:tcBorders>
            <w:noWrap w:val="0"/>
            <w:vAlign w:val="top"/>
          </w:tcPr>
          <w:p w14:paraId="77C89FEC">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夏季风速</w:t>
            </w:r>
          </w:p>
        </w:tc>
        <w:tc>
          <w:tcPr>
            <w:tcW w:w="2293" w:type="dxa"/>
            <w:tcBorders>
              <w:top w:val="single" w:color="auto" w:sz="4" w:space="0"/>
              <w:left w:val="single" w:color="auto" w:sz="4" w:space="0"/>
              <w:bottom w:val="single" w:color="auto" w:sz="4" w:space="0"/>
              <w:right w:val="single" w:color="auto" w:sz="4" w:space="0"/>
              <w:tl2br w:val="nil"/>
              <w:tr2bl w:val="nil"/>
            </w:tcBorders>
            <w:noWrap w:val="0"/>
            <w:vAlign w:val="top"/>
          </w:tcPr>
          <w:p w14:paraId="5586F334">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3.4m/s</w:t>
            </w:r>
          </w:p>
        </w:tc>
        <w:tc>
          <w:tcPr>
            <w:tcW w:w="2294" w:type="dxa"/>
            <w:tcBorders>
              <w:top w:val="single" w:color="auto" w:sz="4" w:space="0"/>
              <w:left w:val="single" w:color="auto" w:sz="4" w:space="0"/>
              <w:bottom w:val="single" w:color="auto" w:sz="4" w:space="0"/>
              <w:right w:val="single" w:color="auto" w:sz="4" w:space="0"/>
              <w:tl2br w:val="nil"/>
              <w:tr2bl w:val="nil"/>
            </w:tcBorders>
            <w:noWrap w:val="0"/>
            <w:vAlign w:val="top"/>
          </w:tcPr>
          <w:p w14:paraId="271A02AE">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最大积雪深</w:t>
            </w:r>
          </w:p>
        </w:tc>
        <w:tc>
          <w:tcPr>
            <w:tcW w:w="2294" w:type="dxa"/>
            <w:tcBorders>
              <w:top w:val="single" w:color="auto" w:sz="4" w:space="0"/>
              <w:left w:val="single" w:color="auto" w:sz="4" w:space="0"/>
              <w:bottom w:val="single" w:color="auto" w:sz="4" w:space="0"/>
              <w:right w:val="single" w:color="auto" w:sz="4" w:space="0"/>
              <w:tl2br w:val="nil"/>
              <w:tr2bl w:val="nil"/>
            </w:tcBorders>
            <w:noWrap w:val="0"/>
            <w:vAlign w:val="top"/>
          </w:tcPr>
          <w:p w14:paraId="1F0869A5">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33cm</w:t>
            </w:r>
          </w:p>
        </w:tc>
      </w:tr>
      <w:tr w14:paraId="573C8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93" w:type="dxa"/>
            <w:tcBorders>
              <w:top w:val="single" w:color="auto" w:sz="4" w:space="0"/>
              <w:left w:val="single" w:color="auto" w:sz="4" w:space="0"/>
              <w:bottom w:val="single" w:color="auto" w:sz="4" w:space="0"/>
              <w:right w:val="single" w:color="auto" w:sz="4" w:space="0"/>
              <w:tl2br w:val="nil"/>
              <w:tr2bl w:val="nil"/>
            </w:tcBorders>
            <w:noWrap w:val="0"/>
            <w:vAlign w:val="top"/>
          </w:tcPr>
          <w:p w14:paraId="355A099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最大风速</w:t>
            </w:r>
          </w:p>
        </w:tc>
        <w:tc>
          <w:tcPr>
            <w:tcW w:w="2293" w:type="dxa"/>
            <w:tcBorders>
              <w:top w:val="single" w:color="auto" w:sz="4" w:space="0"/>
              <w:left w:val="single" w:color="auto" w:sz="4" w:space="0"/>
              <w:bottom w:val="single" w:color="auto" w:sz="4" w:space="0"/>
              <w:right w:val="single" w:color="auto" w:sz="4" w:space="0"/>
              <w:tl2br w:val="nil"/>
              <w:tr2bl w:val="nil"/>
            </w:tcBorders>
            <w:noWrap w:val="0"/>
            <w:vAlign w:val="top"/>
          </w:tcPr>
          <w:p w14:paraId="524A2074">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23.8m/s</w:t>
            </w:r>
          </w:p>
        </w:tc>
        <w:tc>
          <w:tcPr>
            <w:tcW w:w="2294" w:type="dxa"/>
            <w:tcBorders>
              <w:top w:val="single" w:color="auto" w:sz="4" w:space="0"/>
              <w:left w:val="single" w:color="auto" w:sz="4" w:space="0"/>
              <w:bottom w:val="single" w:color="auto" w:sz="4" w:space="0"/>
              <w:right w:val="single" w:color="auto" w:sz="4" w:space="0"/>
              <w:tl2br w:val="nil"/>
              <w:tr2bl w:val="nil"/>
            </w:tcBorders>
            <w:noWrap w:val="0"/>
            <w:vAlign w:val="top"/>
          </w:tcPr>
          <w:p w14:paraId="69452FB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年日照时数</w:t>
            </w:r>
          </w:p>
        </w:tc>
        <w:tc>
          <w:tcPr>
            <w:tcW w:w="2294" w:type="dxa"/>
            <w:tcBorders>
              <w:top w:val="single" w:color="auto" w:sz="4" w:space="0"/>
              <w:left w:val="single" w:color="auto" w:sz="4" w:space="0"/>
              <w:bottom w:val="single" w:color="auto" w:sz="4" w:space="0"/>
              <w:right w:val="single" w:color="auto" w:sz="4" w:space="0"/>
              <w:tl2br w:val="nil"/>
              <w:tr2bl w:val="nil"/>
            </w:tcBorders>
            <w:noWrap w:val="0"/>
            <w:vAlign w:val="top"/>
          </w:tcPr>
          <w:p w14:paraId="226F1F5E">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2786h</w:t>
            </w:r>
          </w:p>
        </w:tc>
      </w:tr>
    </w:tbl>
    <w:p w14:paraId="417A88BC">
      <w:pPr>
        <w:pStyle w:val="14"/>
        <w:kinsoku w:val="0"/>
        <w:overflowPunct w:val="0"/>
        <w:spacing w:before="7" w:beforeLines="0" w:afterLines="0"/>
        <w:ind w:left="0"/>
        <w:rPr>
          <w:rFonts w:hint="default" w:ascii="Times New Roman" w:hAnsi="Times New Roman" w:cs="Times New Roman"/>
          <w:b/>
          <w:color w:val="auto"/>
          <w:sz w:val="11"/>
          <w:szCs w:val="24"/>
          <w:highlight w:val="none"/>
        </w:rPr>
      </w:pPr>
    </w:p>
    <w:p w14:paraId="21423B8A">
      <w:pPr>
        <w:pStyle w:val="5"/>
        <w:bidi w:val="0"/>
        <w:rPr>
          <w:rFonts w:hint="default"/>
        </w:rPr>
      </w:pPr>
      <w:bookmarkStart w:id="279" w:name="5.2.1.2多年风速与气温统计"/>
      <w:bookmarkEnd w:id="279"/>
      <w:bookmarkStart w:id="280" w:name="_Toc7945"/>
      <w:r>
        <w:rPr>
          <w:rFonts w:hint="default"/>
        </w:rPr>
        <w:t>多年风速与气温统计</w:t>
      </w:r>
      <w:bookmarkEnd w:id="280"/>
    </w:p>
    <w:p w14:paraId="69AB234F">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阜康市多年平均温度的月变化及多年平均风速月变化情况见表5.2-2、图5.2-1与图5.2-2。</w:t>
      </w:r>
    </w:p>
    <w:p w14:paraId="6F8E291F">
      <w:pPr>
        <w:pStyle w:val="14"/>
        <w:tabs>
          <w:tab w:val="left" w:pos="3483"/>
        </w:tabs>
        <w:kinsoku w:val="0"/>
        <w:overflowPunct w:val="0"/>
        <w:spacing w:before="26" w:beforeLines="0" w:afterLines="0" w:line="240" w:lineRule="auto"/>
        <w:ind w:left="2083" w:right="251"/>
        <w:rPr>
          <w:rFonts w:hint="default" w:ascii="Times New Roman" w:hAnsi="Times New Roman" w:cs="Times New Roman"/>
          <w:color w:val="auto"/>
          <w:sz w:val="24"/>
          <w:szCs w:val="24"/>
          <w:highlight w:val="none"/>
        </w:rPr>
      </w:pPr>
      <w:r>
        <w:rPr>
          <w:rFonts w:hint="default" w:ascii="Times New Roman" w:hAnsi="Times New Roman" w:cs="Times New Roman"/>
          <w:b/>
          <w:color w:val="auto"/>
          <w:sz w:val="24"/>
          <w:szCs w:val="24"/>
          <w:highlight w:val="none"/>
        </w:rPr>
        <w:t>表</w:t>
      </w:r>
      <w:r>
        <w:rPr>
          <w:rFonts w:hint="default" w:ascii="Times New Roman" w:hAnsi="Times New Roman" w:cs="Times New Roman"/>
          <w:b/>
          <w:color w:val="auto"/>
          <w:spacing w:val="-63"/>
          <w:sz w:val="24"/>
          <w:szCs w:val="24"/>
          <w:highlight w:val="none"/>
        </w:rPr>
        <w:t xml:space="preserve"> </w:t>
      </w:r>
      <w:r>
        <w:rPr>
          <w:rFonts w:hint="default" w:ascii="Times New Roman" w:hAnsi="Times New Roman" w:eastAsia="Times New Roman" w:cs="Times New Roman"/>
          <w:b/>
          <w:color w:val="auto"/>
          <w:sz w:val="24"/>
          <w:szCs w:val="24"/>
          <w:highlight w:val="none"/>
        </w:rPr>
        <w:t>5.2-2</w:t>
      </w:r>
      <w:r>
        <w:rPr>
          <w:rFonts w:hint="default" w:ascii="Times New Roman" w:hAnsi="Times New Roman" w:eastAsia="Times New Roman" w:cs="Times New Roman"/>
          <w:b/>
          <w:color w:val="auto"/>
          <w:sz w:val="24"/>
          <w:szCs w:val="24"/>
          <w:highlight w:val="none"/>
        </w:rPr>
        <w:tab/>
      </w:r>
      <w:r>
        <w:rPr>
          <w:rFonts w:hint="default" w:ascii="Times New Roman" w:hAnsi="Times New Roman" w:cs="Times New Roman"/>
          <w:b/>
          <w:color w:val="auto"/>
          <w:sz w:val="24"/>
          <w:szCs w:val="24"/>
          <w:highlight w:val="none"/>
        </w:rPr>
        <w:t>阜康市多年平均温度及风速月变化一览表</w:t>
      </w:r>
    </w:p>
    <w:tbl>
      <w:tblPr>
        <w:tblStyle w:val="31"/>
        <w:tblW w:w="0" w:type="auto"/>
        <w:tblInd w:w="2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963"/>
        <w:gridCol w:w="705"/>
        <w:gridCol w:w="698"/>
        <w:gridCol w:w="547"/>
        <w:gridCol w:w="642"/>
        <w:gridCol w:w="642"/>
        <w:gridCol w:w="642"/>
        <w:gridCol w:w="642"/>
        <w:gridCol w:w="642"/>
        <w:gridCol w:w="642"/>
        <w:gridCol w:w="547"/>
        <w:gridCol w:w="610"/>
        <w:gridCol w:w="705"/>
        <w:gridCol w:w="547"/>
      </w:tblGrid>
      <w:tr w14:paraId="61D15C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3" w:hRule="atLeast"/>
        </w:trPr>
        <w:tc>
          <w:tcPr>
            <w:tcW w:w="963"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411DE03A">
            <w:pPr>
              <w:pStyle w:val="48"/>
              <w:spacing w:beforeLines="0" w:afterLine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w:t>
            </w:r>
          </w:p>
        </w:tc>
        <w:tc>
          <w:tcPr>
            <w:tcW w:w="705"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6B369C01">
            <w:pPr>
              <w:pStyle w:val="48"/>
              <w:spacing w:beforeLines="0" w:afterLine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1月</w:t>
            </w:r>
          </w:p>
        </w:tc>
        <w:tc>
          <w:tcPr>
            <w:tcW w:w="698"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656F3EE7">
            <w:pPr>
              <w:pStyle w:val="48"/>
              <w:spacing w:beforeLines="0" w:afterLine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2月</w:t>
            </w:r>
          </w:p>
        </w:tc>
        <w:tc>
          <w:tcPr>
            <w:tcW w:w="547"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0010B448">
            <w:pPr>
              <w:pStyle w:val="48"/>
              <w:spacing w:beforeLines="0" w:afterLine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p w14:paraId="13E840B1">
            <w:pPr>
              <w:pStyle w:val="48"/>
              <w:spacing w:beforeLines="0" w:afterLine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月</w:t>
            </w:r>
          </w:p>
        </w:tc>
        <w:tc>
          <w:tcPr>
            <w:tcW w:w="642"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6C127FD1">
            <w:pPr>
              <w:pStyle w:val="48"/>
              <w:spacing w:beforeLines="0" w:afterLine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w:t>
            </w:r>
          </w:p>
          <w:p w14:paraId="5D89C7B1">
            <w:pPr>
              <w:pStyle w:val="48"/>
              <w:spacing w:beforeLines="0" w:afterLine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月</w:t>
            </w:r>
          </w:p>
        </w:tc>
        <w:tc>
          <w:tcPr>
            <w:tcW w:w="642"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39C430F7">
            <w:pPr>
              <w:pStyle w:val="48"/>
              <w:spacing w:beforeLines="0" w:afterLine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p w14:paraId="62FEB0ED">
            <w:pPr>
              <w:pStyle w:val="48"/>
              <w:spacing w:beforeLines="0" w:afterLine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月</w:t>
            </w:r>
          </w:p>
        </w:tc>
        <w:tc>
          <w:tcPr>
            <w:tcW w:w="642"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166FCD90">
            <w:pPr>
              <w:pStyle w:val="48"/>
              <w:spacing w:beforeLines="0" w:afterLine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w:t>
            </w:r>
          </w:p>
          <w:p w14:paraId="247FC2F1">
            <w:pPr>
              <w:pStyle w:val="48"/>
              <w:spacing w:beforeLines="0" w:afterLine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月</w:t>
            </w:r>
          </w:p>
        </w:tc>
        <w:tc>
          <w:tcPr>
            <w:tcW w:w="642"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0FBB7179">
            <w:pPr>
              <w:pStyle w:val="48"/>
              <w:spacing w:beforeLines="0" w:afterLine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w:t>
            </w:r>
          </w:p>
          <w:p w14:paraId="6DB7D7DA">
            <w:pPr>
              <w:pStyle w:val="48"/>
              <w:spacing w:beforeLines="0" w:afterLine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月</w:t>
            </w:r>
          </w:p>
        </w:tc>
        <w:tc>
          <w:tcPr>
            <w:tcW w:w="642"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23703178">
            <w:pPr>
              <w:pStyle w:val="48"/>
              <w:spacing w:beforeLines="0" w:afterLine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w:t>
            </w:r>
          </w:p>
          <w:p w14:paraId="17304D27">
            <w:pPr>
              <w:pStyle w:val="48"/>
              <w:spacing w:beforeLines="0" w:afterLine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月</w:t>
            </w:r>
          </w:p>
        </w:tc>
        <w:tc>
          <w:tcPr>
            <w:tcW w:w="642"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2187B8A1">
            <w:pPr>
              <w:pStyle w:val="48"/>
              <w:spacing w:beforeLines="0" w:afterLine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w:t>
            </w:r>
          </w:p>
          <w:p w14:paraId="2F1A7103">
            <w:pPr>
              <w:pStyle w:val="48"/>
              <w:spacing w:beforeLines="0" w:afterLine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月</w:t>
            </w:r>
          </w:p>
        </w:tc>
        <w:tc>
          <w:tcPr>
            <w:tcW w:w="547"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2FC05C64">
            <w:pPr>
              <w:pStyle w:val="48"/>
              <w:spacing w:beforeLines="0" w:afterLine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w:t>
            </w:r>
          </w:p>
          <w:p w14:paraId="55BEDBC0">
            <w:pPr>
              <w:pStyle w:val="48"/>
              <w:spacing w:beforeLines="0" w:afterLine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月</w:t>
            </w:r>
          </w:p>
        </w:tc>
        <w:tc>
          <w:tcPr>
            <w:tcW w:w="610"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7ADC03FF">
            <w:pPr>
              <w:pStyle w:val="48"/>
              <w:spacing w:beforeLines="0" w:afterLine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w:t>
            </w:r>
          </w:p>
          <w:p w14:paraId="7CFF7949">
            <w:pPr>
              <w:pStyle w:val="48"/>
              <w:spacing w:beforeLines="0" w:afterLine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月</w:t>
            </w:r>
          </w:p>
        </w:tc>
        <w:tc>
          <w:tcPr>
            <w:tcW w:w="705"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7E85B14D">
            <w:pPr>
              <w:pStyle w:val="48"/>
              <w:spacing w:beforeLines="0" w:afterLine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w:t>
            </w:r>
          </w:p>
          <w:p w14:paraId="35044EA5">
            <w:pPr>
              <w:pStyle w:val="48"/>
              <w:spacing w:beforeLines="0" w:afterLine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月</w:t>
            </w:r>
          </w:p>
        </w:tc>
        <w:tc>
          <w:tcPr>
            <w:tcW w:w="547"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5B7BADF5">
            <w:pPr>
              <w:pStyle w:val="48"/>
              <w:spacing w:beforeLines="0" w:afterLine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全年</w:t>
            </w:r>
          </w:p>
        </w:tc>
      </w:tr>
      <w:tr w14:paraId="01BFE0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3" w:hRule="atLeast"/>
        </w:trPr>
        <w:tc>
          <w:tcPr>
            <w:tcW w:w="963"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222933E3">
            <w:pPr>
              <w:pStyle w:val="48"/>
              <w:spacing w:beforeLines="0" w:afterLine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平均风速</w:t>
            </w:r>
          </w:p>
          <w:p w14:paraId="3EEE7C11">
            <w:pPr>
              <w:pStyle w:val="48"/>
              <w:spacing w:beforeLines="0" w:afterLine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（m/s）</w:t>
            </w:r>
          </w:p>
        </w:tc>
        <w:tc>
          <w:tcPr>
            <w:tcW w:w="705"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63028BE5">
            <w:pPr>
              <w:pStyle w:val="48"/>
              <w:spacing w:beforeLines="0" w:afterLine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1.3</w:t>
            </w:r>
          </w:p>
        </w:tc>
        <w:tc>
          <w:tcPr>
            <w:tcW w:w="698"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43CC241E">
            <w:pPr>
              <w:pStyle w:val="48"/>
              <w:spacing w:beforeLines="0" w:afterLine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w:t>
            </w:r>
          </w:p>
        </w:tc>
        <w:tc>
          <w:tcPr>
            <w:tcW w:w="547"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16C8149D">
            <w:pPr>
              <w:pStyle w:val="48"/>
              <w:spacing w:beforeLines="0" w:afterLine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p w14:paraId="129B3EC2">
            <w:pPr>
              <w:pStyle w:val="48"/>
              <w:spacing w:beforeLines="0" w:afterLine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642"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30DF607B">
            <w:pPr>
              <w:pStyle w:val="48"/>
              <w:spacing w:beforeLines="0" w:afterLine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2.6</w:t>
            </w:r>
          </w:p>
        </w:tc>
        <w:tc>
          <w:tcPr>
            <w:tcW w:w="642"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42307840">
            <w:pPr>
              <w:pStyle w:val="48"/>
              <w:spacing w:beforeLines="0" w:afterLine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2.4</w:t>
            </w:r>
          </w:p>
        </w:tc>
        <w:tc>
          <w:tcPr>
            <w:tcW w:w="642"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35C2F03E">
            <w:pPr>
              <w:pStyle w:val="48"/>
              <w:spacing w:beforeLines="0" w:afterLine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2.2</w:t>
            </w:r>
          </w:p>
        </w:tc>
        <w:tc>
          <w:tcPr>
            <w:tcW w:w="642"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1796A43F">
            <w:pPr>
              <w:pStyle w:val="48"/>
              <w:spacing w:beforeLines="0" w:afterLine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w:t>
            </w:r>
          </w:p>
        </w:tc>
        <w:tc>
          <w:tcPr>
            <w:tcW w:w="642"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7DB0F4E4">
            <w:pPr>
              <w:pStyle w:val="48"/>
              <w:spacing w:beforeLines="0" w:afterLine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1.9</w:t>
            </w:r>
          </w:p>
        </w:tc>
        <w:tc>
          <w:tcPr>
            <w:tcW w:w="642"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16796131">
            <w:pPr>
              <w:pStyle w:val="48"/>
              <w:spacing w:beforeLines="0" w:afterLine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1.8</w:t>
            </w:r>
          </w:p>
        </w:tc>
        <w:tc>
          <w:tcPr>
            <w:tcW w:w="547"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75639EBD">
            <w:pPr>
              <w:pStyle w:val="48"/>
              <w:spacing w:beforeLines="0" w:afterLine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p w14:paraId="6AAD9668">
            <w:pPr>
              <w:pStyle w:val="48"/>
              <w:spacing w:beforeLines="0" w:afterLine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tc>
        <w:tc>
          <w:tcPr>
            <w:tcW w:w="610"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7310711B">
            <w:pPr>
              <w:pStyle w:val="48"/>
              <w:spacing w:beforeLines="0" w:afterLine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w:t>
            </w:r>
          </w:p>
        </w:tc>
        <w:tc>
          <w:tcPr>
            <w:tcW w:w="705"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7869C5EF">
            <w:pPr>
              <w:pStyle w:val="48"/>
              <w:spacing w:beforeLines="0" w:afterLine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w:t>
            </w:r>
          </w:p>
        </w:tc>
        <w:tc>
          <w:tcPr>
            <w:tcW w:w="547"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7463F272">
            <w:pPr>
              <w:pStyle w:val="48"/>
              <w:spacing w:beforeLines="0" w:afterLine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1.8</w:t>
            </w:r>
          </w:p>
        </w:tc>
      </w:tr>
      <w:tr w14:paraId="5C717C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5" w:hRule="atLeast"/>
        </w:trPr>
        <w:tc>
          <w:tcPr>
            <w:tcW w:w="963"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669CF327">
            <w:pPr>
              <w:pStyle w:val="48"/>
              <w:spacing w:beforeLines="0" w:afterLine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平均气温（℃）</w:t>
            </w:r>
          </w:p>
        </w:tc>
        <w:tc>
          <w:tcPr>
            <w:tcW w:w="705"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72A1F12B">
            <w:pPr>
              <w:pStyle w:val="48"/>
              <w:spacing w:beforeLines="0" w:afterLine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w:t>
            </w:r>
          </w:p>
          <w:p w14:paraId="3D152DCA">
            <w:pPr>
              <w:pStyle w:val="48"/>
              <w:spacing w:beforeLines="0" w:afterLine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w:t>
            </w:r>
          </w:p>
        </w:tc>
        <w:tc>
          <w:tcPr>
            <w:tcW w:w="698"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4BD21556">
            <w:pPr>
              <w:pStyle w:val="48"/>
              <w:spacing w:beforeLines="0" w:afterLine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-11.9</w:t>
            </w:r>
          </w:p>
        </w:tc>
        <w:tc>
          <w:tcPr>
            <w:tcW w:w="547"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7DAB984F">
            <w:pPr>
              <w:pStyle w:val="48"/>
              <w:spacing w:beforeLines="0" w:afterLine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0.1</w:t>
            </w:r>
          </w:p>
        </w:tc>
        <w:tc>
          <w:tcPr>
            <w:tcW w:w="642"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39508B31">
            <w:pPr>
              <w:pStyle w:val="48"/>
              <w:spacing w:beforeLines="0" w:afterLine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12.1</w:t>
            </w:r>
          </w:p>
        </w:tc>
        <w:tc>
          <w:tcPr>
            <w:tcW w:w="642"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742172D2">
            <w:pPr>
              <w:pStyle w:val="48"/>
              <w:spacing w:beforeLines="0" w:afterLine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19.0</w:t>
            </w:r>
          </w:p>
        </w:tc>
        <w:tc>
          <w:tcPr>
            <w:tcW w:w="642"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75000183">
            <w:pPr>
              <w:pStyle w:val="48"/>
              <w:spacing w:beforeLines="0" w:afterLine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24.0</w:t>
            </w:r>
          </w:p>
        </w:tc>
        <w:tc>
          <w:tcPr>
            <w:tcW w:w="642"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24FC4191">
            <w:pPr>
              <w:pStyle w:val="48"/>
              <w:spacing w:beforeLines="0" w:afterLine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25.4</w:t>
            </w:r>
          </w:p>
        </w:tc>
        <w:tc>
          <w:tcPr>
            <w:tcW w:w="642"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1C908B37">
            <w:pPr>
              <w:pStyle w:val="48"/>
              <w:spacing w:beforeLines="0" w:afterLine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23.7</w:t>
            </w:r>
          </w:p>
        </w:tc>
        <w:tc>
          <w:tcPr>
            <w:tcW w:w="642"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6A639CE6">
            <w:pPr>
              <w:pStyle w:val="48"/>
              <w:spacing w:beforeLines="0" w:afterLine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17.7</w:t>
            </w:r>
          </w:p>
        </w:tc>
        <w:tc>
          <w:tcPr>
            <w:tcW w:w="547"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1A886148">
            <w:pPr>
              <w:pStyle w:val="48"/>
              <w:spacing w:beforeLines="0" w:afterLine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8.8</w:t>
            </w:r>
          </w:p>
        </w:tc>
        <w:tc>
          <w:tcPr>
            <w:tcW w:w="610"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577832EB">
            <w:pPr>
              <w:pStyle w:val="48"/>
              <w:spacing w:beforeLines="0" w:afterLine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-1.8</w:t>
            </w:r>
          </w:p>
        </w:tc>
        <w:tc>
          <w:tcPr>
            <w:tcW w:w="705"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03EAEE1D">
            <w:pPr>
              <w:pStyle w:val="48"/>
              <w:spacing w:beforeLines="0" w:afterLine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-12.4</w:t>
            </w:r>
          </w:p>
        </w:tc>
        <w:tc>
          <w:tcPr>
            <w:tcW w:w="547"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39920C0A">
            <w:pPr>
              <w:pStyle w:val="48"/>
              <w:spacing w:beforeLines="0" w:afterLine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7.4</w:t>
            </w:r>
          </w:p>
        </w:tc>
      </w:tr>
    </w:tbl>
    <w:p w14:paraId="7E9EE834">
      <w:pPr>
        <w:spacing w:beforeLines="0" w:afterLine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mc:AlternateContent>
          <mc:Choice Requires="wpg">
            <w:drawing>
              <wp:inline distT="0" distB="0" distL="114300" distR="114300">
                <wp:extent cx="4598035" cy="2029460"/>
                <wp:effectExtent l="0" t="0" r="12065" b="2540"/>
                <wp:docPr id="22" name="组合 947"/>
                <wp:cNvGraphicFramePr/>
                <a:graphic xmlns:a="http://schemas.openxmlformats.org/drawingml/2006/main">
                  <a:graphicData uri="http://schemas.microsoft.com/office/word/2010/wordprocessingGroup">
                    <wpg:wgp>
                      <wpg:cNvGrpSpPr/>
                      <wpg:grpSpPr>
                        <a:xfrm>
                          <a:off x="0" y="0"/>
                          <a:ext cx="4598035" cy="2029460"/>
                          <a:chOff x="0" y="0"/>
                          <a:chExt cx="7464" cy="3958"/>
                        </a:xfrm>
                      </wpg:grpSpPr>
                      <wps:wsp>
                        <wps:cNvPr id="12" name="矩形 948"/>
                        <wps:cNvSpPr/>
                        <wps:spPr>
                          <a:xfrm>
                            <a:off x="30" y="30"/>
                            <a:ext cx="7400" cy="3900"/>
                          </a:xfrm>
                          <a:prstGeom prst="rect">
                            <a:avLst/>
                          </a:prstGeom>
                          <a:noFill/>
                          <a:ln>
                            <a:noFill/>
                          </a:ln>
                        </wps:spPr>
                        <wps:txbx>
                          <w:txbxContent>
                            <w:p w14:paraId="5335A697">
                              <w:pPr>
                                <w:widowControl/>
                                <w:autoSpaceDE/>
                                <w:autoSpaceDN/>
                                <w:adjustRightInd/>
                                <w:spacing w:beforeLines="0" w:afterLines="0" w:line="3900" w:lineRule="atLeast"/>
                                <w:rPr>
                                  <w:rFonts w:hint="default"/>
                                  <w:sz w:val="24"/>
                                  <w:szCs w:val="24"/>
                                </w:rPr>
                              </w:pPr>
                              <w:r>
                                <w:rPr>
                                  <w:rFonts w:hint="default"/>
                                  <w:sz w:val="24"/>
                                  <w:szCs w:val="24"/>
                                </w:rPr>
                                <w:drawing>
                                  <wp:inline distT="0" distB="0" distL="114300" distR="114300">
                                    <wp:extent cx="4693285" cy="2470150"/>
                                    <wp:effectExtent l="0" t="0" r="5715" b="6350"/>
                                    <wp:docPr id="151"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47"/>
                                            <pic:cNvPicPr>
                                              <a:picLocks noChangeAspect="1"/>
                                            </pic:cNvPicPr>
                                          </pic:nvPicPr>
                                          <pic:blipFill>
                                            <a:blip r:embed="rId39"/>
                                            <a:stretch>
                                              <a:fillRect/>
                                            </a:stretch>
                                          </pic:blipFill>
                                          <pic:spPr>
                                            <a:xfrm>
                                              <a:off x="0" y="0"/>
                                              <a:ext cx="4693285" cy="2470150"/>
                                            </a:xfrm>
                                            <a:prstGeom prst="rect">
                                              <a:avLst/>
                                            </a:prstGeom>
                                            <a:noFill/>
                                            <a:ln>
                                              <a:noFill/>
                                            </a:ln>
                                          </pic:spPr>
                                        </pic:pic>
                                      </a:graphicData>
                                    </a:graphic>
                                  </wp:inline>
                                </w:drawing>
                              </w:r>
                            </w:p>
                            <w:p w14:paraId="77A934A3">
                              <w:pPr>
                                <w:spacing w:beforeLines="0" w:afterLines="0"/>
                                <w:rPr>
                                  <w:rFonts w:hint="default"/>
                                  <w:sz w:val="24"/>
                                  <w:szCs w:val="24"/>
                                </w:rPr>
                              </w:pPr>
                            </w:p>
                          </w:txbxContent>
                        </wps:txbx>
                        <wps:bodyPr vert="horz" wrap="square" lIns="0" tIns="0" rIns="0" bIns="0" anchor="t" anchorCtr="0" upright="1"/>
                      </wps:wsp>
                      <wpg:grpSp>
                        <wpg:cNvPr id="21" name="组合 949"/>
                        <wpg:cNvGrpSpPr/>
                        <wpg:grpSpPr>
                          <a:xfrm>
                            <a:off x="0" y="0"/>
                            <a:ext cx="7464" cy="3958"/>
                            <a:chOff x="0" y="0"/>
                            <a:chExt cx="7464" cy="3958"/>
                          </a:xfrm>
                        </wpg:grpSpPr>
                        <wps:wsp>
                          <wps:cNvPr id="13" name="任意多边形 950"/>
                          <wps:cNvSpPr/>
                          <wps:spPr>
                            <a:xfrm>
                              <a:off x="0" y="0"/>
                              <a:ext cx="7464" cy="3958"/>
                            </a:xfrm>
                            <a:custGeom>
                              <a:avLst/>
                              <a:gdLst/>
                              <a:ahLst/>
                              <a:cxnLst/>
                              <a:pathLst>
                                <a:path w="7464" h="3958">
                                  <a:moveTo>
                                    <a:pt x="7464" y="3957"/>
                                  </a:moveTo>
                                  <a:lnTo>
                                    <a:pt x="0" y="3957"/>
                                  </a:lnTo>
                                  <a:lnTo>
                                    <a:pt x="0" y="0"/>
                                  </a:lnTo>
                                  <a:lnTo>
                                    <a:pt x="7464" y="0"/>
                                  </a:lnTo>
                                  <a:lnTo>
                                    <a:pt x="7464" y="14"/>
                                  </a:lnTo>
                                  <a:lnTo>
                                    <a:pt x="30" y="14"/>
                                  </a:lnTo>
                                  <a:lnTo>
                                    <a:pt x="15" y="29"/>
                                  </a:lnTo>
                                  <a:lnTo>
                                    <a:pt x="30" y="29"/>
                                  </a:lnTo>
                                  <a:lnTo>
                                    <a:pt x="30" y="3927"/>
                                  </a:lnTo>
                                  <a:lnTo>
                                    <a:pt x="15" y="3927"/>
                                  </a:lnTo>
                                  <a:lnTo>
                                    <a:pt x="30" y="3942"/>
                                  </a:lnTo>
                                  <a:lnTo>
                                    <a:pt x="7464" y="3942"/>
                                  </a:lnTo>
                                  <a:lnTo>
                                    <a:pt x="7464" y="3957"/>
                                  </a:lnTo>
                                  <a:close/>
                                </a:path>
                              </a:pathLst>
                            </a:custGeom>
                            <a:solidFill>
                              <a:srgbClr val="000000"/>
                            </a:solidFill>
                            <a:ln>
                              <a:noFill/>
                            </a:ln>
                          </wps:spPr>
                          <wps:bodyPr vert="horz" wrap="square" anchor="t" anchorCtr="0" upright="1"/>
                        </wps:wsp>
                        <wps:wsp>
                          <wps:cNvPr id="14" name="任意多边形 951"/>
                          <wps:cNvSpPr/>
                          <wps:spPr>
                            <a:xfrm>
                              <a:off x="0" y="0"/>
                              <a:ext cx="7464" cy="3958"/>
                            </a:xfrm>
                            <a:custGeom>
                              <a:avLst/>
                              <a:gdLst/>
                              <a:ahLst/>
                              <a:cxnLst/>
                              <a:pathLst>
                                <a:path w="7464" h="3958">
                                  <a:moveTo>
                                    <a:pt x="30" y="29"/>
                                  </a:moveTo>
                                  <a:lnTo>
                                    <a:pt x="15" y="29"/>
                                  </a:lnTo>
                                  <a:lnTo>
                                    <a:pt x="30" y="14"/>
                                  </a:lnTo>
                                  <a:lnTo>
                                    <a:pt x="30" y="29"/>
                                  </a:lnTo>
                                  <a:close/>
                                </a:path>
                              </a:pathLst>
                            </a:custGeom>
                            <a:solidFill>
                              <a:srgbClr val="000000"/>
                            </a:solidFill>
                            <a:ln>
                              <a:noFill/>
                            </a:ln>
                          </wps:spPr>
                          <wps:bodyPr vert="horz" wrap="square" anchor="t" anchorCtr="0" upright="1"/>
                        </wps:wsp>
                        <wps:wsp>
                          <wps:cNvPr id="15" name="任意多边形 952"/>
                          <wps:cNvSpPr/>
                          <wps:spPr>
                            <a:xfrm>
                              <a:off x="0" y="0"/>
                              <a:ext cx="7464" cy="3958"/>
                            </a:xfrm>
                            <a:custGeom>
                              <a:avLst/>
                              <a:gdLst/>
                              <a:ahLst/>
                              <a:cxnLst/>
                              <a:pathLst>
                                <a:path w="7464" h="3958">
                                  <a:moveTo>
                                    <a:pt x="7434" y="29"/>
                                  </a:moveTo>
                                  <a:lnTo>
                                    <a:pt x="30" y="29"/>
                                  </a:lnTo>
                                  <a:lnTo>
                                    <a:pt x="30" y="14"/>
                                  </a:lnTo>
                                  <a:lnTo>
                                    <a:pt x="7434" y="14"/>
                                  </a:lnTo>
                                  <a:lnTo>
                                    <a:pt x="7434" y="29"/>
                                  </a:lnTo>
                                  <a:close/>
                                </a:path>
                              </a:pathLst>
                            </a:custGeom>
                            <a:solidFill>
                              <a:srgbClr val="000000"/>
                            </a:solidFill>
                            <a:ln>
                              <a:noFill/>
                            </a:ln>
                          </wps:spPr>
                          <wps:bodyPr vert="horz" wrap="square" anchor="t" anchorCtr="0" upright="1"/>
                        </wps:wsp>
                        <wps:wsp>
                          <wps:cNvPr id="16" name="任意多边形 953"/>
                          <wps:cNvSpPr/>
                          <wps:spPr>
                            <a:xfrm>
                              <a:off x="0" y="0"/>
                              <a:ext cx="7464" cy="3958"/>
                            </a:xfrm>
                            <a:custGeom>
                              <a:avLst/>
                              <a:gdLst/>
                              <a:ahLst/>
                              <a:cxnLst/>
                              <a:pathLst>
                                <a:path w="7464" h="3958">
                                  <a:moveTo>
                                    <a:pt x="7434" y="3942"/>
                                  </a:moveTo>
                                  <a:lnTo>
                                    <a:pt x="7434" y="14"/>
                                  </a:lnTo>
                                  <a:lnTo>
                                    <a:pt x="7449" y="29"/>
                                  </a:lnTo>
                                  <a:lnTo>
                                    <a:pt x="7464" y="29"/>
                                  </a:lnTo>
                                  <a:lnTo>
                                    <a:pt x="7464" y="3927"/>
                                  </a:lnTo>
                                  <a:lnTo>
                                    <a:pt x="7449" y="3927"/>
                                  </a:lnTo>
                                  <a:lnTo>
                                    <a:pt x="7434" y="3942"/>
                                  </a:lnTo>
                                  <a:close/>
                                </a:path>
                              </a:pathLst>
                            </a:custGeom>
                            <a:solidFill>
                              <a:srgbClr val="000000"/>
                            </a:solidFill>
                            <a:ln>
                              <a:noFill/>
                            </a:ln>
                          </wps:spPr>
                          <wps:bodyPr vert="horz" wrap="square" anchor="t" anchorCtr="0" upright="1"/>
                        </wps:wsp>
                        <wps:wsp>
                          <wps:cNvPr id="17" name="任意多边形 954"/>
                          <wps:cNvSpPr/>
                          <wps:spPr>
                            <a:xfrm>
                              <a:off x="0" y="0"/>
                              <a:ext cx="7464" cy="3958"/>
                            </a:xfrm>
                            <a:custGeom>
                              <a:avLst/>
                              <a:gdLst/>
                              <a:ahLst/>
                              <a:cxnLst/>
                              <a:pathLst>
                                <a:path w="7464" h="3958">
                                  <a:moveTo>
                                    <a:pt x="7464" y="29"/>
                                  </a:moveTo>
                                  <a:lnTo>
                                    <a:pt x="7449" y="29"/>
                                  </a:lnTo>
                                  <a:lnTo>
                                    <a:pt x="7434" y="14"/>
                                  </a:lnTo>
                                  <a:lnTo>
                                    <a:pt x="7464" y="14"/>
                                  </a:lnTo>
                                  <a:lnTo>
                                    <a:pt x="7464" y="29"/>
                                  </a:lnTo>
                                  <a:close/>
                                </a:path>
                              </a:pathLst>
                            </a:custGeom>
                            <a:solidFill>
                              <a:srgbClr val="000000"/>
                            </a:solidFill>
                            <a:ln>
                              <a:noFill/>
                            </a:ln>
                          </wps:spPr>
                          <wps:bodyPr vert="horz" wrap="square" anchor="t" anchorCtr="0" upright="1"/>
                        </wps:wsp>
                        <wps:wsp>
                          <wps:cNvPr id="18" name="任意多边形 955"/>
                          <wps:cNvSpPr/>
                          <wps:spPr>
                            <a:xfrm>
                              <a:off x="0" y="0"/>
                              <a:ext cx="7464" cy="3958"/>
                            </a:xfrm>
                            <a:custGeom>
                              <a:avLst/>
                              <a:gdLst/>
                              <a:ahLst/>
                              <a:cxnLst/>
                              <a:pathLst>
                                <a:path w="7464" h="3958">
                                  <a:moveTo>
                                    <a:pt x="30" y="3942"/>
                                  </a:moveTo>
                                  <a:lnTo>
                                    <a:pt x="15" y="3927"/>
                                  </a:lnTo>
                                  <a:lnTo>
                                    <a:pt x="30" y="3927"/>
                                  </a:lnTo>
                                  <a:lnTo>
                                    <a:pt x="30" y="3942"/>
                                  </a:lnTo>
                                  <a:close/>
                                </a:path>
                              </a:pathLst>
                            </a:custGeom>
                            <a:solidFill>
                              <a:srgbClr val="000000"/>
                            </a:solidFill>
                            <a:ln>
                              <a:noFill/>
                            </a:ln>
                          </wps:spPr>
                          <wps:bodyPr vert="horz" wrap="square" anchor="t" anchorCtr="0" upright="1"/>
                        </wps:wsp>
                        <wps:wsp>
                          <wps:cNvPr id="19" name="任意多边形 956"/>
                          <wps:cNvSpPr/>
                          <wps:spPr>
                            <a:xfrm>
                              <a:off x="0" y="0"/>
                              <a:ext cx="7464" cy="3958"/>
                            </a:xfrm>
                            <a:custGeom>
                              <a:avLst/>
                              <a:gdLst/>
                              <a:ahLst/>
                              <a:cxnLst/>
                              <a:pathLst>
                                <a:path w="7464" h="3958">
                                  <a:moveTo>
                                    <a:pt x="7434" y="3942"/>
                                  </a:moveTo>
                                  <a:lnTo>
                                    <a:pt x="30" y="3942"/>
                                  </a:lnTo>
                                  <a:lnTo>
                                    <a:pt x="30" y="3927"/>
                                  </a:lnTo>
                                  <a:lnTo>
                                    <a:pt x="7434" y="3927"/>
                                  </a:lnTo>
                                  <a:lnTo>
                                    <a:pt x="7434" y="3942"/>
                                  </a:lnTo>
                                  <a:close/>
                                </a:path>
                              </a:pathLst>
                            </a:custGeom>
                            <a:solidFill>
                              <a:srgbClr val="000000"/>
                            </a:solidFill>
                            <a:ln>
                              <a:noFill/>
                            </a:ln>
                          </wps:spPr>
                          <wps:bodyPr vert="horz" wrap="square" anchor="t" anchorCtr="0" upright="1"/>
                        </wps:wsp>
                        <wps:wsp>
                          <wps:cNvPr id="20" name="任意多边形 957"/>
                          <wps:cNvSpPr/>
                          <wps:spPr>
                            <a:xfrm>
                              <a:off x="0" y="0"/>
                              <a:ext cx="7464" cy="3958"/>
                            </a:xfrm>
                            <a:custGeom>
                              <a:avLst/>
                              <a:gdLst/>
                              <a:ahLst/>
                              <a:cxnLst/>
                              <a:pathLst>
                                <a:path w="7464" h="3958">
                                  <a:moveTo>
                                    <a:pt x="7464" y="3942"/>
                                  </a:moveTo>
                                  <a:lnTo>
                                    <a:pt x="7434" y="3942"/>
                                  </a:lnTo>
                                  <a:lnTo>
                                    <a:pt x="7449" y="3927"/>
                                  </a:lnTo>
                                  <a:lnTo>
                                    <a:pt x="7464" y="3927"/>
                                  </a:lnTo>
                                  <a:lnTo>
                                    <a:pt x="7464" y="3942"/>
                                  </a:lnTo>
                                  <a:close/>
                                </a:path>
                              </a:pathLst>
                            </a:custGeom>
                            <a:solidFill>
                              <a:srgbClr val="000000"/>
                            </a:solidFill>
                            <a:ln>
                              <a:noFill/>
                            </a:ln>
                          </wps:spPr>
                          <wps:bodyPr vert="horz" wrap="square" anchor="t" anchorCtr="0" upright="1"/>
                        </wps:wsp>
                      </wpg:grpSp>
                    </wpg:wgp>
                  </a:graphicData>
                </a:graphic>
              </wp:inline>
            </w:drawing>
          </mc:Choice>
          <mc:Fallback>
            <w:pict>
              <v:group id="组合 947" o:spid="_x0000_s1026" o:spt="203" style="height:159.8pt;width:362.05pt;" coordsize="7464,3958" o:gfxdata="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">
                <o:lock v:ext="edit" aspectratio="f"/>
                <v:rect id="矩形 948" o:spid="_x0000_s1026" o:spt="1" style="position:absolute;left:30;top:30;height:3900;width:7400;" filled="f" stroked="f" coordsize="21600,21600" o:gfxdata="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JRmuO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14:paraId="5335A697">
                        <w:pPr>
                          <w:widowControl/>
                          <w:autoSpaceDE/>
                          <w:autoSpaceDN/>
                          <w:adjustRightInd/>
                          <w:spacing w:beforeLines="0" w:afterLines="0" w:line="3900" w:lineRule="atLeast"/>
                          <w:rPr>
                            <w:rFonts w:hint="default"/>
                            <w:sz w:val="24"/>
                            <w:szCs w:val="24"/>
                          </w:rPr>
                        </w:pPr>
                        <w:r>
                          <w:rPr>
                            <w:rFonts w:hint="default"/>
                            <w:sz w:val="24"/>
                            <w:szCs w:val="24"/>
                          </w:rPr>
                          <w:drawing>
                            <wp:inline distT="0" distB="0" distL="114300" distR="114300">
                              <wp:extent cx="4693285" cy="2470150"/>
                              <wp:effectExtent l="0" t="0" r="5715" b="6350"/>
                              <wp:docPr id="151"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47"/>
                                      <pic:cNvPicPr>
                                        <a:picLocks noChangeAspect="1"/>
                                      </pic:cNvPicPr>
                                    </pic:nvPicPr>
                                    <pic:blipFill>
                                      <a:blip r:embed="rId39"/>
                                      <a:stretch>
                                        <a:fillRect/>
                                      </a:stretch>
                                    </pic:blipFill>
                                    <pic:spPr>
                                      <a:xfrm>
                                        <a:off x="0" y="0"/>
                                        <a:ext cx="4693285" cy="2470150"/>
                                      </a:xfrm>
                                      <a:prstGeom prst="rect">
                                        <a:avLst/>
                                      </a:prstGeom>
                                      <a:noFill/>
                                      <a:ln>
                                        <a:noFill/>
                                      </a:ln>
                                    </pic:spPr>
                                  </pic:pic>
                                </a:graphicData>
                              </a:graphic>
                            </wp:inline>
                          </w:drawing>
                        </w:r>
                      </w:p>
                      <w:p w14:paraId="77A934A3">
                        <w:pPr>
                          <w:spacing w:beforeLines="0" w:afterLines="0"/>
                          <w:rPr>
                            <w:rFonts w:hint="default"/>
                            <w:sz w:val="24"/>
                            <w:szCs w:val="24"/>
                          </w:rPr>
                        </w:pPr>
                      </w:p>
                    </w:txbxContent>
                  </v:textbox>
                </v:rect>
                <v:group id="组合 949" o:spid="_x0000_s1026" o:spt="203" style="position:absolute;left:0;top:0;height:3958;width:7464;" coordsize="7464,3958" o:gfxdata="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y7+M70AAADbAAAADwAAAAAAAAABACAAAAAiAAAAZHJzL2Rvd25yZXYueG1s&#10;UEsBAhQAFAAAAAgAh07iQDMvBZ47AAAAOQAAABUAAAAAAAAAAQAgAAAADAEAAGRycy9ncm91cHNo&#10;YXBleG1sLnhtbFBLBQYAAAAABgAGAGABAADJAwAAAAA=&#10;">
                  <o:lock v:ext="edit" aspectratio="f"/>
                  <v:shape id="任意多边形 950" o:spid="_x0000_s1026" o:spt="100" style="position:absolute;left:0;top:0;height:3958;width:7464;" fillcolor="#000000" filled="t" stroked="f" coordsize="7464,3958" o:gfxdata="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2SCtugAAANsA&#10;AAAPAAAAAAAAAAEAIAAAACIAAABkcnMvZG93bnJldi54bWxQSwECFAAUAAAACACHTuJAMy8FnjsA&#10;AAA5AAAAEAAAAAAAAAABACAAAAAJAQAAZHJzL3NoYXBleG1sLnhtbFBLBQYAAAAABgAGAFsBAACz&#10;AwAAAAA=&#10;" path="m7464,3957l0,3957,0,0,7464,0,7464,14,30,14,15,29,30,29,30,3927,15,3927,30,3942,7464,3942,7464,3957xe">
                    <v:fill on="t" focussize="0,0"/>
                    <v:stroke on="f"/>
                    <v:imagedata o:title=""/>
                    <o:lock v:ext="edit" aspectratio="f"/>
                  </v:shape>
                  <v:shape id="任意多边形 951" o:spid="_x0000_s1026" o:spt="100" style="position:absolute;left:0;top:0;height:3958;width:7464;" fillcolor="#000000" filled="t" stroked="f" coordsize="7464,3958" o:gfxdata="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9MLjZugAAANsA&#10;AAAPAAAAAAAAAAEAIAAAACIAAABkcnMvZG93bnJldi54bWxQSwECFAAUAAAACACHTuJAMy8FnjsA&#10;AAA5AAAAEAAAAAAAAAABACAAAAAJAQAAZHJzL3NoYXBleG1sLnhtbFBLBQYAAAAABgAGAFsBAACz&#10;AwAAAAA=&#10;" path="m30,29l15,29,30,14,30,29xe">
                    <v:fill on="t" focussize="0,0"/>
                    <v:stroke on="f"/>
                    <v:imagedata o:title=""/>
                    <o:lock v:ext="edit" aspectratio="f"/>
                  </v:shape>
                  <v:shape id="任意多边形 952" o:spid="_x0000_s1026" o:spt="100" style="position:absolute;left:0;top:0;height:3958;width:7464;" fillcolor="#000000" filled="t" stroked="f" coordsize="7464,3958" o:gfxdata="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fB1CugAAANsA&#10;AAAPAAAAAAAAAAEAIAAAACIAAABkcnMvZG93bnJldi54bWxQSwECFAAUAAAACACHTuJAMy8FnjsA&#10;AAA5AAAAEAAAAAAAAAABACAAAAAJAQAAZHJzL3NoYXBleG1sLnhtbFBLBQYAAAAABgAGAFsBAACz&#10;AwAAAAA=&#10;" path="m7434,29l30,29,30,14,7434,14,7434,29xe">
                    <v:fill on="t" focussize="0,0"/>
                    <v:stroke on="f"/>
                    <v:imagedata o:title=""/>
                    <o:lock v:ext="edit" aspectratio="f"/>
                  </v:shape>
                  <v:shape id="任意多边形 953" o:spid="_x0000_s1026" o:spt="100" style="position:absolute;left:0;top:0;height:3958;width:7464;" fillcolor="#000000" filled="t" stroked="f" coordsize="7464,3958" o:gfxdata="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roM1ugAAANsA&#10;AAAPAAAAAAAAAAEAIAAAACIAAABkcnMvZG93bnJldi54bWxQSwECFAAUAAAACACHTuJAMy8FnjsA&#10;AAA5AAAAEAAAAAAAAAABACAAAAAJAQAAZHJzL3NoYXBleG1sLnhtbFBLBQYAAAAABgAGAFsBAACz&#10;AwAAAAA=&#10;" path="m7434,3942l7434,14,7449,29,7464,29,7464,3927,7449,3927,7434,3942xe">
                    <v:fill on="t" focussize="0,0"/>
                    <v:stroke on="f"/>
                    <v:imagedata o:title=""/>
                    <o:lock v:ext="edit" aspectratio="f"/>
                  </v:shape>
                  <v:shape id="任意多边形 954" o:spid="_x0000_s1026" o:spt="100" style="position:absolute;left:0;top:0;height:3958;width:7464;" fillcolor="#000000" filled="t" stroked="f" coordsize="7464,3958" o:gfxdata="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4iauugAAANsA&#10;AAAPAAAAAAAAAAEAIAAAACIAAABkcnMvZG93bnJldi54bWxQSwECFAAUAAAACACHTuJAMy8FnjsA&#10;AAA5AAAAEAAAAAAAAAABACAAAAAJAQAAZHJzL3NoYXBleG1sLnhtbFBLBQYAAAAABgAGAFsBAACz&#10;AwAAAAA=&#10;" path="m7464,29l7449,29,7434,14,7464,14,7464,29xe">
                    <v:fill on="t" focussize="0,0"/>
                    <v:stroke on="f"/>
                    <v:imagedata o:title=""/>
                    <o:lock v:ext="edit" aspectratio="f"/>
                  </v:shape>
                  <v:shape id="任意多边形 955" o:spid="_x0000_s1026" o:spt="100" style="position:absolute;left:0;top:0;height:3958;width:7464;" fillcolor="#000000" filled="t" stroked="f" coordsize="7464,3958" o:gfxdata="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fbLcvQAA&#10;ANsAAAAPAAAAAAAAAAEAIAAAACIAAABkcnMvZG93bnJldi54bWxQSwECFAAUAAAACACHTuJAMy8F&#10;njsAAAA5AAAAEAAAAAAAAAABACAAAAAMAQAAZHJzL3NoYXBleG1sLnhtbFBLBQYAAAAABgAGAFsB&#10;AAC2AwAAAAA=&#10;" path="m30,3942l15,3927,30,3927,30,3942xe">
                    <v:fill on="t" focussize="0,0"/>
                    <v:stroke on="f"/>
                    <v:imagedata o:title=""/>
                    <o:lock v:ext="edit" aspectratio="f"/>
                  </v:shape>
                  <v:shape id="任意多边形 956" o:spid="_x0000_s1026" o:spt="100" style="position:absolute;left:0;top:0;height:3958;width:7464;" fillcolor="#000000" filled="t" stroked="f" coordsize="7464,3958" o:gfxdata="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MRdHugAAANsA&#10;AAAPAAAAAAAAAAEAIAAAACIAAABkcnMvZG93bnJldi54bWxQSwECFAAUAAAACACHTuJAMy8FnjsA&#10;AAA5AAAAEAAAAAAAAAABACAAAAAJAQAAZHJzL3NoYXBleG1sLnhtbFBLBQYAAAAABgAGAFsBAACz&#10;AwAAAAA=&#10;" path="m7434,3942l30,3942,30,3927,7434,3927,7434,3942xe">
                    <v:fill on="t" focussize="0,0"/>
                    <v:stroke on="f"/>
                    <v:imagedata o:title=""/>
                    <o:lock v:ext="edit" aspectratio="f"/>
                  </v:shape>
                  <v:shape id="任意多边形 957" o:spid="_x0000_s1026" o:spt="100" style="position:absolute;left:0;top:0;height:3958;width:7464;" fillcolor="#000000" filled="t" stroked="f" coordsize="7464,3958" o:gfxdata="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Z3RnugAAANsA&#10;AAAPAAAAAAAAAAEAIAAAACIAAABkcnMvZG93bnJldi54bWxQSwECFAAUAAAACACHTuJAMy8FnjsA&#10;AAA5AAAAEAAAAAAAAAABACAAAAAJAQAAZHJzL3NoYXBleG1sLnhtbFBLBQYAAAAABgAGAFsBAACz&#10;AwAAAAA=&#10;" path="m7464,3942l7434,3942,7449,3927,7464,3927,7464,3942xe">
                    <v:fill on="t" focussize="0,0"/>
                    <v:stroke on="f"/>
                    <v:imagedata o:title=""/>
                    <o:lock v:ext="edit" aspectratio="f"/>
                  </v:shape>
                </v:group>
                <w10:wrap type="none"/>
                <w10:anchorlock/>
              </v:group>
            </w:pict>
          </mc:Fallback>
        </mc:AlternateContent>
      </w:r>
    </w:p>
    <w:p w14:paraId="56DA0DB5">
      <w:pPr>
        <w:spacing w:beforeLines="0" w:afterLine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图 5.2-1</w:t>
      </w:r>
      <w:r>
        <w:rPr>
          <w:rFonts w:hint="default" w:ascii="Times New Roman" w:hAnsi="Times New Roman" w:cs="Times New Roman"/>
          <w:color w:val="auto"/>
          <w:sz w:val="24"/>
          <w:szCs w:val="24"/>
          <w:highlight w:val="none"/>
        </w:rPr>
        <w:tab/>
      </w:r>
      <w:r>
        <w:rPr>
          <w:rFonts w:hint="default" w:ascii="Times New Roman" w:hAnsi="Times New Roman" w:cs="Times New Roman"/>
          <w:color w:val="auto"/>
          <w:sz w:val="24"/>
          <w:szCs w:val="24"/>
          <w:highlight w:val="none"/>
        </w:rPr>
        <w:t>阜康市多年平均温度的月变化</w:t>
      </w:r>
    </w:p>
    <w:p w14:paraId="070310E1">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mc:AlternateContent>
          <mc:Choice Requires="wpg">
            <w:drawing>
              <wp:inline distT="0" distB="0" distL="114300" distR="114300">
                <wp:extent cx="5943600" cy="2562860"/>
                <wp:effectExtent l="0" t="0" r="0" b="2540"/>
                <wp:docPr id="33" name="组合 958"/>
                <wp:cNvGraphicFramePr/>
                <a:graphic xmlns:a="http://schemas.openxmlformats.org/drawingml/2006/main">
                  <a:graphicData uri="http://schemas.microsoft.com/office/word/2010/wordprocessingGroup">
                    <wpg:wgp>
                      <wpg:cNvGrpSpPr/>
                      <wpg:grpSpPr>
                        <a:xfrm>
                          <a:off x="0" y="0"/>
                          <a:ext cx="5943600" cy="2562860"/>
                          <a:chOff x="0" y="0"/>
                          <a:chExt cx="9010" cy="3394"/>
                        </a:xfrm>
                      </wpg:grpSpPr>
                      <wps:wsp>
                        <wps:cNvPr id="23" name="矩形 959"/>
                        <wps:cNvSpPr/>
                        <wps:spPr>
                          <a:xfrm>
                            <a:off x="30" y="30"/>
                            <a:ext cx="8940" cy="3340"/>
                          </a:xfrm>
                          <a:prstGeom prst="rect">
                            <a:avLst/>
                          </a:prstGeom>
                          <a:noFill/>
                          <a:ln>
                            <a:noFill/>
                          </a:ln>
                        </wps:spPr>
                        <wps:txbx>
                          <w:txbxContent>
                            <w:p w14:paraId="613D93FD">
                              <w:pPr>
                                <w:widowControl/>
                                <w:autoSpaceDE/>
                                <w:autoSpaceDN/>
                                <w:adjustRightInd/>
                                <w:spacing w:beforeLines="0" w:afterLines="0" w:line="3340" w:lineRule="atLeast"/>
                                <w:rPr>
                                  <w:rFonts w:hint="default"/>
                                  <w:sz w:val="24"/>
                                  <w:szCs w:val="24"/>
                                </w:rPr>
                              </w:pPr>
                              <w:r>
                                <w:rPr>
                                  <w:rFonts w:hint="default"/>
                                  <w:sz w:val="24"/>
                                  <w:szCs w:val="24"/>
                                </w:rPr>
                                <w:drawing>
                                  <wp:inline distT="0" distB="0" distL="114300" distR="114300">
                                    <wp:extent cx="5650865" cy="2105660"/>
                                    <wp:effectExtent l="0" t="0" r="635" b="2540"/>
                                    <wp:docPr id="152"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53"/>
                                            <pic:cNvPicPr>
                                              <a:picLocks noChangeAspect="1"/>
                                            </pic:cNvPicPr>
                                          </pic:nvPicPr>
                                          <pic:blipFill>
                                            <a:blip r:embed="rId40"/>
                                            <a:stretch>
                                              <a:fillRect/>
                                            </a:stretch>
                                          </pic:blipFill>
                                          <pic:spPr>
                                            <a:xfrm>
                                              <a:off x="0" y="0"/>
                                              <a:ext cx="5650865" cy="2105660"/>
                                            </a:xfrm>
                                            <a:prstGeom prst="rect">
                                              <a:avLst/>
                                            </a:prstGeom>
                                            <a:noFill/>
                                            <a:ln>
                                              <a:noFill/>
                                            </a:ln>
                                          </pic:spPr>
                                        </pic:pic>
                                      </a:graphicData>
                                    </a:graphic>
                                  </wp:inline>
                                </w:drawing>
                              </w:r>
                            </w:p>
                            <w:p w14:paraId="137724D8">
                              <w:pPr>
                                <w:spacing w:beforeLines="0" w:afterLines="0"/>
                                <w:rPr>
                                  <w:rFonts w:hint="default"/>
                                  <w:sz w:val="24"/>
                                  <w:szCs w:val="24"/>
                                </w:rPr>
                              </w:pPr>
                            </w:p>
                          </w:txbxContent>
                        </wps:txbx>
                        <wps:bodyPr wrap="square" lIns="0" tIns="0" rIns="0" bIns="0" upright="1"/>
                      </wps:wsp>
                      <wpg:grpSp>
                        <wpg:cNvPr id="32" name="组合 960"/>
                        <wpg:cNvGrpSpPr/>
                        <wpg:grpSpPr>
                          <a:xfrm>
                            <a:off x="0" y="0"/>
                            <a:ext cx="9010" cy="3394"/>
                            <a:chOff x="0" y="0"/>
                            <a:chExt cx="9010" cy="3394"/>
                          </a:xfrm>
                        </wpg:grpSpPr>
                        <wps:wsp>
                          <wps:cNvPr id="24" name="任意多边形 961"/>
                          <wps:cNvSpPr/>
                          <wps:spPr>
                            <a:xfrm>
                              <a:off x="0" y="0"/>
                              <a:ext cx="9010" cy="3394"/>
                            </a:xfrm>
                            <a:custGeom>
                              <a:avLst/>
                              <a:gdLst/>
                              <a:ahLst/>
                              <a:cxnLst/>
                              <a:pathLst>
                                <a:path w="9010" h="3394">
                                  <a:moveTo>
                                    <a:pt x="9009" y="3393"/>
                                  </a:moveTo>
                                  <a:lnTo>
                                    <a:pt x="0" y="3393"/>
                                  </a:lnTo>
                                  <a:lnTo>
                                    <a:pt x="0" y="0"/>
                                  </a:lnTo>
                                  <a:lnTo>
                                    <a:pt x="9009" y="0"/>
                                  </a:lnTo>
                                  <a:lnTo>
                                    <a:pt x="9009" y="15"/>
                                  </a:lnTo>
                                  <a:lnTo>
                                    <a:pt x="30" y="15"/>
                                  </a:lnTo>
                                  <a:lnTo>
                                    <a:pt x="15" y="30"/>
                                  </a:lnTo>
                                  <a:lnTo>
                                    <a:pt x="30" y="30"/>
                                  </a:lnTo>
                                  <a:lnTo>
                                    <a:pt x="30" y="3363"/>
                                  </a:lnTo>
                                  <a:lnTo>
                                    <a:pt x="15" y="3363"/>
                                  </a:lnTo>
                                  <a:lnTo>
                                    <a:pt x="30" y="3378"/>
                                  </a:lnTo>
                                  <a:lnTo>
                                    <a:pt x="9009" y="3378"/>
                                  </a:lnTo>
                                  <a:lnTo>
                                    <a:pt x="9009" y="3393"/>
                                  </a:lnTo>
                                  <a:close/>
                                </a:path>
                              </a:pathLst>
                            </a:custGeom>
                            <a:solidFill>
                              <a:srgbClr val="000000"/>
                            </a:solidFill>
                            <a:ln>
                              <a:noFill/>
                            </a:ln>
                          </wps:spPr>
                          <wps:bodyPr wrap="square" upright="1"/>
                        </wps:wsp>
                        <wps:wsp>
                          <wps:cNvPr id="25" name="任意多边形 962"/>
                          <wps:cNvSpPr/>
                          <wps:spPr>
                            <a:xfrm>
                              <a:off x="0" y="0"/>
                              <a:ext cx="9010" cy="3394"/>
                            </a:xfrm>
                            <a:custGeom>
                              <a:avLst/>
                              <a:gdLst/>
                              <a:ahLst/>
                              <a:cxnLst/>
                              <a:pathLst>
                                <a:path w="9010" h="3394">
                                  <a:moveTo>
                                    <a:pt x="30" y="30"/>
                                  </a:moveTo>
                                  <a:lnTo>
                                    <a:pt x="15" y="30"/>
                                  </a:lnTo>
                                  <a:lnTo>
                                    <a:pt x="30" y="15"/>
                                  </a:lnTo>
                                  <a:lnTo>
                                    <a:pt x="30" y="30"/>
                                  </a:lnTo>
                                  <a:close/>
                                </a:path>
                              </a:pathLst>
                            </a:custGeom>
                            <a:solidFill>
                              <a:srgbClr val="000000"/>
                            </a:solidFill>
                            <a:ln>
                              <a:noFill/>
                            </a:ln>
                          </wps:spPr>
                          <wps:bodyPr wrap="square" upright="1"/>
                        </wps:wsp>
                        <wps:wsp>
                          <wps:cNvPr id="26" name="任意多边形 963"/>
                          <wps:cNvSpPr/>
                          <wps:spPr>
                            <a:xfrm>
                              <a:off x="0" y="0"/>
                              <a:ext cx="9010" cy="3394"/>
                            </a:xfrm>
                            <a:custGeom>
                              <a:avLst/>
                              <a:gdLst/>
                              <a:ahLst/>
                              <a:cxnLst/>
                              <a:pathLst>
                                <a:path w="9010" h="3394">
                                  <a:moveTo>
                                    <a:pt x="8979" y="30"/>
                                  </a:moveTo>
                                  <a:lnTo>
                                    <a:pt x="30" y="30"/>
                                  </a:lnTo>
                                  <a:lnTo>
                                    <a:pt x="30" y="15"/>
                                  </a:lnTo>
                                  <a:lnTo>
                                    <a:pt x="8979" y="15"/>
                                  </a:lnTo>
                                  <a:lnTo>
                                    <a:pt x="8979" y="30"/>
                                  </a:lnTo>
                                  <a:close/>
                                </a:path>
                              </a:pathLst>
                            </a:custGeom>
                            <a:solidFill>
                              <a:srgbClr val="000000"/>
                            </a:solidFill>
                            <a:ln>
                              <a:noFill/>
                            </a:ln>
                          </wps:spPr>
                          <wps:bodyPr wrap="square" upright="1"/>
                        </wps:wsp>
                        <wps:wsp>
                          <wps:cNvPr id="27" name="任意多边形 964"/>
                          <wps:cNvSpPr/>
                          <wps:spPr>
                            <a:xfrm>
                              <a:off x="0" y="0"/>
                              <a:ext cx="9010" cy="3394"/>
                            </a:xfrm>
                            <a:custGeom>
                              <a:avLst/>
                              <a:gdLst/>
                              <a:ahLst/>
                              <a:cxnLst/>
                              <a:pathLst>
                                <a:path w="9010" h="3394">
                                  <a:moveTo>
                                    <a:pt x="8979" y="3378"/>
                                  </a:moveTo>
                                  <a:lnTo>
                                    <a:pt x="8979" y="15"/>
                                  </a:lnTo>
                                  <a:lnTo>
                                    <a:pt x="8994" y="30"/>
                                  </a:lnTo>
                                  <a:lnTo>
                                    <a:pt x="9009" y="30"/>
                                  </a:lnTo>
                                  <a:lnTo>
                                    <a:pt x="9009" y="3363"/>
                                  </a:lnTo>
                                  <a:lnTo>
                                    <a:pt x="8994" y="3363"/>
                                  </a:lnTo>
                                  <a:lnTo>
                                    <a:pt x="8979" y="3378"/>
                                  </a:lnTo>
                                  <a:close/>
                                </a:path>
                              </a:pathLst>
                            </a:custGeom>
                            <a:solidFill>
                              <a:srgbClr val="000000"/>
                            </a:solidFill>
                            <a:ln>
                              <a:noFill/>
                            </a:ln>
                          </wps:spPr>
                          <wps:bodyPr wrap="square" upright="1"/>
                        </wps:wsp>
                        <wps:wsp>
                          <wps:cNvPr id="28" name="任意多边形 965"/>
                          <wps:cNvSpPr/>
                          <wps:spPr>
                            <a:xfrm>
                              <a:off x="0" y="0"/>
                              <a:ext cx="9010" cy="3394"/>
                            </a:xfrm>
                            <a:custGeom>
                              <a:avLst/>
                              <a:gdLst/>
                              <a:ahLst/>
                              <a:cxnLst/>
                              <a:pathLst>
                                <a:path w="9010" h="3394">
                                  <a:moveTo>
                                    <a:pt x="9009" y="30"/>
                                  </a:moveTo>
                                  <a:lnTo>
                                    <a:pt x="8994" y="30"/>
                                  </a:lnTo>
                                  <a:lnTo>
                                    <a:pt x="8979" y="15"/>
                                  </a:lnTo>
                                  <a:lnTo>
                                    <a:pt x="9009" y="15"/>
                                  </a:lnTo>
                                  <a:lnTo>
                                    <a:pt x="9009" y="30"/>
                                  </a:lnTo>
                                  <a:close/>
                                </a:path>
                              </a:pathLst>
                            </a:custGeom>
                            <a:solidFill>
                              <a:srgbClr val="000000"/>
                            </a:solidFill>
                            <a:ln>
                              <a:noFill/>
                            </a:ln>
                          </wps:spPr>
                          <wps:bodyPr wrap="square" upright="1"/>
                        </wps:wsp>
                        <wps:wsp>
                          <wps:cNvPr id="29" name="任意多边形 966"/>
                          <wps:cNvSpPr/>
                          <wps:spPr>
                            <a:xfrm>
                              <a:off x="0" y="0"/>
                              <a:ext cx="9010" cy="3394"/>
                            </a:xfrm>
                            <a:custGeom>
                              <a:avLst/>
                              <a:gdLst/>
                              <a:ahLst/>
                              <a:cxnLst/>
                              <a:pathLst>
                                <a:path w="9010" h="3394">
                                  <a:moveTo>
                                    <a:pt x="30" y="3378"/>
                                  </a:moveTo>
                                  <a:lnTo>
                                    <a:pt x="15" y="3363"/>
                                  </a:lnTo>
                                  <a:lnTo>
                                    <a:pt x="30" y="3363"/>
                                  </a:lnTo>
                                  <a:lnTo>
                                    <a:pt x="30" y="3378"/>
                                  </a:lnTo>
                                  <a:close/>
                                </a:path>
                              </a:pathLst>
                            </a:custGeom>
                            <a:solidFill>
                              <a:srgbClr val="000000"/>
                            </a:solidFill>
                            <a:ln>
                              <a:noFill/>
                            </a:ln>
                          </wps:spPr>
                          <wps:bodyPr wrap="square" upright="1"/>
                        </wps:wsp>
                        <wps:wsp>
                          <wps:cNvPr id="30" name="任意多边形 967"/>
                          <wps:cNvSpPr/>
                          <wps:spPr>
                            <a:xfrm>
                              <a:off x="0" y="0"/>
                              <a:ext cx="9010" cy="3394"/>
                            </a:xfrm>
                            <a:custGeom>
                              <a:avLst/>
                              <a:gdLst/>
                              <a:ahLst/>
                              <a:cxnLst/>
                              <a:pathLst>
                                <a:path w="9010" h="3394">
                                  <a:moveTo>
                                    <a:pt x="8979" y="3378"/>
                                  </a:moveTo>
                                  <a:lnTo>
                                    <a:pt x="30" y="3378"/>
                                  </a:lnTo>
                                  <a:lnTo>
                                    <a:pt x="30" y="3363"/>
                                  </a:lnTo>
                                  <a:lnTo>
                                    <a:pt x="8979" y="3363"/>
                                  </a:lnTo>
                                  <a:lnTo>
                                    <a:pt x="8979" y="3378"/>
                                  </a:lnTo>
                                  <a:close/>
                                </a:path>
                              </a:pathLst>
                            </a:custGeom>
                            <a:solidFill>
                              <a:srgbClr val="000000"/>
                            </a:solidFill>
                            <a:ln>
                              <a:noFill/>
                            </a:ln>
                          </wps:spPr>
                          <wps:bodyPr wrap="square" upright="1"/>
                        </wps:wsp>
                        <wps:wsp>
                          <wps:cNvPr id="31" name="任意多边形 968"/>
                          <wps:cNvSpPr/>
                          <wps:spPr>
                            <a:xfrm>
                              <a:off x="0" y="0"/>
                              <a:ext cx="9010" cy="3394"/>
                            </a:xfrm>
                            <a:custGeom>
                              <a:avLst/>
                              <a:gdLst/>
                              <a:ahLst/>
                              <a:cxnLst/>
                              <a:pathLst>
                                <a:path w="9010" h="3394">
                                  <a:moveTo>
                                    <a:pt x="9009" y="3378"/>
                                  </a:moveTo>
                                  <a:lnTo>
                                    <a:pt x="8979" y="3378"/>
                                  </a:lnTo>
                                  <a:lnTo>
                                    <a:pt x="8994" y="3363"/>
                                  </a:lnTo>
                                  <a:lnTo>
                                    <a:pt x="9009" y="3363"/>
                                  </a:lnTo>
                                  <a:lnTo>
                                    <a:pt x="9009" y="3378"/>
                                  </a:lnTo>
                                  <a:close/>
                                </a:path>
                              </a:pathLst>
                            </a:custGeom>
                            <a:solidFill>
                              <a:srgbClr val="000000"/>
                            </a:solidFill>
                            <a:ln>
                              <a:noFill/>
                            </a:ln>
                          </wps:spPr>
                          <wps:bodyPr wrap="square" upright="1"/>
                        </wps:wsp>
                      </wpg:grpSp>
                    </wpg:wgp>
                  </a:graphicData>
                </a:graphic>
              </wp:inline>
            </w:drawing>
          </mc:Choice>
          <mc:Fallback>
            <w:pict>
              <v:group id="组合 958" o:spid="_x0000_s1026" o:spt="203" style="height:201.8pt;width:468pt;" coordsize="9010,3394" o:gfxdata="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">
                <o:lock v:ext="edit" aspectratio="f"/>
                <v:rect id="矩形 959" o:spid="_x0000_s1026" o:spt="1" style="position:absolute;left:30;top:30;height:3340;width:8940;" filled="f" stroked="f" coordsize="21600,21600" o:gfxdata="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x9cW/&#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13D93FD">
                        <w:pPr>
                          <w:widowControl/>
                          <w:autoSpaceDE/>
                          <w:autoSpaceDN/>
                          <w:adjustRightInd/>
                          <w:spacing w:beforeLines="0" w:afterLines="0" w:line="3340" w:lineRule="atLeast"/>
                          <w:rPr>
                            <w:rFonts w:hint="default"/>
                            <w:sz w:val="24"/>
                            <w:szCs w:val="24"/>
                          </w:rPr>
                        </w:pPr>
                        <w:r>
                          <w:rPr>
                            <w:rFonts w:hint="default"/>
                            <w:sz w:val="24"/>
                            <w:szCs w:val="24"/>
                          </w:rPr>
                          <w:drawing>
                            <wp:inline distT="0" distB="0" distL="114300" distR="114300">
                              <wp:extent cx="5650865" cy="2105660"/>
                              <wp:effectExtent l="0" t="0" r="635" b="2540"/>
                              <wp:docPr id="152"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53"/>
                                      <pic:cNvPicPr>
                                        <a:picLocks noChangeAspect="1"/>
                                      </pic:cNvPicPr>
                                    </pic:nvPicPr>
                                    <pic:blipFill>
                                      <a:blip r:embed="rId40"/>
                                      <a:stretch>
                                        <a:fillRect/>
                                      </a:stretch>
                                    </pic:blipFill>
                                    <pic:spPr>
                                      <a:xfrm>
                                        <a:off x="0" y="0"/>
                                        <a:ext cx="5650865" cy="2105660"/>
                                      </a:xfrm>
                                      <a:prstGeom prst="rect">
                                        <a:avLst/>
                                      </a:prstGeom>
                                      <a:noFill/>
                                      <a:ln>
                                        <a:noFill/>
                                      </a:ln>
                                    </pic:spPr>
                                  </pic:pic>
                                </a:graphicData>
                              </a:graphic>
                            </wp:inline>
                          </w:drawing>
                        </w:r>
                      </w:p>
                      <w:p w14:paraId="137724D8">
                        <w:pPr>
                          <w:spacing w:beforeLines="0" w:afterLines="0"/>
                          <w:rPr>
                            <w:rFonts w:hint="default"/>
                            <w:sz w:val="24"/>
                            <w:szCs w:val="24"/>
                          </w:rPr>
                        </w:pPr>
                      </w:p>
                    </w:txbxContent>
                  </v:textbox>
                </v:rect>
                <v:group id="组合 960" o:spid="_x0000_s1026" o:spt="203" style="position:absolute;left:0;top:0;height:3394;width:9010;" coordsize="9010,3394" o:gfxdata="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iX2mb0AAADbAAAADwAAAAAAAAABACAAAAAiAAAAZHJzL2Rvd25yZXYueG1s&#10;UEsBAhQAFAAAAAgAh07iQDMvBZ47AAAAOQAAABUAAAAAAAAAAQAgAAAADAEAAGRycy9ncm91cHNo&#10;YXBleG1sLnhtbFBLBQYAAAAABgAGAGABAADJAwAAAAA=&#10;">
                  <o:lock v:ext="edit" aspectratio="f"/>
                  <v:shape id="任意多边形 961" o:spid="_x0000_s1026" o:spt="100" style="position:absolute;left:0;top:0;height:3394;width:9010;" fillcolor="#000000" filled="t" stroked="f" coordsize="9010,3394" o:gfxdata="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LwO974A&#10;AADbAAAADwAAAAAAAAABACAAAAAiAAAAZHJzL2Rvd25yZXYueG1sUEsBAhQAFAAAAAgAh07iQDMv&#10;BZ47AAAAOQAAABAAAAAAAAAAAQAgAAAADQEAAGRycy9zaGFwZXhtbC54bWxQSwUGAAAAAAYABgBb&#10;AQAAtwMAAAAA&#10;" path="m9009,3393l0,3393,0,0,9009,0,9009,15,30,15,15,30,30,30,30,3363,15,3363,30,3378,9009,3378,9009,3393xe">
                    <v:fill on="t" focussize="0,0"/>
                    <v:stroke on="f"/>
                    <v:imagedata o:title=""/>
                    <o:lock v:ext="edit" aspectratio="f"/>
                  </v:shape>
                  <v:shape id="任意多边形 962" o:spid="_x0000_s1026" o:spt="100" style="position:absolute;left:0;top:0;height:3394;width:9010;" fillcolor="#000000" filled="t" stroked="f" coordsize="9010,3394" o:gfxdata="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CrbL4A&#10;AADbAAAADwAAAAAAAAABACAAAAAiAAAAZHJzL2Rvd25yZXYueG1sUEsBAhQAFAAAAAgAh07iQDMv&#10;BZ47AAAAOQAAABAAAAAAAAAAAQAgAAAADQEAAGRycy9zaGFwZXhtbC54bWxQSwUGAAAAAAYABgBb&#10;AQAAtwMAAAAA&#10;" path="m30,30l15,30,30,15,30,30xe">
                    <v:fill on="t" focussize="0,0"/>
                    <v:stroke on="f"/>
                    <v:imagedata o:title=""/>
                    <o:lock v:ext="edit" aspectratio="f"/>
                  </v:shape>
                  <v:shape id="任意多边形 963" o:spid="_x0000_s1026" o:spt="100" style="position:absolute;left:0;top:0;height:3394;width:9010;" fillcolor="#000000" filled="t" stroked="f" coordsize="9010,3394" o:gfxdata="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yI1G74A&#10;AADbAAAADwAAAAAAAAABACAAAAAiAAAAZHJzL2Rvd25yZXYueG1sUEsBAhQAFAAAAAgAh07iQDMv&#10;BZ47AAAAOQAAABAAAAAAAAAAAQAgAAAADQEAAGRycy9zaGFwZXhtbC54bWxQSwUGAAAAAAYABgBb&#10;AQAAtwMAAAAA&#10;" path="m8979,30l30,30,30,15,8979,15,8979,30xe">
                    <v:fill on="t" focussize="0,0"/>
                    <v:stroke on="f"/>
                    <v:imagedata o:title=""/>
                    <o:lock v:ext="edit" aspectratio="f"/>
                  </v:shape>
                  <v:shape id="任意多边形 964" o:spid="_x0000_s1026" o:spt="100" style="position:absolute;left:0;top:0;height:3394;width:9010;" fillcolor="#000000" filled="t" stroked="f" coordsize="9010,3394" o:gfxdata="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G6QgL4A&#10;AADbAAAADwAAAAAAAAABACAAAAAiAAAAZHJzL2Rvd25yZXYueG1sUEsBAhQAFAAAAAgAh07iQDMv&#10;BZ47AAAAOQAAABAAAAAAAAAAAQAgAAAADQEAAGRycy9zaGFwZXhtbC54bWxQSwUGAAAAAAYABgBb&#10;AQAAtwMAAAAA&#10;" path="m8979,3378l8979,15,8994,30,9009,30,9009,3363,8994,3363,8979,3378xe">
                    <v:fill on="t" focussize="0,0"/>
                    <v:stroke on="f"/>
                    <v:imagedata o:title=""/>
                    <o:lock v:ext="edit" aspectratio="f"/>
                  </v:shape>
                  <v:shape id="任意多边形 965" o:spid="_x0000_s1026" o:spt="100" style="position:absolute;left:0;top:0;height:3394;width:9010;" fillcolor="#000000" filled="t" stroked="f" coordsize="9010,3394" o:gfxdata="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8QTyugAAANsA&#10;AAAPAAAAAAAAAAEAIAAAACIAAABkcnMvZG93bnJldi54bWxQSwECFAAUAAAACACHTuJAMy8FnjsA&#10;AAA5AAAAEAAAAAAAAAABACAAAAAJAQAAZHJzL3NoYXBleG1sLnhtbFBLBQYAAAAABgAGAFsBAACz&#10;AwAAAAA=&#10;" path="m9009,30l8994,30,8979,15,9009,15,9009,30xe">
                    <v:fill on="t" focussize="0,0"/>
                    <v:stroke on="f"/>
                    <v:imagedata o:title=""/>
                    <o:lock v:ext="edit" aspectratio="f"/>
                  </v:shape>
                  <v:shape id="任意多边形 966" o:spid="_x0000_s1026" o:spt="100" style="position:absolute;left:0;top:0;height:3394;width:9010;" fillcolor="#000000" filled="t" stroked="f" coordsize="9010,3394" o:gfxdata="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vaFpvQAA&#10;ANsAAAAPAAAAAAAAAAEAIAAAACIAAABkcnMvZG93bnJldi54bWxQSwECFAAUAAAACACHTuJAMy8F&#10;njsAAAA5AAAAEAAAAAAAAAABACAAAAAMAQAAZHJzL3NoYXBleG1sLnhtbFBLBQYAAAAABgAGAFsB&#10;AAC2AwAAAAA=&#10;" path="m30,3378l15,3363,30,3363,30,3378xe">
                    <v:fill on="t" focussize="0,0"/>
                    <v:stroke on="f"/>
                    <v:imagedata o:title=""/>
                    <o:lock v:ext="edit" aspectratio="f"/>
                  </v:shape>
                  <v:shape id="任意多边形 967" o:spid="_x0000_s1026" o:spt="100" style="position:absolute;left:0;top:0;height:3394;width:9010;" fillcolor="#000000" filled="t" stroked="f" coordsize="9010,3394" o:gfxdata="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Xp4pugAAANsA&#10;AAAPAAAAAAAAAAEAIAAAACIAAABkcnMvZG93bnJldi54bWxQSwECFAAUAAAACACHTuJAMy8FnjsA&#10;AAA5AAAAEAAAAAAAAAABACAAAAAJAQAAZHJzL3NoYXBleG1sLnhtbFBLBQYAAAAABgAGAFsBAACz&#10;AwAAAAA=&#10;" path="m8979,3378l30,3378,30,3363,8979,3363,8979,3378xe">
                    <v:fill on="t" focussize="0,0"/>
                    <v:stroke on="f"/>
                    <v:imagedata o:title=""/>
                    <o:lock v:ext="edit" aspectratio="f"/>
                  </v:shape>
                  <v:shape id="任意多边形 968" o:spid="_x0000_s1026" o:spt="100" style="position:absolute;left:0;top:0;height:3394;width:9010;" fillcolor="#000000" filled="t" stroked="f" coordsize="9010,3394" o:gfxdata="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EjuyvQAA&#10;ANsAAAAPAAAAAAAAAAEAIAAAACIAAABkcnMvZG93bnJldi54bWxQSwECFAAUAAAACACHTuJAMy8F&#10;njsAAAA5AAAAEAAAAAAAAAABACAAAAAMAQAAZHJzL3NoYXBleG1sLnhtbFBLBQYAAAAABgAGAFsB&#10;AAC2AwAAAAA=&#10;" path="m9009,3378l8979,3378,8994,3363,9009,3363,9009,3378xe">
                    <v:fill on="t" focussize="0,0"/>
                    <v:stroke on="f"/>
                    <v:imagedata o:title=""/>
                    <o:lock v:ext="edit" aspectratio="f"/>
                  </v:shape>
                </v:group>
                <w10:wrap type="none"/>
                <w10:anchorlock/>
              </v:group>
            </w:pict>
          </mc:Fallback>
        </mc:AlternateContent>
      </w:r>
    </w:p>
    <w:p w14:paraId="4CE07136">
      <w:pPr>
        <w:spacing w:beforeLines="0" w:afterLine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图 5.2-2</w:t>
      </w:r>
      <w:r>
        <w:rPr>
          <w:rFonts w:hint="default" w:ascii="Times New Roman" w:hAnsi="Times New Roman" w:cs="Times New Roman"/>
          <w:color w:val="auto"/>
          <w:sz w:val="24"/>
          <w:szCs w:val="24"/>
          <w:highlight w:val="none"/>
        </w:rPr>
        <w:tab/>
      </w:r>
      <w:r>
        <w:rPr>
          <w:rFonts w:hint="default" w:ascii="Times New Roman" w:hAnsi="Times New Roman" w:cs="Times New Roman"/>
          <w:color w:val="auto"/>
          <w:sz w:val="24"/>
          <w:szCs w:val="24"/>
          <w:highlight w:val="none"/>
        </w:rPr>
        <w:t>阜康市多年平均风速的月变化</w:t>
      </w:r>
    </w:p>
    <w:p w14:paraId="19843104">
      <w:pPr>
        <w:pStyle w:val="5"/>
        <w:bidi w:val="0"/>
        <w:rPr>
          <w:rFonts w:hint="default"/>
        </w:rPr>
      </w:pPr>
      <w:bookmarkStart w:id="281" w:name="5.2.1.3多年风向频率"/>
      <w:bookmarkEnd w:id="281"/>
      <w:bookmarkStart w:id="282" w:name="_Toc7828"/>
      <w:r>
        <w:rPr>
          <w:rFonts w:hint="default"/>
        </w:rPr>
        <w:t>多年风向频率</w:t>
      </w:r>
      <w:bookmarkEnd w:id="282"/>
    </w:p>
    <w:p w14:paraId="50E2B7FF">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阜康市近</w:t>
      </w:r>
      <w:r>
        <w:rPr>
          <w:rFonts w:hint="default"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0年的风向频率统计资料，详见表5.2-3及图5.2-3。</w:t>
      </w:r>
    </w:p>
    <w:p w14:paraId="7AEDA4B8">
      <w:pPr>
        <w:pStyle w:val="45"/>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表 5.2-3</w:t>
      </w:r>
      <w:r>
        <w:rPr>
          <w:rFonts w:hint="default" w:ascii="Times New Roman" w:hAnsi="Times New Roman" w:cs="Times New Roman"/>
          <w:color w:val="auto"/>
          <w:sz w:val="24"/>
          <w:szCs w:val="24"/>
          <w:highlight w:val="none"/>
        </w:rPr>
        <w:tab/>
      </w:r>
      <w:r>
        <w:rPr>
          <w:rFonts w:hint="default" w:ascii="Times New Roman" w:hAnsi="Times New Roman" w:cs="Times New Roman"/>
          <w:color w:val="auto"/>
          <w:sz w:val="24"/>
          <w:szCs w:val="24"/>
          <w:highlight w:val="none"/>
        </w:rPr>
        <w:t>阜康市近</w:t>
      </w:r>
      <w:r>
        <w:rPr>
          <w:rFonts w:hint="default"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0年风向频率统计资料</w:t>
      </w:r>
    </w:p>
    <w:tbl>
      <w:tblPr>
        <w:tblStyle w:val="31"/>
        <w:tblW w:w="0" w:type="auto"/>
        <w:tblInd w:w="22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022"/>
        <w:gridCol w:w="1011"/>
        <w:gridCol w:w="785"/>
        <w:gridCol w:w="927"/>
        <w:gridCol w:w="927"/>
        <w:gridCol w:w="927"/>
        <w:gridCol w:w="927"/>
        <w:gridCol w:w="927"/>
        <w:gridCol w:w="927"/>
        <w:gridCol w:w="785"/>
      </w:tblGrid>
      <w:tr w14:paraId="59C3F8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50" w:hRule="exact"/>
        </w:trPr>
        <w:tc>
          <w:tcPr>
            <w:tcW w:w="1022"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75678C15">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风向</w:t>
            </w:r>
          </w:p>
        </w:tc>
        <w:tc>
          <w:tcPr>
            <w:tcW w:w="1011"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7359C743">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N</w:t>
            </w:r>
          </w:p>
        </w:tc>
        <w:tc>
          <w:tcPr>
            <w:tcW w:w="785"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3E42B274">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NNE</w:t>
            </w:r>
          </w:p>
        </w:tc>
        <w:tc>
          <w:tcPr>
            <w:tcW w:w="927"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5A1D7015">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NE</w:t>
            </w:r>
          </w:p>
        </w:tc>
        <w:tc>
          <w:tcPr>
            <w:tcW w:w="927"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4D5B10E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ENE</w:t>
            </w:r>
          </w:p>
        </w:tc>
        <w:tc>
          <w:tcPr>
            <w:tcW w:w="927"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54766F07">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E</w:t>
            </w:r>
          </w:p>
        </w:tc>
        <w:tc>
          <w:tcPr>
            <w:tcW w:w="927"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4CB8225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ESE</w:t>
            </w:r>
          </w:p>
        </w:tc>
        <w:tc>
          <w:tcPr>
            <w:tcW w:w="927"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2FC9F7D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SE</w:t>
            </w:r>
          </w:p>
        </w:tc>
        <w:tc>
          <w:tcPr>
            <w:tcW w:w="927"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50315A0B">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SSE</w:t>
            </w:r>
          </w:p>
        </w:tc>
        <w:tc>
          <w:tcPr>
            <w:tcW w:w="785"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3E4CCF44">
            <w:pPr>
              <w:pStyle w:val="48"/>
              <w:spacing w:beforeLines="0" w:afterLines="0"/>
              <w:rPr>
                <w:rFonts w:hint="default" w:ascii="Times New Roman" w:hAnsi="Times New Roman" w:cs="Times New Roman"/>
                <w:color w:val="auto"/>
                <w:sz w:val="24"/>
                <w:szCs w:val="24"/>
                <w:highlight w:val="none"/>
              </w:rPr>
            </w:pPr>
          </w:p>
        </w:tc>
      </w:tr>
      <w:tr w14:paraId="172C0C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exact"/>
        </w:trPr>
        <w:tc>
          <w:tcPr>
            <w:tcW w:w="1022"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2B67416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频率</w:t>
            </w:r>
          </w:p>
        </w:tc>
        <w:tc>
          <w:tcPr>
            <w:tcW w:w="1011"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5FB1FDED">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w:t>
            </w:r>
          </w:p>
        </w:tc>
        <w:tc>
          <w:tcPr>
            <w:tcW w:w="785"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4E0F82B4">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w:t>
            </w:r>
          </w:p>
        </w:tc>
        <w:tc>
          <w:tcPr>
            <w:tcW w:w="927"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7BF29D34">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7</w:t>
            </w:r>
          </w:p>
        </w:tc>
        <w:tc>
          <w:tcPr>
            <w:tcW w:w="927"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4733097A">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w:t>
            </w:r>
          </w:p>
        </w:tc>
        <w:tc>
          <w:tcPr>
            <w:tcW w:w="927"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4852E0A1">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5</w:t>
            </w:r>
          </w:p>
        </w:tc>
        <w:tc>
          <w:tcPr>
            <w:tcW w:w="927"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171689B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w:t>
            </w:r>
          </w:p>
        </w:tc>
        <w:tc>
          <w:tcPr>
            <w:tcW w:w="927"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46D9F3BD">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w:t>
            </w:r>
          </w:p>
        </w:tc>
        <w:tc>
          <w:tcPr>
            <w:tcW w:w="927"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0F6BF4AC">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w:t>
            </w:r>
          </w:p>
        </w:tc>
        <w:tc>
          <w:tcPr>
            <w:tcW w:w="785"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05F8A197">
            <w:pPr>
              <w:pStyle w:val="48"/>
              <w:spacing w:beforeLines="0" w:afterLines="0"/>
              <w:rPr>
                <w:rFonts w:hint="default" w:ascii="Times New Roman" w:hAnsi="Times New Roman" w:cs="Times New Roman"/>
                <w:color w:val="auto"/>
                <w:sz w:val="24"/>
                <w:szCs w:val="24"/>
                <w:highlight w:val="none"/>
              </w:rPr>
            </w:pPr>
          </w:p>
        </w:tc>
      </w:tr>
      <w:tr w14:paraId="5A8547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exact"/>
        </w:trPr>
        <w:tc>
          <w:tcPr>
            <w:tcW w:w="1022"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5518DEA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风向</w:t>
            </w:r>
          </w:p>
        </w:tc>
        <w:tc>
          <w:tcPr>
            <w:tcW w:w="1011"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552D0F86">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S</w:t>
            </w:r>
          </w:p>
        </w:tc>
        <w:tc>
          <w:tcPr>
            <w:tcW w:w="785"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2FDD6541">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SSW</w:t>
            </w:r>
          </w:p>
        </w:tc>
        <w:tc>
          <w:tcPr>
            <w:tcW w:w="927"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67AE7765">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SW</w:t>
            </w:r>
          </w:p>
        </w:tc>
        <w:tc>
          <w:tcPr>
            <w:tcW w:w="927"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51676CD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WSW</w:t>
            </w:r>
          </w:p>
        </w:tc>
        <w:tc>
          <w:tcPr>
            <w:tcW w:w="927"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4534D007">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w:t>
            </w:r>
          </w:p>
        </w:tc>
        <w:tc>
          <w:tcPr>
            <w:tcW w:w="927"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2236A571">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WNW</w:t>
            </w:r>
          </w:p>
        </w:tc>
        <w:tc>
          <w:tcPr>
            <w:tcW w:w="927"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0FEA32AB">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NW</w:t>
            </w:r>
          </w:p>
        </w:tc>
        <w:tc>
          <w:tcPr>
            <w:tcW w:w="927"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044A8DBB">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NNW</w:t>
            </w:r>
          </w:p>
        </w:tc>
        <w:tc>
          <w:tcPr>
            <w:tcW w:w="785"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4A70FCD5">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C</w:t>
            </w:r>
          </w:p>
        </w:tc>
      </w:tr>
      <w:tr w14:paraId="049638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50" w:hRule="exact"/>
        </w:trPr>
        <w:tc>
          <w:tcPr>
            <w:tcW w:w="1022"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35F2373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频率</w:t>
            </w:r>
          </w:p>
        </w:tc>
        <w:tc>
          <w:tcPr>
            <w:tcW w:w="1011"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20B940DD">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6</w:t>
            </w:r>
          </w:p>
        </w:tc>
        <w:tc>
          <w:tcPr>
            <w:tcW w:w="785"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59A2814B">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w:t>
            </w:r>
          </w:p>
        </w:tc>
        <w:tc>
          <w:tcPr>
            <w:tcW w:w="927"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72ACDE1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9</w:t>
            </w:r>
          </w:p>
        </w:tc>
        <w:tc>
          <w:tcPr>
            <w:tcW w:w="927"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1A1246FD">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6</w:t>
            </w:r>
          </w:p>
        </w:tc>
        <w:tc>
          <w:tcPr>
            <w:tcW w:w="927"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042BF788">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9</w:t>
            </w:r>
          </w:p>
        </w:tc>
        <w:tc>
          <w:tcPr>
            <w:tcW w:w="927"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50381C2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w:t>
            </w:r>
          </w:p>
        </w:tc>
        <w:tc>
          <w:tcPr>
            <w:tcW w:w="927"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214A2C15">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w:t>
            </w:r>
          </w:p>
        </w:tc>
        <w:tc>
          <w:tcPr>
            <w:tcW w:w="927"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26287D4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w:t>
            </w:r>
          </w:p>
        </w:tc>
        <w:tc>
          <w:tcPr>
            <w:tcW w:w="785"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14A36043">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33</w:t>
            </w:r>
          </w:p>
        </w:tc>
      </w:tr>
    </w:tbl>
    <w:p w14:paraId="74713495">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根据表5.2-3及图5.2-3可见，评价区域W风与SW风风频较大，但连续三个风向角的频率加和均未超过30%，因此可认为该区域主导风向不明显。该区域静风频率为33%。</w:t>
      </w:r>
    </w:p>
    <w:p w14:paraId="564ED2D2">
      <w:pPr>
        <w:spacing w:beforeLines="0" w:afterLine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drawing>
          <wp:inline distT="0" distB="0" distL="114300" distR="114300">
            <wp:extent cx="2887345" cy="2851785"/>
            <wp:effectExtent l="0" t="0" r="8255" b="5715"/>
            <wp:docPr id="153"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51"/>
                    <pic:cNvPicPr>
                      <a:picLocks noChangeAspect="1"/>
                    </pic:cNvPicPr>
                  </pic:nvPicPr>
                  <pic:blipFill>
                    <a:blip r:embed="rId41"/>
                    <a:stretch>
                      <a:fillRect/>
                    </a:stretch>
                  </pic:blipFill>
                  <pic:spPr>
                    <a:xfrm>
                      <a:off x="0" y="0"/>
                      <a:ext cx="2887345" cy="2851785"/>
                    </a:xfrm>
                    <a:prstGeom prst="rect">
                      <a:avLst/>
                    </a:prstGeom>
                    <a:noFill/>
                    <a:ln>
                      <a:noFill/>
                    </a:ln>
                  </pic:spPr>
                </pic:pic>
              </a:graphicData>
            </a:graphic>
          </wp:inline>
        </w:drawing>
      </w:r>
    </w:p>
    <w:p w14:paraId="3D163131">
      <w:pPr>
        <w:spacing w:beforeLines="0" w:afterLine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图 5.2-3</w:t>
      </w:r>
      <w:r>
        <w:rPr>
          <w:rFonts w:hint="default" w:ascii="Times New Roman" w:hAnsi="Times New Roman" w:cs="Times New Roman"/>
          <w:color w:val="auto"/>
          <w:sz w:val="24"/>
          <w:szCs w:val="24"/>
          <w:highlight w:val="none"/>
        </w:rPr>
        <w:tab/>
      </w:r>
      <w:r>
        <w:rPr>
          <w:rFonts w:hint="default" w:ascii="Times New Roman" w:hAnsi="Times New Roman" w:cs="Times New Roman"/>
          <w:color w:val="auto"/>
          <w:sz w:val="24"/>
          <w:szCs w:val="24"/>
          <w:highlight w:val="none"/>
        </w:rPr>
        <w:t>阜康市近</w:t>
      </w:r>
      <w:r>
        <w:rPr>
          <w:rFonts w:hint="default" w:ascii="Times New Roman" w:hAnsi="Times New Roman" w:cs="Times New Roman"/>
          <w:color w:val="auto"/>
          <w:sz w:val="24"/>
          <w:szCs w:val="24"/>
          <w:highlight w:val="none"/>
          <w:lang w:val="en-US" w:eastAsia="zh-CN"/>
        </w:rPr>
        <w:t>20</w:t>
      </w:r>
      <w:r>
        <w:rPr>
          <w:rFonts w:hint="default" w:ascii="Times New Roman" w:hAnsi="Times New Roman" w:cs="Times New Roman"/>
          <w:color w:val="auto"/>
          <w:sz w:val="24"/>
          <w:szCs w:val="24"/>
          <w:highlight w:val="none"/>
        </w:rPr>
        <w:t>年风向玫瑰图</w:t>
      </w:r>
    </w:p>
    <w:p w14:paraId="3EDB779A">
      <w:pPr>
        <w:pStyle w:val="14"/>
        <w:kinsoku w:val="0"/>
        <w:overflowPunct w:val="0"/>
        <w:spacing w:before="3" w:beforeLines="0" w:afterLines="0"/>
        <w:ind w:left="0"/>
        <w:rPr>
          <w:rFonts w:hint="default" w:ascii="Times New Roman" w:hAnsi="Times New Roman" w:eastAsia="Calibri" w:cs="Times New Roman"/>
          <w:color w:val="auto"/>
          <w:sz w:val="10"/>
          <w:szCs w:val="24"/>
          <w:highlight w:val="none"/>
        </w:rPr>
      </w:pPr>
    </w:p>
    <w:p w14:paraId="5C8715EC">
      <w:pPr>
        <w:pStyle w:val="14"/>
        <w:kinsoku w:val="0"/>
        <w:overflowPunct w:val="0"/>
        <w:spacing w:beforeLines="0" w:afterLines="0" w:line="11505" w:lineRule="exact"/>
        <w:ind w:left="599"/>
        <w:rPr>
          <w:rFonts w:hint="default" w:ascii="Times New Roman" w:hAnsi="Times New Roman" w:eastAsia="Calibri" w:cs="Times New Roman"/>
          <w:color w:val="auto"/>
          <w:position w:val="-230"/>
          <w:sz w:val="20"/>
          <w:szCs w:val="24"/>
          <w:highlight w:val="none"/>
        </w:rPr>
      </w:pPr>
      <w:r>
        <w:rPr>
          <w:rFonts w:hint="default" w:ascii="Times New Roman" w:hAnsi="Times New Roman" w:eastAsia="Calibri" w:cs="Times New Roman"/>
          <w:color w:val="auto"/>
          <w:position w:val="-230"/>
          <w:sz w:val="20"/>
          <w:szCs w:val="24"/>
          <w:highlight w:val="none"/>
        </w:rPr>
        <w:drawing>
          <wp:inline distT="0" distB="0" distL="114300" distR="114300">
            <wp:extent cx="5095875" cy="7305675"/>
            <wp:effectExtent l="0" t="0" r="9525" b="9525"/>
            <wp:docPr id="154"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65"/>
                    <pic:cNvPicPr>
                      <a:picLocks noChangeAspect="1"/>
                    </pic:cNvPicPr>
                  </pic:nvPicPr>
                  <pic:blipFill>
                    <a:blip r:embed="rId42"/>
                    <a:stretch>
                      <a:fillRect/>
                    </a:stretch>
                  </pic:blipFill>
                  <pic:spPr>
                    <a:xfrm>
                      <a:off x="0" y="0"/>
                      <a:ext cx="5095875" cy="7305675"/>
                    </a:xfrm>
                    <a:prstGeom prst="rect">
                      <a:avLst/>
                    </a:prstGeom>
                    <a:noFill/>
                    <a:ln>
                      <a:noFill/>
                    </a:ln>
                  </pic:spPr>
                </pic:pic>
              </a:graphicData>
            </a:graphic>
          </wp:inline>
        </w:drawing>
      </w:r>
    </w:p>
    <w:p w14:paraId="1AD4E3B1">
      <w:pPr>
        <w:pStyle w:val="14"/>
        <w:kinsoku w:val="0"/>
        <w:overflowPunct w:val="0"/>
        <w:spacing w:beforeLines="0" w:afterLines="0"/>
        <w:ind w:left="0"/>
        <w:rPr>
          <w:rFonts w:hint="default" w:ascii="Times New Roman" w:hAnsi="Times New Roman" w:eastAsia="Calibri" w:cs="Times New Roman"/>
          <w:color w:val="auto"/>
          <w:sz w:val="11"/>
          <w:szCs w:val="24"/>
          <w:highlight w:val="none"/>
        </w:rPr>
      </w:pPr>
    </w:p>
    <w:p w14:paraId="3ACF5EF6">
      <w:pPr>
        <w:pStyle w:val="14"/>
        <w:tabs>
          <w:tab w:val="left" w:pos="3625"/>
        </w:tabs>
        <w:kinsoku w:val="0"/>
        <w:overflowPunct w:val="0"/>
        <w:spacing w:before="26" w:beforeLines="0" w:afterLines="0"/>
        <w:ind w:left="2226"/>
        <w:rPr>
          <w:rFonts w:hint="default" w:ascii="Times New Roman" w:hAnsi="Times New Roman" w:cs="Times New Roman"/>
          <w:color w:val="auto"/>
          <w:sz w:val="24"/>
          <w:szCs w:val="24"/>
          <w:highlight w:val="none"/>
        </w:rPr>
      </w:pPr>
      <w:r>
        <w:rPr>
          <w:rFonts w:hint="default" w:ascii="Times New Roman" w:hAnsi="Times New Roman" w:cs="Times New Roman"/>
          <w:b/>
          <w:color w:val="auto"/>
          <w:sz w:val="24"/>
          <w:szCs w:val="24"/>
          <w:highlight w:val="none"/>
        </w:rPr>
        <w:t>图</w:t>
      </w:r>
      <w:r>
        <w:rPr>
          <w:rFonts w:hint="default" w:ascii="Times New Roman" w:hAnsi="Times New Roman" w:cs="Times New Roman"/>
          <w:b/>
          <w:color w:val="auto"/>
          <w:spacing w:val="-63"/>
          <w:sz w:val="24"/>
          <w:szCs w:val="24"/>
          <w:highlight w:val="none"/>
        </w:rPr>
        <w:t xml:space="preserve"> </w:t>
      </w:r>
      <w:r>
        <w:rPr>
          <w:rFonts w:hint="default" w:ascii="Times New Roman" w:hAnsi="Times New Roman" w:eastAsia="Times New Roman" w:cs="Times New Roman"/>
          <w:b/>
          <w:color w:val="auto"/>
          <w:sz w:val="24"/>
          <w:szCs w:val="24"/>
          <w:highlight w:val="none"/>
        </w:rPr>
        <w:t>5.2-4</w:t>
      </w:r>
      <w:r>
        <w:rPr>
          <w:rFonts w:hint="default" w:ascii="Times New Roman" w:hAnsi="Times New Roman" w:eastAsia="Times New Roman" w:cs="Times New Roman"/>
          <w:b/>
          <w:color w:val="auto"/>
          <w:sz w:val="24"/>
          <w:szCs w:val="24"/>
          <w:highlight w:val="none"/>
        </w:rPr>
        <w:tab/>
      </w:r>
      <w:r>
        <w:rPr>
          <w:rFonts w:hint="default" w:ascii="Times New Roman" w:hAnsi="Times New Roman" w:cs="Times New Roman"/>
          <w:b/>
          <w:color w:val="auto"/>
          <w:sz w:val="24"/>
          <w:szCs w:val="24"/>
          <w:highlight w:val="none"/>
        </w:rPr>
        <w:t>阜康市全年及各季度风向玫瑰图</w:t>
      </w:r>
    </w:p>
    <w:p w14:paraId="27C0EEC4">
      <w:pPr>
        <w:pStyle w:val="14"/>
        <w:kinsoku w:val="0"/>
        <w:overflowPunct w:val="0"/>
        <w:spacing w:beforeLines="0" w:afterLines="0" w:line="11385" w:lineRule="exact"/>
        <w:ind w:left="637"/>
        <w:rPr>
          <w:rFonts w:hint="default" w:ascii="Times New Roman" w:hAnsi="Times New Roman" w:cs="Times New Roman"/>
          <w:color w:val="auto"/>
          <w:position w:val="-228"/>
          <w:sz w:val="20"/>
          <w:szCs w:val="24"/>
          <w:highlight w:val="none"/>
        </w:rPr>
      </w:pPr>
      <w:r>
        <w:rPr>
          <w:rFonts w:hint="default" w:ascii="Times New Roman" w:hAnsi="Times New Roman" w:cs="Times New Roman"/>
          <w:color w:val="auto"/>
          <w:position w:val="-228"/>
          <w:sz w:val="20"/>
          <w:szCs w:val="24"/>
          <w:highlight w:val="none"/>
        </w:rPr>
        <w:drawing>
          <wp:inline distT="0" distB="0" distL="114300" distR="114300">
            <wp:extent cx="5048250" cy="7229475"/>
            <wp:effectExtent l="0" t="0" r="6350" b="9525"/>
            <wp:docPr id="155"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66"/>
                    <pic:cNvPicPr>
                      <a:picLocks noChangeAspect="1"/>
                    </pic:cNvPicPr>
                  </pic:nvPicPr>
                  <pic:blipFill>
                    <a:blip r:embed="rId43"/>
                    <a:stretch>
                      <a:fillRect/>
                    </a:stretch>
                  </pic:blipFill>
                  <pic:spPr>
                    <a:xfrm>
                      <a:off x="0" y="0"/>
                      <a:ext cx="5048250" cy="7229475"/>
                    </a:xfrm>
                    <a:prstGeom prst="rect">
                      <a:avLst/>
                    </a:prstGeom>
                    <a:noFill/>
                    <a:ln>
                      <a:noFill/>
                    </a:ln>
                  </pic:spPr>
                </pic:pic>
              </a:graphicData>
            </a:graphic>
          </wp:inline>
        </w:drawing>
      </w:r>
    </w:p>
    <w:p w14:paraId="5D4F52F7">
      <w:pPr>
        <w:pStyle w:val="14"/>
        <w:kinsoku w:val="0"/>
        <w:overflowPunct w:val="0"/>
        <w:spacing w:before="11" w:beforeLines="0" w:afterLines="0"/>
        <w:ind w:left="0"/>
        <w:rPr>
          <w:rFonts w:hint="default" w:ascii="Times New Roman" w:hAnsi="Times New Roman" w:cs="Times New Roman"/>
          <w:color w:val="auto"/>
          <w:sz w:val="14"/>
          <w:szCs w:val="24"/>
          <w:highlight w:val="none"/>
        </w:rPr>
      </w:pPr>
    </w:p>
    <w:p w14:paraId="3FD3CCF1">
      <w:pPr>
        <w:pStyle w:val="14"/>
        <w:tabs>
          <w:tab w:val="left" w:pos="3625"/>
        </w:tabs>
        <w:kinsoku w:val="0"/>
        <w:overflowPunct w:val="0"/>
        <w:spacing w:before="26" w:beforeLines="0" w:afterLines="0"/>
        <w:ind w:left="2226"/>
        <w:rPr>
          <w:rFonts w:hint="default" w:ascii="Times New Roman" w:hAnsi="Times New Roman" w:cs="Times New Roman"/>
          <w:color w:val="auto"/>
          <w:sz w:val="24"/>
          <w:szCs w:val="24"/>
          <w:highlight w:val="none"/>
        </w:rPr>
      </w:pPr>
      <w:r>
        <w:rPr>
          <w:rFonts w:hint="default" w:ascii="Times New Roman" w:hAnsi="Times New Roman" w:cs="Times New Roman"/>
          <w:b/>
          <w:color w:val="auto"/>
          <w:sz w:val="24"/>
          <w:szCs w:val="24"/>
          <w:highlight w:val="none"/>
        </w:rPr>
        <w:t>图</w:t>
      </w:r>
      <w:r>
        <w:rPr>
          <w:rFonts w:hint="default" w:ascii="Times New Roman" w:hAnsi="Times New Roman" w:cs="Times New Roman"/>
          <w:b/>
          <w:color w:val="auto"/>
          <w:spacing w:val="-63"/>
          <w:sz w:val="24"/>
          <w:szCs w:val="24"/>
          <w:highlight w:val="none"/>
        </w:rPr>
        <w:t xml:space="preserve"> </w:t>
      </w:r>
      <w:r>
        <w:rPr>
          <w:rFonts w:hint="default" w:ascii="Times New Roman" w:hAnsi="Times New Roman" w:eastAsia="Times New Roman" w:cs="Times New Roman"/>
          <w:b/>
          <w:color w:val="auto"/>
          <w:sz w:val="24"/>
          <w:szCs w:val="24"/>
          <w:highlight w:val="none"/>
        </w:rPr>
        <w:t>5.2-5</w:t>
      </w:r>
      <w:r>
        <w:rPr>
          <w:rFonts w:hint="default" w:ascii="Times New Roman" w:hAnsi="Times New Roman" w:eastAsia="Times New Roman" w:cs="Times New Roman"/>
          <w:b/>
          <w:color w:val="auto"/>
          <w:sz w:val="24"/>
          <w:szCs w:val="24"/>
          <w:highlight w:val="none"/>
        </w:rPr>
        <w:tab/>
      </w:r>
      <w:r>
        <w:rPr>
          <w:rFonts w:hint="default" w:ascii="Times New Roman" w:hAnsi="Times New Roman" w:cs="Times New Roman"/>
          <w:b/>
          <w:color w:val="auto"/>
          <w:sz w:val="24"/>
          <w:szCs w:val="24"/>
          <w:highlight w:val="none"/>
        </w:rPr>
        <w:t>阜康市全年及各季度风向玫瑰图</w:t>
      </w:r>
    </w:p>
    <w:p w14:paraId="614A9AE0">
      <w:pPr>
        <w:pStyle w:val="5"/>
        <w:bidi w:val="0"/>
        <w:rPr>
          <w:rFonts w:hint="default"/>
        </w:rPr>
      </w:pPr>
      <w:bookmarkStart w:id="283" w:name="5.2.1.4大气环境影响预测"/>
      <w:bookmarkEnd w:id="283"/>
      <w:bookmarkStart w:id="284" w:name="_Toc13421"/>
      <w:r>
        <w:rPr>
          <w:rFonts w:hint="default"/>
        </w:rPr>
        <w:t>大气环境影响预测</w:t>
      </w:r>
      <w:r>
        <w:rPr>
          <w:rFonts w:hint="default"/>
          <w:lang w:val="en-US" w:eastAsia="zh-CN"/>
        </w:rPr>
        <w:t>与分析</w:t>
      </w:r>
      <w:bookmarkEnd w:id="284"/>
    </w:p>
    <w:p w14:paraId="5E41E95A">
      <w:pPr>
        <w:numPr>
          <w:ilvl w:val="0"/>
          <w:numId w:val="37"/>
        </w:numPr>
        <w:spacing w:beforeLines="0" w:afterLines="0"/>
        <w:ind w:firstLine="5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预测模型的选取</w:t>
      </w:r>
    </w:p>
    <w:p w14:paraId="6C3F2E83">
      <w:pPr>
        <w:spacing w:beforeLines="0" w:afterLines="0"/>
        <w:rPr>
          <w:rFonts w:hint="default" w:ascii="Times New Roman" w:hAnsi="Times New Roman" w:cs="Times New Roman"/>
          <w:color w:val="auto"/>
          <w:sz w:val="24"/>
          <w:szCs w:val="24"/>
          <w:highlight w:val="none"/>
          <w:lang w:val="en-US" w:eastAsia="zh-CN" w:bidi="ar"/>
        </w:rPr>
      </w:pPr>
      <w:r>
        <w:rPr>
          <w:rFonts w:hint="default" w:ascii="Times New Roman" w:hAnsi="Times New Roman" w:cs="Times New Roman"/>
          <w:color w:val="auto"/>
          <w:sz w:val="24"/>
          <w:szCs w:val="24"/>
          <w:highlight w:val="none"/>
          <w:lang w:val="en-US" w:eastAsia="zh-CN"/>
        </w:rPr>
        <w:t>本项目大气环境影响评价等级为二级，根据《环境影响评价技术导则大气环境》（HJ2.2-2018）的相关规定：“二级评价项目不进行进一步预测，只对污染物排放量进行核</w:t>
      </w:r>
      <w:r>
        <w:rPr>
          <w:rFonts w:hint="default" w:ascii="Times New Roman" w:hAnsi="Times New Roman" w:cs="Times New Roman"/>
          <w:color w:val="auto"/>
          <w:sz w:val="24"/>
          <w:szCs w:val="24"/>
          <w:highlight w:val="none"/>
          <w:lang w:val="en-US" w:eastAsia="zh-CN" w:bidi="ar"/>
        </w:rPr>
        <w:t>算”。故本次只对采用AERSCREEN模式预测的结果进行评价，不进行进一步预测。</w:t>
      </w:r>
    </w:p>
    <w:p w14:paraId="4E814BC2">
      <w:pPr>
        <w:numPr>
          <w:ilvl w:val="0"/>
          <w:numId w:val="37"/>
        </w:numPr>
        <w:spacing w:beforeLines="0" w:afterLines="0"/>
        <w:ind w:firstLine="5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估算模型参数选择</w:t>
      </w:r>
    </w:p>
    <w:p w14:paraId="13113C32">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本评价采用《环境影响评价技术导则大气环境》（HJ2.2-2018）推荐的估算模式ARESCREEN对项目产生的废气影响做简单预测，预测时不考虑建筑物下陷、地形影响和海岸线熏烟情况，地面类型选择农村，估算模型计算参数表见下表。</w:t>
      </w:r>
    </w:p>
    <w:p w14:paraId="241D78A1">
      <w:pPr>
        <w:pStyle w:val="45"/>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表 5.2-</w:t>
      </w:r>
      <w:r>
        <w:rPr>
          <w:rFonts w:hint="default"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rPr>
        <w:tab/>
      </w:r>
      <w:r>
        <w:rPr>
          <w:rFonts w:hint="default" w:ascii="Times New Roman" w:hAnsi="Times New Roman" w:cs="Times New Roman"/>
          <w:color w:val="auto"/>
          <w:sz w:val="24"/>
          <w:szCs w:val="24"/>
          <w:highlight w:val="none"/>
        </w:rPr>
        <w:t>估算模型参数表</w:t>
      </w:r>
    </w:p>
    <w:tbl>
      <w:tblPr>
        <w:tblStyle w:val="31"/>
        <w:tblW w:w="0" w:type="auto"/>
        <w:tblInd w:w="2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26"/>
        <w:gridCol w:w="2941"/>
        <w:gridCol w:w="3605"/>
      </w:tblGrid>
      <w:tr w14:paraId="33D2BB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5567" w:type="dxa"/>
            <w:gridSpan w:val="2"/>
            <w:tcBorders>
              <w:tl2br w:val="nil"/>
              <w:tr2bl w:val="nil"/>
            </w:tcBorders>
            <w:noWrap w:val="0"/>
            <w:vAlign w:val="top"/>
          </w:tcPr>
          <w:p w14:paraId="4DBB56A6">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选项</w:t>
            </w:r>
          </w:p>
        </w:tc>
        <w:tc>
          <w:tcPr>
            <w:tcW w:w="3605" w:type="dxa"/>
            <w:tcBorders>
              <w:tl2br w:val="nil"/>
              <w:tr2bl w:val="nil"/>
            </w:tcBorders>
            <w:noWrap w:val="0"/>
            <w:vAlign w:val="top"/>
          </w:tcPr>
          <w:p w14:paraId="3F301A75">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参数</w:t>
            </w:r>
          </w:p>
        </w:tc>
      </w:tr>
      <w:tr w14:paraId="01AC99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2626" w:type="dxa"/>
            <w:vMerge w:val="restart"/>
            <w:tcBorders>
              <w:tl2br w:val="nil"/>
              <w:tr2bl w:val="nil"/>
            </w:tcBorders>
            <w:noWrap w:val="0"/>
            <w:vAlign w:val="top"/>
          </w:tcPr>
          <w:p w14:paraId="04877DBE">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城市/农村选项</w:t>
            </w:r>
          </w:p>
        </w:tc>
        <w:tc>
          <w:tcPr>
            <w:tcW w:w="2941" w:type="dxa"/>
            <w:tcBorders>
              <w:tl2br w:val="nil"/>
              <w:tr2bl w:val="nil"/>
            </w:tcBorders>
            <w:noWrap w:val="0"/>
            <w:vAlign w:val="top"/>
          </w:tcPr>
          <w:p w14:paraId="1E64BB5E">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城市/农村</w:t>
            </w:r>
          </w:p>
        </w:tc>
        <w:tc>
          <w:tcPr>
            <w:tcW w:w="3605" w:type="dxa"/>
            <w:tcBorders>
              <w:tl2br w:val="nil"/>
              <w:tr2bl w:val="nil"/>
            </w:tcBorders>
            <w:noWrap w:val="0"/>
            <w:vAlign w:val="top"/>
          </w:tcPr>
          <w:p w14:paraId="54D8DADE">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农村</w:t>
            </w:r>
          </w:p>
        </w:tc>
      </w:tr>
      <w:tr w14:paraId="77604E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2626" w:type="dxa"/>
            <w:vMerge w:val="continue"/>
            <w:tcBorders>
              <w:tl2br w:val="nil"/>
              <w:tr2bl w:val="nil"/>
            </w:tcBorders>
            <w:noWrap w:val="0"/>
            <w:vAlign w:val="top"/>
          </w:tcPr>
          <w:p w14:paraId="79C1BCA3">
            <w:pPr>
              <w:pStyle w:val="48"/>
              <w:spacing w:beforeLines="0" w:afterLines="0"/>
              <w:rPr>
                <w:rFonts w:hint="default" w:ascii="Times New Roman" w:hAnsi="Times New Roman" w:cs="Times New Roman"/>
                <w:color w:val="auto"/>
                <w:sz w:val="24"/>
                <w:szCs w:val="24"/>
                <w:highlight w:val="none"/>
              </w:rPr>
            </w:pPr>
          </w:p>
        </w:tc>
        <w:tc>
          <w:tcPr>
            <w:tcW w:w="2941" w:type="dxa"/>
            <w:tcBorders>
              <w:tl2br w:val="nil"/>
              <w:tr2bl w:val="nil"/>
            </w:tcBorders>
            <w:noWrap w:val="0"/>
            <w:vAlign w:val="top"/>
          </w:tcPr>
          <w:p w14:paraId="77A33D94">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人口数（城市选项时）</w:t>
            </w:r>
          </w:p>
        </w:tc>
        <w:tc>
          <w:tcPr>
            <w:tcW w:w="3605" w:type="dxa"/>
            <w:tcBorders>
              <w:tl2br w:val="nil"/>
              <w:tr2bl w:val="nil"/>
            </w:tcBorders>
            <w:noWrap w:val="0"/>
            <w:vAlign w:val="top"/>
          </w:tcPr>
          <w:p w14:paraId="13100A24">
            <w:pPr>
              <w:pStyle w:val="48"/>
              <w:spacing w:beforeLines="0" w:afterLines="0"/>
              <w:rPr>
                <w:rFonts w:hint="default" w:ascii="Times New Roman" w:hAnsi="Times New Roman" w:cs="Times New Roman"/>
                <w:color w:val="auto"/>
                <w:sz w:val="24"/>
                <w:szCs w:val="24"/>
                <w:highlight w:val="none"/>
              </w:rPr>
            </w:pPr>
          </w:p>
        </w:tc>
      </w:tr>
      <w:tr w14:paraId="5109B3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5567" w:type="dxa"/>
            <w:gridSpan w:val="2"/>
            <w:tcBorders>
              <w:tl2br w:val="nil"/>
              <w:tr2bl w:val="nil"/>
            </w:tcBorders>
            <w:noWrap w:val="0"/>
            <w:vAlign w:val="top"/>
          </w:tcPr>
          <w:p w14:paraId="36E1FBD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最高环境温度/℃</w:t>
            </w:r>
          </w:p>
        </w:tc>
        <w:tc>
          <w:tcPr>
            <w:tcW w:w="3605" w:type="dxa"/>
            <w:tcBorders>
              <w:tl2br w:val="nil"/>
              <w:tr2bl w:val="nil"/>
            </w:tcBorders>
            <w:noWrap w:val="0"/>
            <w:vAlign w:val="top"/>
          </w:tcPr>
          <w:p w14:paraId="257E35A5">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41.5</w:t>
            </w:r>
          </w:p>
        </w:tc>
      </w:tr>
      <w:tr w14:paraId="6A75DE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5567" w:type="dxa"/>
            <w:gridSpan w:val="2"/>
            <w:tcBorders>
              <w:tl2br w:val="nil"/>
              <w:tr2bl w:val="nil"/>
            </w:tcBorders>
            <w:noWrap w:val="0"/>
            <w:vAlign w:val="top"/>
          </w:tcPr>
          <w:p w14:paraId="0B8226FA">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最低环境温度/℃</w:t>
            </w:r>
          </w:p>
        </w:tc>
        <w:tc>
          <w:tcPr>
            <w:tcW w:w="3605" w:type="dxa"/>
            <w:tcBorders>
              <w:tl2br w:val="nil"/>
              <w:tr2bl w:val="nil"/>
            </w:tcBorders>
            <w:noWrap w:val="0"/>
            <w:vAlign w:val="top"/>
          </w:tcPr>
          <w:p w14:paraId="53067144">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-34.4</w:t>
            </w:r>
          </w:p>
        </w:tc>
      </w:tr>
      <w:tr w14:paraId="44EE6E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5567" w:type="dxa"/>
            <w:gridSpan w:val="2"/>
            <w:tcBorders>
              <w:tl2br w:val="nil"/>
              <w:tr2bl w:val="nil"/>
            </w:tcBorders>
            <w:noWrap w:val="0"/>
            <w:vAlign w:val="top"/>
          </w:tcPr>
          <w:p w14:paraId="6014DF1A">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土地利用类型</w:t>
            </w:r>
          </w:p>
        </w:tc>
        <w:tc>
          <w:tcPr>
            <w:tcW w:w="3605" w:type="dxa"/>
            <w:tcBorders>
              <w:tl2br w:val="nil"/>
              <w:tr2bl w:val="nil"/>
            </w:tcBorders>
            <w:noWrap w:val="0"/>
            <w:vAlign w:val="top"/>
          </w:tcPr>
          <w:p w14:paraId="20D0C44D">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草地</w:t>
            </w:r>
          </w:p>
        </w:tc>
      </w:tr>
      <w:tr w14:paraId="59FCBA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5567" w:type="dxa"/>
            <w:gridSpan w:val="2"/>
            <w:tcBorders>
              <w:tl2br w:val="nil"/>
              <w:tr2bl w:val="nil"/>
            </w:tcBorders>
            <w:noWrap w:val="0"/>
            <w:vAlign w:val="top"/>
          </w:tcPr>
          <w:p w14:paraId="150444A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区域湿度条件</w:t>
            </w:r>
          </w:p>
        </w:tc>
        <w:tc>
          <w:tcPr>
            <w:tcW w:w="3605" w:type="dxa"/>
            <w:tcBorders>
              <w:tl2br w:val="nil"/>
              <w:tr2bl w:val="nil"/>
            </w:tcBorders>
            <w:noWrap w:val="0"/>
            <w:vAlign w:val="top"/>
          </w:tcPr>
          <w:p w14:paraId="073401BA">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干燥</w:t>
            </w:r>
          </w:p>
        </w:tc>
      </w:tr>
      <w:tr w14:paraId="3DAD5E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2626" w:type="dxa"/>
            <w:tcBorders>
              <w:tl2br w:val="nil"/>
              <w:tr2bl w:val="nil"/>
            </w:tcBorders>
            <w:noWrap w:val="0"/>
            <w:vAlign w:val="top"/>
          </w:tcPr>
          <w:p w14:paraId="0027C9EE">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是否考虑地形</w:t>
            </w:r>
          </w:p>
        </w:tc>
        <w:tc>
          <w:tcPr>
            <w:tcW w:w="2941" w:type="dxa"/>
            <w:tcBorders>
              <w:tl2br w:val="nil"/>
              <w:tr2bl w:val="nil"/>
            </w:tcBorders>
            <w:noWrap w:val="0"/>
            <w:vAlign w:val="top"/>
          </w:tcPr>
          <w:p w14:paraId="3D6ED492">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考虑地形</w:t>
            </w:r>
          </w:p>
        </w:tc>
        <w:tc>
          <w:tcPr>
            <w:tcW w:w="3605" w:type="dxa"/>
            <w:tcBorders>
              <w:tl2br w:val="nil"/>
              <w:tr2bl w:val="nil"/>
            </w:tcBorders>
            <w:noWrap w:val="0"/>
            <w:vAlign w:val="top"/>
          </w:tcPr>
          <w:p w14:paraId="7F6E7488">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否</w:t>
            </w:r>
          </w:p>
        </w:tc>
      </w:tr>
      <w:tr w14:paraId="43828A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2626" w:type="dxa"/>
            <w:tcBorders>
              <w:tl2br w:val="nil"/>
              <w:tr2bl w:val="nil"/>
            </w:tcBorders>
            <w:noWrap w:val="0"/>
            <w:vAlign w:val="top"/>
          </w:tcPr>
          <w:p w14:paraId="1B0F9DCA">
            <w:pPr>
              <w:pStyle w:val="48"/>
              <w:spacing w:beforeLines="0" w:afterLines="0"/>
              <w:rPr>
                <w:rFonts w:hint="default" w:ascii="Times New Roman" w:hAnsi="Times New Roman" w:cs="Times New Roman"/>
                <w:color w:val="auto"/>
                <w:sz w:val="24"/>
                <w:szCs w:val="24"/>
                <w:highlight w:val="none"/>
              </w:rPr>
            </w:pPr>
          </w:p>
        </w:tc>
        <w:tc>
          <w:tcPr>
            <w:tcW w:w="2941" w:type="dxa"/>
            <w:tcBorders>
              <w:tl2br w:val="nil"/>
              <w:tr2bl w:val="nil"/>
            </w:tcBorders>
            <w:noWrap w:val="0"/>
            <w:vAlign w:val="top"/>
          </w:tcPr>
          <w:p w14:paraId="0456A83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地形数据分辨率/m</w:t>
            </w:r>
          </w:p>
        </w:tc>
        <w:tc>
          <w:tcPr>
            <w:tcW w:w="3605" w:type="dxa"/>
            <w:tcBorders>
              <w:tl2br w:val="nil"/>
              <w:tr2bl w:val="nil"/>
            </w:tcBorders>
            <w:noWrap w:val="0"/>
            <w:vAlign w:val="top"/>
          </w:tcPr>
          <w:p w14:paraId="607AF81C">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90</w:t>
            </w:r>
          </w:p>
        </w:tc>
      </w:tr>
      <w:tr w14:paraId="47EBC0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2626" w:type="dxa"/>
            <w:vMerge w:val="restart"/>
            <w:tcBorders>
              <w:tl2br w:val="nil"/>
              <w:tr2bl w:val="nil"/>
            </w:tcBorders>
            <w:noWrap w:val="0"/>
            <w:vAlign w:val="top"/>
          </w:tcPr>
          <w:p w14:paraId="44646396">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是否考虑海岸线熏烟</w:t>
            </w:r>
          </w:p>
        </w:tc>
        <w:tc>
          <w:tcPr>
            <w:tcW w:w="2941" w:type="dxa"/>
            <w:tcBorders>
              <w:tl2br w:val="nil"/>
              <w:tr2bl w:val="nil"/>
            </w:tcBorders>
            <w:noWrap w:val="0"/>
            <w:vAlign w:val="top"/>
          </w:tcPr>
          <w:p w14:paraId="5283731B">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考虑海岸线熏烟</w:t>
            </w:r>
          </w:p>
        </w:tc>
        <w:tc>
          <w:tcPr>
            <w:tcW w:w="3605" w:type="dxa"/>
            <w:tcBorders>
              <w:tl2br w:val="nil"/>
              <w:tr2bl w:val="nil"/>
            </w:tcBorders>
            <w:noWrap w:val="0"/>
            <w:vAlign w:val="top"/>
          </w:tcPr>
          <w:p w14:paraId="052C1F64">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否</w:t>
            </w:r>
          </w:p>
        </w:tc>
      </w:tr>
      <w:tr w14:paraId="71A219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2626" w:type="dxa"/>
            <w:vMerge w:val="continue"/>
            <w:tcBorders>
              <w:tl2br w:val="nil"/>
              <w:tr2bl w:val="nil"/>
            </w:tcBorders>
            <w:noWrap w:val="0"/>
            <w:vAlign w:val="top"/>
          </w:tcPr>
          <w:p w14:paraId="52FF68AA">
            <w:pPr>
              <w:pStyle w:val="48"/>
              <w:spacing w:beforeLines="0" w:afterLines="0"/>
              <w:rPr>
                <w:rFonts w:hint="default" w:ascii="Times New Roman" w:hAnsi="Times New Roman" w:cs="Times New Roman"/>
                <w:color w:val="auto"/>
                <w:sz w:val="24"/>
                <w:szCs w:val="24"/>
                <w:highlight w:val="none"/>
              </w:rPr>
            </w:pPr>
          </w:p>
        </w:tc>
        <w:tc>
          <w:tcPr>
            <w:tcW w:w="2941" w:type="dxa"/>
            <w:tcBorders>
              <w:tl2br w:val="nil"/>
              <w:tr2bl w:val="nil"/>
            </w:tcBorders>
            <w:noWrap w:val="0"/>
            <w:vAlign w:val="top"/>
          </w:tcPr>
          <w:p w14:paraId="21940334">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岸线距离/km</w:t>
            </w:r>
          </w:p>
        </w:tc>
        <w:tc>
          <w:tcPr>
            <w:tcW w:w="3605" w:type="dxa"/>
            <w:tcBorders>
              <w:tl2br w:val="nil"/>
              <w:tr2bl w:val="nil"/>
            </w:tcBorders>
            <w:noWrap w:val="0"/>
            <w:vAlign w:val="top"/>
          </w:tcPr>
          <w:p w14:paraId="0083FDF9">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p>
        </w:tc>
      </w:tr>
      <w:tr w14:paraId="00AFA3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2626" w:type="dxa"/>
            <w:vMerge w:val="continue"/>
            <w:tcBorders>
              <w:tl2br w:val="nil"/>
              <w:tr2bl w:val="nil"/>
            </w:tcBorders>
            <w:noWrap w:val="0"/>
            <w:vAlign w:val="top"/>
          </w:tcPr>
          <w:p w14:paraId="2F5D36D4">
            <w:pPr>
              <w:pStyle w:val="48"/>
              <w:spacing w:beforeLines="0" w:afterLines="0"/>
              <w:rPr>
                <w:rFonts w:hint="default" w:ascii="Times New Roman" w:hAnsi="Times New Roman" w:cs="Times New Roman"/>
                <w:color w:val="auto"/>
                <w:sz w:val="24"/>
                <w:szCs w:val="24"/>
                <w:highlight w:val="none"/>
              </w:rPr>
            </w:pPr>
          </w:p>
        </w:tc>
        <w:tc>
          <w:tcPr>
            <w:tcW w:w="2941" w:type="dxa"/>
            <w:tcBorders>
              <w:tl2br w:val="nil"/>
              <w:tr2bl w:val="nil"/>
            </w:tcBorders>
            <w:noWrap w:val="0"/>
            <w:vAlign w:val="top"/>
          </w:tcPr>
          <w:p w14:paraId="7C2A1F8C">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岸线方向/°</w:t>
            </w:r>
          </w:p>
        </w:tc>
        <w:tc>
          <w:tcPr>
            <w:tcW w:w="3605" w:type="dxa"/>
            <w:tcBorders>
              <w:tl2br w:val="nil"/>
              <w:tr2bl w:val="nil"/>
            </w:tcBorders>
            <w:noWrap w:val="0"/>
            <w:vAlign w:val="top"/>
          </w:tcPr>
          <w:p w14:paraId="65336BE7">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p>
        </w:tc>
      </w:tr>
    </w:tbl>
    <w:p w14:paraId="2ED4BB8A">
      <w:pPr>
        <w:numPr>
          <w:ilvl w:val="0"/>
          <w:numId w:val="0"/>
        </w:numPr>
        <w:spacing w:beforeLines="0" w:afterLines="0"/>
        <w:ind w:firstLine="0"/>
        <w:rPr>
          <w:rFonts w:hint="default" w:ascii="Times New Roman" w:hAnsi="Times New Roman" w:cs="Times New Roman"/>
          <w:color w:val="auto"/>
          <w:sz w:val="24"/>
          <w:szCs w:val="24"/>
          <w:highlight w:val="none"/>
          <w:lang w:val="en-US" w:eastAsia="zh-CN"/>
        </w:rPr>
      </w:pPr>
    </w:p>
    <w:p w14:paraId="6A2FF315">
      <w:pPr>
        <w:numPr>
          <w:ilvl w:val="0"/>
          <w:numId w:val="37"/>
        </w:num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预测因子</w:t>
      </w:r>
    </w:p>
    <w:p w14:paraId="2829C48A">
      <w:pPr>
        <w:numPr>
          <w:ilvl w:val="0"/>
          <w:numId w:val="0"/>
        </w:numPr>
        <w:bidi w:val="0"/>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根据预测评价要求及工程分析的结果，项目运营期排放的废气对评价区大气环境影响相对较大，最终确定预测因子为TSP。</w:t>
      </w:r>
    </w:p>
    <w:p w14:paraId="28ACEECE">
      <w:pPr>
        <w:numPr>
          <w:ilvl w:val="0"/>
          <w:numId w:val="37"/>
        </w:num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污染源参数</w:t>
      </w:r>
    </w:p>
    <w:p w14:paraId="11C9A1E8">
      <w:pPr>
        <w:pStyle w:val="45"/>
        <w:spacing w:beforeLines="0" w:afterLines="0"/>
        <w:rPr>
          <w:rFonts w:hint="default" w:ascii="Times New Roman" w:hAnsi="Times New Roman" w:cs="Times New Roman"/>
          <w:color w:val="auto"/>
          <w:highlight w:val="none"/>
          <w:lang w:val="en-US" w:eastAsia="zh-CN"/>
        </w:rPr>
      </w:pPr>
      <w:r>
        <w:rPr>
          <w:rFonts w:hint="default" w:ascii="Times New Roman" w:hAnsi="Times New Roman" w:cs="Times New Roman"/>
          <w:color w:val="auto"/>
          <w:sz w:val="24"/>
          <w:szCs w:val="24"/>
          <w:highlight w:val="none"/>
        </w:rPr>
        <w:t>表5.2-</w:t>
      </w:r>
      <w:r>
        <w:rPr>
          <w:rFonts w:hint="default"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ab/>
      </w:r>
      <w:r>
        <w:rPr>
          <w:rFonts w:hint="default" w:ascii="Times New Roman" w:hAnsi="Times New Roman" w:cs="Times New Roman"/>
          <w:color w:val="auto"/>
          <w:sz w:val="24"/>
          <w:szCs w:val="24"/>
          <w:highlight w:val="none"/>
        </w:rPr>
        <w:t>点源参数</w:t>
      </w:r>
      <w:r>
        <w:rPr>
          <w:rFonts w:hint="default" w:ascii="Times New Roman" w:hAnsi="Times New Roman" w:cs="Times New Roman"/>
          <w:color w:val="auto"/>
          <w:sz w:val="24"/>
          <w:szCs w:val="24"/>
          <w:highlight w:val="none"/>
          <w:lang w:val="en-US" w:eastAsia="zh-CN"/>
        </w:rPr>
        <w:t>表</w:t>
      </w:r>
    </w:p>
    <w:tbl>
      <w:tblPr>
        <w:tblStyle w:val="31"/>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835"/>
        <w:gridCol w:w="868"/>
        <w:gridCol w:w="727"/>
        <w:gridCol w:w="591"/>
        <w:gridCol w:w="947"/>
        <w:gridCol w:w="648"/>
        <w:gridCol w:w="798"/>
        <w:gridCol w:w="897"/>
        <w:gridCol w:w="708"/>
        <w:gridCol w:w="858"/>
        <w:gridCol w:w="592"/>
        <w:gridCol w:w="897"/>
      </w:tblGrid>
      <w:tr w14:paraId="3FD8B4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3" w:hRule="atLeast"/>
        </w:trPr>
        <w:tc>
          <w:tcPr>
            <w:tcW w:w="0" w:type="auto"/>
            <w:vMerge w:val="restart"/>
            <w:tcBorders>
              <w:top w:val="single" w:color="000000" w:sz="2" w:space="0"/>
              <w:left w:val="single" w:color="000000" w:sz="2" w:space="0"/>
              <w:bottom w:val="single" w:color="000000" w:sz="2" w:space="0"/>
              <w:right w:val="single" w:color="000000" w:sz="2" w:space="0"/>
              <w:tl2br w:val="nil"/>
              <w:tr2bl w:val="nil"/>
            </w:tcBorders>
            <w:noWrap w:val="0"/>
            <w:vAlign w:val="center"/>
          </w:tcPr>
          <w:p w14:paraId="441110A0">
            <w:pPr>
              <w:pStyle w:val="48"/>
              <w:spacing w:beforeLines="0" w:afterLine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编号</w:t>
            </w:r>
          </w:p>
        </w:tc>
        <w:tc>
          <w:tcPr>
            <w:tcW w:w="0" w:type="auto"/>
            <w:vMerge w:val="restart"/>
            <w:tcBorders>
              <w:top w:val="single" w:color="000000" w:sz="2" w:space="0"/>
              <w:left w:val="single" w:color="000000" w:sz="2" w:space="0"/>
              <w:bottom w:val="single" w:color="000000" w:sz="2" w:space="0"/>
              <w:right w:val="single" w:color="000000" w:sz="2" w:space="0"/>
              <w:tl2br w:val="nil"/>
              <w:tr2bl w:val="nil"/>
            </w:tcBorders>
            <w:noWrap w:val="0"/>
            <w:vAlign w:val="center"/>
          </w:tcPr>
          <w:p w14:paraId="2EFC5259">
            <w:pPr>
              <w:pStyle w:val="48"/>
              <w:spacing w:beforeLines="0" w:afterLine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点源名称</w:t>
            </w:r>
          </w:p>
        </w:tc>
        <w:tc>
          <w:tcPr>
            <w:tcW w:w="0" w:type="auto"/>
            <w:gridSpan w:val="2"/>
            <w:tcBorders>
              <w:top w:val="single" w:color="000000" w:sz="2" w:space="0"/>
              <w:left w:val="single" w:color="000000" w:sz="2" w:space="0"/>
              <w:bottom w:val="single" w:color="000000" w:sz="2" w:space="0"/>
              <w:right w:val="single" w:color="000000" w:sz="2" w:space="0"/>
              <w:tl2br w:val="nil"/>
              <w:tr2bl w:val="nil"/>
            </w:tcBorders>
            <w:noWrap w:val="0"/>
            <w:vAlign w:val="center"/>
          </w:tcPr>
          <w:p w14:paraId="1D7F232B">
            <w:pPr>
              <w:pStyle w:val="48"/>
              <w:spacing w:beforeLines="0" w:afterLine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排气筒底部中心坐标/m</w:t>
            </w:r>
          </w:p>
        </w:tc>
        <w:tc>
          <w:tcPr>
            <w:tcW w:w="0" w:type="auto"/>
            <w:vMerge w:val="restart"/>
            <w:tcBorders>
              <w:top w:val="single" w:color="000000" w:sz="2" w:space="0"/>
              <w:left w:val="single" w:color="000000" w:sz="2" w:space="0"/>
              <w:bottom w:val="single" w:color="000000" w:sz="2" w:space="0"/>
              <w:right w:val="single" w:color="000000" w:sz="2" w:space="0"/>
              <w:tl2br w:val="nil"/>
              <w:tr2bl w:val="nil"/>
            </w:tcBorders>
            <w:noWrap w:val="0"/>
            <w:vAlign w:val="center"/>
          </w:tcPr>
          <w:p w14:paraId="5059FF58">
            <w:pPr>
              <w:pStyle w:val="48"/>
              <w:spacing w:beforeLines="0" w:afterLine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排气筒底部海拔高度</w:t>
            </w:r>
          </w:p>
          <w:p w14:paraId="12098A5D">
            <w:pPr>
              <w:pStyle w:val="48"/>
              <w:spacing w:beforeLines="0" w:afterLine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w:t>
            </w:r>
          </w:p>
        </w:tc>
        <w:tc>
          <w:tcPr>
            <w:tcW w:w="0" w:type="auto"/>
            <w:vMerge w:val="restart"/>
            <w:tcBorders>
              <w:top w:val="single" w:color="000000" w:sz="2" w:space="0"/>
              <w:left w:val="single" w:color="000000" w:sz="2" w:space="0"/>
              <w:bottom w:val="single" w:color="000000" w:sz="2" w:space="0"/>
              <w:right w:val="single" w:color="000000" w:sz="2" w:space="0"/>
              <w:tl2br w:val="nil"/>
              <w:tr2bl w:val="nil"/>
            </w:tcBorders>
            <w:noWrap w:val="0"/>
            <w:vAlign w:val="center"/>
          </w:tcPr>
          <w:p w14:paraId="69C31C37">
            <w:pPr>
              <w:pStyle w:val="48"/>
              <w:spacing w:beforeLines="0" w:afterLine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排气筒高度</w:t>
            </w:r>
          </w:p>
          <w:p w14:paraId="2ABC643B">
            <w:pPr>
              <w:pStyle w:val="48"/>
              <w:spacing w:beforeLines="0" w:afterLine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w:t>
            </w:r>
          </w:p>
        </w:tc>
        <w:tc>
          <w:tcPr>
            <w:tcW w:w="0" w:type="auto"/>
            <w:vMerge w:val="restart"/>
            <w:tcBorders>
              <w:top w:val="single" w:color="000000" w:sz="2" w:space="0"/>
              <w:left w:val="single" w:color="000000" w:sz="2" w:space="0"/>
              <w:bottom w:val="single" w:color="000000" w:sz="2" w:space="0"/>
              <w:right w:val="single" w:color="000000" w:sz="2" w:space="0"/>
              <w:tl2br w:val="nil"/>
              <w:tr2bl w:val="nil"/>
            </w:tcBorders>
            <w:noWrap w:val="0"/>
            <w:vAlign w:val="center"/>
          </w:tcPr>
          <w:p w14:paraId="3BCA76D7">
            <w:pPr>
              <w:pStyle w:val="48"/>
              <w:spacing w:beforeLines="0" w:afterLine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排气筒出口内径</w:t>
            </w:r>
          </w:p>
        </w:tc>
        <w:tc>
          <w:tcPr>
            <w:tcW w:w="0" w:type="auto"/>
            <w:vMerge w:val="restart"/>
            <w:tcBorders>
              <w:top w:val="single" w:color="000000" w:sz="2" w:space="0"/>
              <w:left w:val="single" w:color="000000" w:sz="2" w:space="0"/>
              <w:bottom w:val="single" w:color="000000" w:sz="2" w:space="0"/>
              <w:right w:val="single" w:color="000000" w:sz="2" w:space="0"/>
              <w:tl2br w:val="nil"/>
              <w:tr2bl w:val="nil"/>
            </w:tcBorders>
            <w:noWrap w:val="0"/>
            <w:vAlign w:val="center"/>
          </w:tcPr>
          <w:p w14:paraId="5BE1934A">
            <w:pPr>
              <w:pStyle w:val="48"/>
              <w:spacing w:beforeLines="0" w:afterLine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烟气出口速度</w:t>
            </w:r>
          </w:p>
          <w:p w14:paraId="34543B0D">
            <w:pPr>
              <w:pStyle w:val="48"/>
              <w:spacing w:beforeLines="0" w:afterLine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m/s</w:t>
            </w:r>
          </w:p>
        </w:tc>
        <w:tc>
          <w:tcPr>
            <w:tcW w:w="0" w:type="auto"/>
            <w:vMerge w:val="restart"/>
            <w:tcBorders>
              <w:top w:val="single" w:color="000000" w:sz="2" w:space="0"/>
              <w:left w:val="single" w:color="000000" w:sz="2" w:space="0"/>
              <w:bottom w:val="single" w:color="000000" w:sz="2" w:space="0"/>
              <w:right w:val="single" w:color="000000" w:sz="2" w:space="0"/>
              <w:tl2br w:val="nil"/>
              <w:tr2bl w:val="nil"/>
            </w:tcBorders>
            <w:noWrap w:val="0"/>
            <w:vAlign w:val="center"/>
          </w:tcPr>
          <w:p w14:paraId="64E22B81">
            <w:pPr>
              <w:pStyle w:val="48"/>
              <w:spacing w:beforeLines="0" w:afterLine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烟气出口温度</w:t>
            </w:r>
          </w:p>
          <w:p w14:paraId="7D7E48E6">
            <w:pPr>
              <w:pStyle w:val="48"/>
              <w:spacing w:beforeLines="0" w:afterLine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0" w:type="auto"/>
            <w:vMerge w:val="restart"/>
            <w:tcBorders>
              <w:top w:val="single" w:color="000000" w:sz="2" w:space="0"/>
              <w:left w:val="single" w:color="000000" w:sz="2" w:space="0"/>
              <w:bottom w:val="single" w:color="000000" w:sz="2" w:space="0"/>
              <w:right w:val="single" w:color="000000" w:sz="2" w:space="0"/>
              <w:tl2br w:val="nil"/>
              <w:tr2bl w:val="nil"/>
            </w:tcBorders>
            <w:noWrap w:val="0"/>
            <w:vAlign w:val="center"/>
          </w:tcPr>
          <w:p w14:paraId="2DC5461B">
            <w:pPr>
              <w:pStyle w:val="48"/>
              <w:spacing w:beforeLines="0" w:afterLine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年排放小时数</w:t>
            </w:r>
          </w:p>
          <w:p w14:paraId="4614F86D">
            <w:pPr>
              <w:pStyle w:val="48"/>
              <w:spacing w:beforeLines="0" w:afterLine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t>
            </w:r>
          </w:p>
        </w:tc>
        <w:tc>
          <w:tcPr>
            <w:tcW w:w="0" w:type="auto"/>
            <w:vMerge w:val="restart"/>
            <w:tcBorders>
              <w:top w:val="single" w:color="000000" w:sz="2" w:space="0"/>
              <w:left w:val="single" w:color="000000" w:sz="2" w:space="0"/>
              <w:bottom w:val="single" w:color="000000" w:sz="2" w:space="0"/>
              <w:right w:val="single" w:color="000000" w:sz="2" w:space="0"/>
              <w:tl2br w:val="nil"/>
              <w:tr2bl w:val="nil"/>
            </w:tcBorders>
            <w:noWrap w:val="0"/>
            <w:vAlign w:val="center"/>
          </w:tcPr>
          <w:p w14:paraId="28CB8AAF">
            <w:pPr>
              <w:pStyle w:val="48"/>
              <w:spacing w:beforeLines="0" w:afterLine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排放工况</w:t>
            </w:r>
          </w:p>
          <w:p w14:paraId="56A6EB5F">
            <w:pPr>
              <w:pStyle w:val="48"/>
              <w:spacing w:beforeLines="0" w:afterLine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0" w:type="auto"/>
            <w:vMerge w:val="restart"/>
            <w:tcBorders>
              <w:top w:val="single" w:color="000000" w:sz="2" w:space="0"/>
              <w:left w:val="single" w:color="000000" w:sz="2" w:space="0"/>
              <w:bottom w:val="single" w:color="000000" w:sz="2" w:space="0"/>
              <w:right w:val="single" w:color="000000" w:sz="2" w:space="0"/>
              <w:tl2br w:val="nil"/>
              <w:tr2bl w:val="nil"/>
            </w:tcBorders>
            <w:noWrap w:val="0"/>
            <w:vAlign w:val="center"/>
          </w:tcPr>
          <w:p w14:paraId="2E0C5E2A">
            <w:pPr>
              <w:pStyle w:val="48"/>
              <w:spacing w:beforeLines="0" w:afterLine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点源排放速率</w:t>
            </w:r>
          </w:p>
          <w:p w14:paraId="0671FB23">
            <w:pPr>
              <w:pStyle w:val="48"/>
              <w:spacing w:beforeLines="0" w:afterLine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kg/h</w:t>
            </w:r>
          </w:p>
        </w:tc>
      </w:tr>
      <w:tr w14:paraId="706B2B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12" w:hRule="atLeast"/>
        </w:trPr>
        <w:tc>
          <w:tcPr>
            <w:tcW w:w="0" w:type="auto"/>
            <w:vMerge w:val="continue"/>
            <w:tcBorders>
              <w:top w:val="single" w:color="000000" w:sz="2" w:space="0"/>
              <w:left w:val="single" w:color="000000" w:sz="2" w:space="0"/>
              <w:bottom w:val="single" w:color="000000" w:sz="2" w:space="0"/>
              <w:right w:val="single" w:color="000000" w:sz="2" w:space="0"/>
              <w:tl2br w:val="nil"/>
              <w:tr2bl w:val="nil"/>
            </w:tcBorders>
            <w:noWrap w:val="0"/>
            <w:vAlign w:val="center"/>
          </w:tcPr>
          <w:p w14:paraId="2B39163E">
            <w:pPr>
              <w:pStyle w:val="48"/>
              <w:spacing w:beforeLines="0" w:afterLines="0"/>
              <w:rPr>
                <w:rFonts w:hint="default" w:ascii="Times New Roman" w:hAnsi="Times New Roman" w:eastAsia="宋体" w:cs="Times New Roman"/>
                <w:color w:val="auto"/>
                <w:sz w:val="21"/>
                <w:szCs w:val="21"/>
                <w:highlight w:val="none"/>
              </w:rPr>
            </w:pPr>
          </w:p>
        </w:tc>
        <w:tc>
          <w:tcPr>
            <w:tcW w:w="0" w:type="auto"/>
            <w:vMerge w:val="continue"/>
            <w:tcBorders>
              <w:top w:val="single" w:color="000000" w:sz="2" w:space="0"/>
              <w:left w:val="single" w:color="000000" w:sz="2" w:space="0"/>
              <w:bottom w:val="single" w:color="000000" w:sz="2" w:space="0"/>
              <w:right w:val="single" w:color="000000" w:sz="2" w:space="0"/>
              <w:tl2br w:val="nil"/>
              <w:tr2bl w:val="nil"/>
            </w:tcBorders>
            <w:noWrap w:val="0"/>
            <w:vAlign w:val="center"/>
          </w:tcPr>
          <w:p w14:paraId="0E3C9BE0">
            <w:pPr>
              <w:pStyle w:val="48"/>
              <w:spacing w:beforeLines="0" w:afterLines="0"/>
              <w:rPr>
                <w:rFonts w:hint="default" w:ascii="Times New Roman" w:hAnsi="Times New Roman" w:eastAsia="宋体" w:cs="Times New Roman"/>
                <w:color w:val="auto"/>
                <w:sz w:val="21"/>
                <w:szCs w:val="21"/>
                <w:highlight w:val="none"/>
              </w:rPr>
            </w:pPr>
          </w:p>
        </w:tc>
        <w:tc>
          <w:tcPr>
            <w:tcW w:w="0" w:type="auto"/>
            <w:vMerge w:val="restart"/>
            <w:tcBorders>
              <w:top w:val="single" w:color="000000" w:sz="2" w:space="0"/>
              <w:left w:val="single" w:color="000000" w:sz="2" w:space="0"/>
              <w:bottom w:val="single" w:color="000000" w:sz="2" w:space="0"/>
              <w:right w:val="single" w:color="000000" w:sz="2" w:space="0"/>
              <w:tl2br w:val="nil"/>
              <w:tr2bl w:val="nil"/>
            </w:tcBorders>
            <w:noWrap w:val="0"/>
            <w:vAlign w:val="center"/>
          </w:tcPr>
          <w:p w14:paraId="55CCD644">
            <w:pPr>
              <w:pStyle w:val="48"/>
              <w:spacing w:beforeLines="0" w:afterLine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X</w:t>
            </w:r>
          </w:p>
        </w:tc>
        <w:tc>
          <w:tcPr>
            <w:tcW w:w="0" w:type="auto"/>
            <w:vMerge w:val="restart"/>
            <w:tcBorders>
              <w:top w:val="single" w:color="000000" w:sz="2" w:space="0"/>
              <w:left w:val="single" w:color="000000" w:sz="2" w:space="0"/>
              <w:bottom w:val="single" w:color="000000" w:sz="2" w:space="0"/>
              <w:right w:val="single" w:color="000000" w:sz="2" w:space="0"/>
              <w:tl2br w:val="nil"/>
              <w:tr2bl w:val="nil"/>
            </w:tcBorders>
            <w:noWrap w:val="0"/>
            <w:vAlign w:val="center"/>
          </w:tcPr>
          <w:p w14:paraId="669FC1A1">
            <w:pPr>
              <w:pStyle w:val="48"/>
              <w:spacing w:beforeLines="0" w:afterLine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Y</w:t>
            </w:r>
          </w:p>
        </w:tc>
        <w:tc>
          <w:tcPr>
            <w:tcW w:w="0" w:type="auto"/>
            <w:vMerge w:val="continue"/>
            <w:tcBorders>
              <w:top w:val="single" w:color="000000" w:sz="2" w:space="0"/>
              <w:left w:val="single" w:color="000000" w:sz="2" w:space="0"/>
              <w:bottom w:val="single" w:color="000000" w:sz="2" w:space="0"/>
              <w:right w:val="single" w:color="000000" w:sz="2" w:space="0"/>
              <w:tl2br w:val="nil"/>
              <w:tr2bl w:val="nil"/>
            </w:tcBorders>
            <w:noWrap w:val="0"/>
            <w:vAlign w:val="center"/>
          </w:tcPr>
          <w:p w14:paraId="7D49328B">
            <w:pPr>
              <w:pStyle w:val="48"/>
              <w:spacing w:beforeLines="0" w:afterLines="0"/>
              <w:rPr>
                <w:rFonts w:hint="default" w:ascii="Times New Roman" w:hAnsi="Times New Roman" w:eastAsia="宋体" w:cs="Times New Roman"/>
                <w:color w:val="auto"/>
                <w:sz w:val="21"/>
                <w:szCs w:val="21"/>
                <w:highlight w:val="none"/>
                <w:lang w:val="en-US" w:eastAsia="zh-CN"/>
              </w:rPr>
            </w:pPr>
          </w:p>
        </w:tc>
        <w:tc>
          <w:tcPr>
            <w:tcW w:w="0" w:type="auto"/>
            <w:vMerge w:val="continue"/>
            <w:tcBorders>
              <w:top w:val="single" w:color="000000" w:sz="2" w:space="0"/>
              <w:left w:val="single" w:color="000000" w:sz="2" w:space="0"/>
              <w:bottom w:val="single" w:color="000000" w:sz="2" w:space="0"/>
              <w:right w:val="single" w:color="000000" w:sz="2" w:space="0"/>
              <w:tl2br w:val="nil"/>
              <w:tr2bl w:val="nil"/>
            </w:tcBorders>
            <w:noWrap w:val="0"/>
            <w:vAlign w:val="center"/>
          </w:tcPr>
          <w:p w14:paraId="6849C88F">
            <w:pPr>
              <w:pStyle w:val="48"/>
              <w:spacing w:beforeLines="0" w:afterLines="0"/>
              <w:rPr>
                <w:rFonts w:hint="default" w:ascii="Times New Roman" w:hAnsi="Times New Roman" w:eastAsia="宋体" w:cs="Times New Roman"/>
                <w:color w:val="auto"/>
                <w:sz w:val="21"/>
                <w:szCs w:val="21"/>
                <w:highlight w:val="none"/>
              </w:rPr>
            </w:pPr>
          </w:p>
        </w:tc>
        <w:tc>
          <w:tcPr>
            <w:tcW w:w="0" w:type="auto"/>
            <w:vMerge w:val="continue"/>
            <w:tcBorders>
              <w:top w:val="single" w:color="000000" w:sz="2" w:space="0"/>
              <w:left w:val="single" w:color="000000" w:sz="2" w:space="0"/>
              <w:bottom w:val="single" w:color="000000" w:sz="2" w:space="0"/>
              <w:right w:val="single" w:color="000000" w:sz="2" w:space="0"/>
              <w:tl2br w:val="nil"/>
              <w:tr2bl w:val="nil"/>
            </w:tcBorders>
            <w:noWrap w:val="0"/>
            <w:vAlign w:val="center"/>
          </w:tcPr>
          <w:p w14:paraId="4973B79B">
            <w:pPr>
              <w:pStyle w:val="48"/>
              <w:spacing w:beforeLines="0" w:afterLines="0"/>
              <w:rPr>
                <w:rFonts w:hint="default" w:ascii="Times New Roman" w:hAnsi="Times New Roman" w:eastAsia="宋体" w:cs="Times New Roman"/>
                <w:color w:val="auto"/>
                <w:sz w:val="21"/>
                <w:szCs w:val="21"/>
                <w:highlight w:val="none"/>
              </w:rPr>
            </w:pPr>
          </w:p>
        </w:tc>
        <w:tc>
          <w:tcPr>
            <w:tcW w:w="0" w:type="auto"/>
            <w:vMerge w:val="continue"/>
            <w:tcBorders>
              <w:top w:val="single" w:color="000000" w:sz="2" w:space="0"/>
              <w:left w:val="single" w:color="000000" w:sz="2" w:space="0"/>
              <w:bottom w:val="single" w:color="000000" w:sz="2" w:space="0"/>
              <w:right w:val="single" w:color="000000" w:sz="2" w:space="0"/>
              <w:tl2br w:val="nil"/>
              <w:tr2bl w:val="nil"/>
            </w:tcBorders>
            <w:noWrap w:val="0"/>
            <w:vAlign w:val="center"/>
          </w:tcPr>
          <w:p w14:paraId="386D55F9">
            <w:pPr>
              <w:pStyle w:val="48"/>
              <w:spacing w:beforeLines="0" w:afterLines="0"/>
              <w:rPr>
                <w:rFonts w:hint="default" w:ascii="Times New Roman" w:hAnsi="Times New Roman" w:eastAsia="宋体" w:cs="Times New Roman"/>
                <w:color w:val="auto"/>
                <w:sz w:val="21"/>
                <w:szCs w:val="21"/>
                <w:highlight w:val="none"/>
              </w:rPr>
            </w:pPr>
          </w:p>
        </w:tc>
        <w:tc>
          <w:tcPr>
            <w:tcW w:w="0" w:type="auto"/>
            <w:vMerge w:val="continue"/>
            <w:tcBorders>
              <w:top w:val="single" w:color="000000" w:sz="2" w:space="0"/>
              <w:left w:val="single" w:color="000000" w:sz="2" w:space="0"/>
              <w:bottom w:val="single" w:color="000000" w:sz="2" w:space="0"/>
              <w:right w:val="single" w:color="000000" w:sz="2" w:space="0"/>
              <w:tl2br w:val="nil"/>
              <w:tr2bl w:val="nil"/>
            </w:tcBorders>
            <w:noWrap w:val="0"/>
            <w:vAlign w:val="center"/>
          </w:tcPr>
          <w:p w14:paraId="1388C09E">
            <w:pPr>
              <w:pStyle w:val="48"/>
              <w:spacing w:beforeLines="0" w:afterLines="0"/>
              <w:rPr>
                <w:rFonts w:hint="default" w:ascii="Times New Roman" w:hAnsi="Times New Roman" w:eastAsia="宋体" w:cs="Times New Roman"/>
                <w:color w:val="auto"/>
                <w:sz w:val="21"/>
                <w:szCs w:val="21"/>
                <w:highlight w:val="none"/>
              </w:rPr>
            </w:pPr>
          </w:p>
        </w:tc>
        <w:tc>
          <w:tcPr>
            <w:tcW w:w="0" w:type="auto"/>
            <w:vMerge w:val="continue"/>
            <w:tcBorders>
              <w:top w:val="single" w:color="000000" w:sz="2" w:space="0"/>
              <w:left w:val="single" w:color="000000" w:sz="2" w:space="0"/>
              <w:bottom w:val="single" w:color="000000" w:sz="2" w:space="0"/>
              <w:right w:val="single" w:color="000000" w:sz="2" w:space="0"/>
              <w:tl2br w:val="nil"/>
              <w:tr2bl w:val="nil"/>
            </w:tcBorders>
            <w:noWrap w:val="0"/>
            <w:vAlign w:val="center"/>
          </w:tcPr>
          <w:p w14:paraId="2C34BF07">
            <w:pPr>
              <w:pStyle w:val="48"/>
              <w:spacing w:beforeLines="0" w:afterLines="0"/>
              <w:rPr>
                <w:rFonts w:hint="default" w:ascii="Times New Roman" w:hAnsi="Times New Roman" w:eastAsia="宋体" w:cs="Times New Roman"/>
                <w:color w:val="auto"/>
                <w:sz w:val="21"/>
                <w:szCs w:val="21"/>
                <w:highlight w:val="none"/>
              </w:rPr>
            </w:pPr>
          </w:p>
        </w:tc>
        <w:tc>
          <w:tcPr>
            <w:tcW w:w="0" w:type="auto"/>
            <w:vMerge w:val="continue"/>
            <w:tcBorders>
              <w:top w:val="single" w:color="000000" w:sz="2" w:space="0"/>
              <w:left w:val="single" w:color="000000" w:sz="2" w:space="0"/>
              <w:bottom w:val="single" w:color="000000" w:sz="2" w:space="0"/>
              <w:right w:val="single" w:color="000000" w:sz="2" w:space="0"/>
              <w:tl2br w:val="nil"/>
              <w:tr2bl w:val="nil"/>
            </w:tcBorders>
            <w:noWrap w:val="0"/>
            <w:vAlign w:val="center"/>
          </w:tcPr>
          <w:p w14:paraId="28CE2F9C">
            <w:pPr>
              <w:pStyle w:val="48"/>
              <w:spacing w:beforeLines="0" w:afterLines="0"/>
              <w:rPr>
                <w:rFonts w:hint="default" w:ascii="Times New Roman" w:hAnsi="Times New Roman" w:eastAsia="宋体" w:cs="Times New Roman"/>
                <w:color w:val="auto"/>
                <w:sz w:val="21"/>
                <w:szCs w:val="21"/>
                <w:highlight w:val="none"/>
              </w:rPr>
            </w:pPr>
          </w:p>
        </w:tc>
        <w:tc>
          <w:tcPr>
            <w:tcW w:w="0" w:type="auto"/>
            <w:vMerge w:val="continue"/>
            <w:tcBorders>
              <w:top w:val="single" w:color="000000" w:sz="2" w:space="0"/>
              <w:left w:val="single" w:color="000000" w:sz="2" w:space="0"/>
              <w:bottom w:val="single" w:color="000000" w:sz="2" w:space="0"/>
              <w:right w:val="single" w:color="000000" w:sz="2" w:space="0"/>
              <w:tl2br w:val="nil"/>
              <w:tr2bl w:val="nil"/>
            </w:tcBorders>
            <w:noWrap w:val="0"/>
            <w:vAlign w:val="center"/>
          </w:tcPr>
          <w:p w14:paraId="1F8B14F1">
            <w:pPr>
              <w:pStyle w:val="48"/>
              <w:spacing w:beforeLines="0" w:afterLines="0"/>
              <w:rPr>
                <w:rFonts w:hint="default" w:ascii="Times New Roman" w:hAnsi="Times New Roman" w:eastAsia="宋体" w:cs="Times New Roman"/>
                <w:color w:val="auto"/>
                <w:sz w:val="21"/>
                <w:szCs w:val="21"/>
                <w:highlight w:val="none"/>
              </w:rPr>
            </w:pPr>
          </w:p>
        </w:tc>
      </w:tr>
      <w:tr w14:paraId="399E43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3" w:hRule="atLeast"/>
        </w:trPr>
        <w:tc>
          <w:tcPr>
            <w:tcW w:w="0" w:type="auto"/>
            <w:vMerge w:val="continue"/>
            <w:tcBorders>
              <w:top w:val="single" w:color="000000" w:sz="2" w:space="0"/>
              <w:left w:val="single" w:color="000000" w:sz="2" w:space="0"/>
              <w:bottom w:val="single" w:color="000000" w:sz="2" w:space="0"/>
              <w:right w:val="single" w:color="000000" w:sz="2" w:space="0"/>
              <w:tl2br w:val="nil"/>
              <w:tr2bl w:val="nil"/>
            </w:tcBorders>
            <w:noWrap w:val="0"/>
            <w:vAlign w:val="center"/>
          </w:tcPr>
          <w:p w14:paraId="2F97D983">
            <w:pPr>
              <w:pStyle w:val="48"/>
              <w:spacing w:beforeLines="0" w:afterLines="0"/>
              <w:rPr>
                <w:rFonts w:hint="default" w:ascii="Times New Roman" w:hAnsi="Times New Roman" w:eastAsia="宋体" w:cs="Times New Roman"/>
                <w:color w:val="auto"/>
                <w:sz w:val="21"/>
                <w:szCs w:val="21"/>
                <w:highlight w:val="none"/>
              </w:rPr>
            </w:pPr>
          </w:p>
        </w:tc>
        <w:tc>
          <w:tcPr>
            <w:tcW w:w="0" w:type="auto"/>
            <w:vMerge w:val="continue"/>
            <w:tcBorders>
              <w:top w:val="single" w:color="000000" w:sz="2" w:space="0"/>
              <w:left w:val="single" w:color="000000" w:sz="2" w:space="0"/>
              <w:bottom w:val="single" w:color="000000" w:sz="2" w:space="0"/>
              <w:right w:val="single" w:color="000000" w:sz="2" w:space="0"/>
              <w:tl2br w:val="nil"/>
              <w:tr2bl w:val="nil"/>
            </w:tcBorders>
            <w:noWrap w:val="0"/>
            <w:vAlign w:val="center"/>
          </w:tcPr>
          <w:p w14:paraId="07A69876">
            <w:pPr>
              <w:pStyle w:val="48"/>
              <w:spacing w:beforeLines="0" w:afterLines="0"/>
              <w:rPr>
                <w:rFonts w:hint="default" w:ascii="Times New Roman" w:hAnsi="Times New Roman" w:eastAsia="宋体" w:cs="Times New Roman"/>
                <w:color w:val="auto"/>
                <w:sz w:val="21"/>
                <w:szCs w:val="21"/>
                <w:highlight w:val="none"/>
              </w:rPr>
            </w:pPr>
          </w:p>
        </w:tc>
        <w:tc>
          <w:tcPr>
            <w:tcW w:w="0" w:type="auto"/>
            <w:vMerge w:val="continue"/>
            <w:tcBorders>
              <w:top w:val="single" w:color="000000" w:sz="2" w:space="0"/>
              <w:left w:val="single" w:color="000000" w:sz="2" w:space="0"/>
              <w:bottom w:val="single" w:color="000000" w:sz="2" w:space="0"/>
              <w:right w:val="single" w:color="000000" w:sz="2" w:space="0"/>
              <w:tl2br w:val="nil"/>
              <w:tr2bl w:val="nil"/>
            </w:tcBorders>
            <w:noWrap w:val="0"/>
            <w:vAlign w:val="center"/>
          </w:tcPr>
          <w:p w14:paraId="7697B393">
            <w:pPr>
              <w:pStyle w:val="48"/>
              <w:spacing w:beforeLines="0" w:afterLines="0"/>
              <w:rPr>
                <w:rFonts w:hint="default" w:ascii="Times New Roman" w:hAnsi="Times New Roman" w:eastAsia="宋体" w:cs="Times New Roman"/>
                <w:color w:val="auto"/>
                <w:sz w:val="21"/>
                <w:szCs w:val="21"/>
                <w:highlight w:val="none"/>
                <w:lang w:val="en-US" w:eastAsia="zh-CN"/>
              </w:rPr>
            </w:pPr>
          </w:p>
        </w:tc>
        <w:tc>
          <w:tcPr>
            <w:tcW w:w="0" w:type="auto"/>
            <w:vMerge w:val="continue"/>
            <w:tcBorders>
              <w:top w:val="single" w:color="000000" w:sz="2" w:space="0"/>
              <w:left w:val="single" w:color="000000" w:sz="2" w:space="0"/>
              <w:bottom w:val="single" w:color="000000" w:sz="2" w:space="0"/>
              <w:right w:val="single" w:color="000000" w:sz="2" w:space="0"/>
              <w:tl2br w:val="nil"/>
              <w:tr2bl w:val="nil"/>
            </w:tcBorders>
            <w:noWrap w:val="0"/>
            <w:vAlign w:val="center"/>
          </w:tcPr>
          <w:p w14:paraId="0C34B064">
            <w:pPr>
              <w:pStyle w:val="48"/>
              <w:spacing w:beforeLines="0" w:afterLines="0"/>
              <w:rPr>
                <w:rFonts w:hint="default" w:ascii="Times New Roman" w:hAnsi="Times New Roman" w:eastAsia="宋体" w:cs="Times New Roman"/>
                <w:color w:val="auto"/>
                <w:sz w:val="21"/>
                <w:szCs w:val="21"/>
                <w:highlight w:val="none"/>
                <w:lang w:val="en-US" w:eastAsia="zh-CN"/>
              </w:rPr>
            </w:pPr>
          </w:p>
        </w:tc>
        <w:tc>
          <w:tcPr>
            <w:tcW w:w="0" w:type="auto"/>
            <w:vMerge w:val="continue"/>
            <w:tcBorders>
              <w:top w:val="single" w:color="000000" w:sz="2" w:space="0"/>
              <w:left w:val="single" w:color="000000" w:sz="2" w:space="0"/>
              <w:bottom w:val="single" w:color="000000" w:sz="2" w:space="0"/>
              <w:right w:val="single" w:color="000000" w:sz="2" w:space="0"/>
              <w:tl2br w:val="nil"/>
              <w:tr2bl w:val="nil"/>
            </w:tcBorders>
            <w:noWrap w:val="0"/>
            <w:vAlign w:val="center"/>
          </w:tcPr>
          <w:p w14:paraId="489AE0FD">
            <w:pPr>
              <w:pStyle w:val="48"/>
              <w:spacing w:beforeLines="0" w:afterLines="0"/>
              <w:rPr>
                <w:rFonts w:hint="default" w:ascii="Times New Roman" w:hAnsi="Times New Roman" w:eastAsia="宋体" w:cs="Times New Roman"/>
                <w:color w:val="auto"/>
                <w:sz w:val="21"/>
                <w:szCs w:val="21"/>
                <w:highlight w:val="none"/>
                <w:lang w:val="en-US" w:eastAsia="zh-CN"/>
              </w:rPr>
            </w:pPr>
          </w:p>
        </w:tc>
        <w:tc>
          <w:tcPr>
            <w:tcW w:w="0" w:type="auto"/>
            <w:vMerge w:val="continue"/>
            <w:tcBorders>
              <w:top w:val="single" w:color="000000" w:sz="2" w:space="0"/>
              <w:left w:val="single" w:color="000000" w:sz="2" w:space="0"/>
              <w:bottom w:val="single" w:color="000000" w:sz="2" w:space="0"/>
              <w:right w:val="single" w:color="000000" w:sz="2" w:space="0"/>
              <w:tl2br w:val="nil"/>
              <w:tr2bl w:val="nil"/>
            </w:tcBorders>
            <w:noWrap w:val="0"/>
            <w:vAlign w:val="center"/>
          </w:tcPr>
          <w:p w14:paraId="01823742">
            <w:pPr>
              <w:pStyle w:val="48"/>
              <w:spacing w:beforeLines="0" w:afterLines="0"/>
              <w:rPr>
                <w:rFonts w:hint="default" w:ascii="Times New Roman" w:hAnsi="Times New Roman" w:eastAsia="宋体" w:cs="Times New Roman"/>
                <w:color w:val="auto"/>
                <w:sz w:val="21"/>
                <w:szCs w:val="21"/>
                <w:highlight w:val="none"/>
              </w:rPr>
            </w:pPr>
          </w:p>
        </w:tc>
        <w:tc>
          <w:tcPr>
            <w:tcW w:w="0" w:type="auto"/>
            <w:vMerge w:val="continue"/>
            <w:tcBorders>
              <w:top w:val="single" w:color="000000" w:sz="2" w:space="0"/>
              <w:left w:val="single" w:color="000000" w:sz="2" w:space="0"/>
              <w:bottom w:val="single" w:color="000000" w:sz="2" w:space="0"/>
              <w:right w:val="single" w:color="000000" w:sz="2" w:space="0"/>
              <w:tl2br w:val="nil"/>
              <w:tr2bl w:val="nil"/>
            </w:tcBorders>
            <w:noWrap w:val="0"/>
            <w:vAlign w:val="center"/>
          </w:tcPr>
          <w:p w14:paraId="12847B42">
            <w:pPr>
              <w:pStyle w:val="48"/>
              <w:spacing w:beforeLines="0" w:afterLines="0"/>
              <w:rPr>
                <w:rFonts w:hint="default" w:ascii="Times New Roman" w:hAnsi="Times New Roman" w:eastAsia="宋体" w:cs="Times New Roman"/>
                <w:color w:val="auto"/>
                <w:sz w:val="21"/>
                <w:szCs w:val="21"/>
                <w:highlight w:val="none"/>
              </w:rPr>
            </w:pPr>
          </w:p>
        </w:tc>
        <w:tc>
          <w:tcPr>
            <w:tcW w:w="0" w:type="auto"/>
            <w:vMerge w:val="continue"/>
            <w:tcBorders>
              <w:top w:val="single" w:color="000000" w:sz="2" w:space="0"/>
              <w:left w:val="single" w:color="000000" w:sz="2" w:space="0"/>
              <w:bottom w:val="single" w:color="000000" w:sz="2" w:space="0"/>
              <w:right w:val="single" w:color="000000" w:sz="2" w:space="0"/>
              <w:tl2br w:val="nil"/>
              <w:tr2bl w:val="nil"/>
            </w:tcBorders>
            <w:noWrap w:val="0"/>
            <w:vAlign w:val="center"/>
          </w:tcPr>
          <w:p w14:paraId="6438D6CD">
            <w:pPr>
              <w:pStyle w:val="48"/>
              <w:spacing w:beforeLines="0" w:afterLines="0"/>
              <w:rPr>
                <w:rFonts w:hint="default" w:ascii="Times New Roman" w:hAnsi="Times New Roman" w:eastAsia="宋体" w:cs="Times New Roman"/>
                <w:color w:val="auto"/>
                <w:sz w:val="21"/>
                <w:szCs w:val="21"/>
                <w:highlight w:val="none"/>
              </w:rPr>
            </w:pPr>
          </w:p>
        </w:tc>
        <w:tc>
          <w:tcPr>
            <w:tcW w:w="0" w:type="auto"/>
            <w:vMerge w:val="continue"/>
            <w:tcBorders>
              <w:top w:val="single" w:color="000000" w:sz="2" w:space="0"/>
              <w:left w:val="single" w:color="000000" w:sz="2" w:space="0"/>
              <w:bottom w:val="single" w:color="000000" w:sz="2" w:space="0"/>
              <w:right w:val="single" w:color="000000" w:sz="2" w:space="0"/>
              <w:tl2br w:val="nil"/>
              <w:tr2bl w:val="nil"/>
            </w:tcBorders>
            <w:noWrap w:val="0"/>
            <w:vAlign w:val="center"/>
          </w:tcPr>
          <w:p w14:paraId="593C665C">
            <w:pPr>
              <w:pStyle w:val="48"/>
              <w:spacing w:beforeLines="0" w:afterLines="0"/>
              <w:rPr>
                <w:rFonts w:hint="default" w:ascii="Times New Roman" w:hAnsi="Times New Roman" w:eastAsia="宋体" w:cs="Times New Roman"/>
                <w:color w:val="auto"/>
                <w:sz w:val="21"/>
                <w:szCs w:val="21"/>
                <w:highlight w:val="none"/>
              </w:rPr>
            </w:pPr>
          </w:p>
        </w:tc>
        <w:tc>
          <w:tcPr>
            <w:tcW w:w="0" w:type="auto"/>
            <w:vMerge w:val="continue"/>
            <w:tcBorders>
              <w:top w:val="single" w:color="000000" w:sz="2" w:space="0"/>
              <w:left w:val="single" w:color="000000" w:sz="2" w:space="0"/>
              <w:bottom w:val="single" w:color="000000" w:sz="2" w:space="0"/>
              <w:right w:val="single" w:color="000000" w:sz="2" w:space="0"/>
              <w:tl2br w:val="nil"/>
              <w:tr2bl w:val="nil"/>
            </w:tcBorders>
            <w:noWrap w:val="0"/>
            <w:vAlign w:val="center"/>
          </w:tcPr>
          <w:p w14:paraId="780FD2B0">
            <w:pPr>
              <w:pStyle w:val="48"/>
              <w:spacing w:beforeLines="0" w:afterLines="0"/>
              <w:rPr>
                <w:rFonts w:hint="default" w:ascii="Times New Roman" w:hAnsi="Times New Roman" w:eastAsia="宋体" w:cs="Times New Roman"/>
                <w:color w:val="auto"/>
                <w:sz w:val="21"/>
                <w:szCs w:val="21"/>
                <w:highlight w:val="none"/>
              </w:rPr>
            </w:pPr>
          </w:p>
        </w:tc>
        <w:tc>
          <w:tcPr>
            <w:tcW w:w="0" w:type="auto"/>
            <w:vMerge w:val="continue"/>
            <w:tcBorders>
              <w:top w:val="single" w:color="000000" w:sz="2" w:space="0"/>
              <w:left w:val="single" w:color="000000" w:sz="2" w:space="0"/>
              <w:bottom w:val="single" w:color="000000" w:sz="2" w:space="0"/>
              <w:right w:val="single" w:color="000000" w:sz="2" w:space="0"/>
              <w:tl2br w:val="nil"/>
              <w:tr2bl w:val="nil"/>
            </w:tcBorders>
            <w:noWrap w:val="0"/>
            <w:vAlign w:val="center"/>
          </w:tcPr>
          <w:p w14:paraId="2105648C">
            <w:pPr>
              <w:pStyle w:val="48"/>
              <w:spacing w:beforeLines="0" w:afterLines="0"/>
              <w:rPr>
                <w:rFonts w:hint="default" w:ascii="Times New Roman" w:hAnsi="Times New Roman" w:eastAsia="宋体" w:cs="Times New Roman"/>
                <w:color w:val="auto"/>
                <w:sz w:val="21"/>
                <w:szCs w:val="21"/>
                <w:highlight w:val="none"/>
              </w:rPr>
            </w:pPr>
          </w:p>
        </w:tc>
        <w:tc>
          <w:tcPr>
            <w:tcW w:w="0" w:type="auto"/>
            <w:tcBorders>
              <w:top w:val="single" w:color="000000" w:sz="2" w:space="0"/>
              <w:left w:val="single" w:color="000000" w:sz="2" w:space="0"/>
              <w:bottom w:val="single" w:color="000000" w:sz="2" w:space="0"/>
              <w:right w:val="single" w:color="000000" w:sz="2" w:space="0"/>
              <w:tl2br w:val="nil"/>
              <w:tr2bl w:val="nil"/>
            </w:tcBorders>
            <w:noWrap w:val="0"/>
            <w:vAlign w:val="center"/>
          </w:tcPr>
          <w:p w14:paraId="7439C195">
            <w:pPr>
              <w:pStyle w:val="48"/>
              <w:spacing w:beforeLines="0" w:afterLine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TSP</w:t>
            </w:r>
          </w:p>
        </w:tc>
      </w:tr>
      <w:tr w14:paraId="099E7F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3" w:hRule="atLeast"/>
        </w:trPr>
        <w:tc>
          <w:tcPr>
            <w:tcW w:w="0" w:type="auto"/>
            <w:tcBorders>
              <w:top w:val="single" w:color="000000" w:sz="2" w:space="0"/>
              <w:left w:val="single" w:color="000000" w:sz="2" w:space="0"/>
              <w:bottom w:val="single" w:color="000000" w:sz="2" w:space="0"/>
              <w:right w:val="single" w:color="000000" w:sz="2" w:space="0"/>
              <w:tl2br w:val="nil"/>
              <w:tr2bl w:val="nil"/>
            </w:tcBorders>
            <w:noWrap w:val="0"/>
            <w:vAlign w:val="center"/>
          </w:tcPr>
          <w:p w14:paraId="1B947999">
            <w:pPr>
              <w:pStyle w:val="48"/>
              <w:spacing w:beforeLines="0" w:afterLine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DA001</w:t>
            </w:r>
          </w:p>
        </w:tc>
        <w:tc>
          <w:tcPr>
            <w:tcW w:w="0" w:type="auto"/>
            <w:tcBorders>
              <w:top w:val="single" w:color="000000" w:sz="2" w:space="0"/>
              <w:left w:val="single" w:color="000000" w:sz="2" w:space="0"/>
              <w:bottom w:val="single" w:color="000000" w:sz="2" w:space="0"/>
              <w:right w:val="single" w:color="000000" w:sz="2" w:space="0"/>
              <w:tl2br w:val="nil"/>
              <w:tr2bl w:val="nil"/>
            </w:tcBorders>
            <w:noWrap w:val="0"/>
            <w:vAlign w:val="center"/>
          </w:tcPr>
          <w:p w14:paraId="081A9CD6">
            <w:pPr>
              <w:pStyle w:val="48"/>
              <w:spacing w:beforeLines="0" w:afterLine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筛分环节除尘排气筒</w:t>
            </w:r>
          </w:p>
        </w:tc>
        <w:tc>
          <w:tcPr>
            <w:tcW w:w="0" w:type="auto"/>
            <w:tcBorders>
              <w:top w:val="single" w:color="000000" w:sz="2" w:space="0"/>
              <w:left w:val="single" w:color="000000" w:sz="2" w:space="0"/>
              <w:bottom w:val="single" w:color="000000" w:sz="2" w:space="0"/>
              <w:right w:val="single" w:color="000000" w:sz="2" w:space="0"/>
              <w:tl2br w:val="nil"/>
              <w:tr2bl w:val="nil"/>
            </w:tcBorders>
            <w:noWrap w:val="0"/>
            <w:vAlign w:val="center"/>
          </w:tcPr>
          <w:p w14:paraId="0E43178C">
            <w:pPr>
              <w:pStyle w:val="48"/>
              <w:spacing w:beforeLines="0" w:afterLine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w:t>
            </w:r>
          </w:p>
        </w:tc>
        <w:tc>
          <w:tcPr>
            <w:tcW w:w="0" w:type="auto"/>
            <w:tcBorders>
              <w:top w:val="single" w:color="000000" w:sz="2" w:space="0"/>
              <w:left w:val="single" w:color="000000" w:sz="2" w:space="0"/>
              <w:bottom w:val="single" w:color="000000" w:sz="2" w:space="0"/>
              <w:right w:val="single" w:color="000000" w:sz="2" w:space="0"/>
              <w:tl2br w:val="nil"/>
              <w:tr2bl w:val="nil"/>
            </w:tcBorders>
            <w:noWrap w:val="0"/>
            <w:vAlign w:val="center"/>
          </w:tcPr>
          <w:p w14:paraId="554CD4B2">
            <w:pPr>
              <w:pStyle w:val="48"/>
              <w:spacing w:beforeLines="0" w:afterLine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-98</w:t>
            </w:r>
          </w:p>
        </w:tc>
        <w:tc>
          <w:tcPr>
            <w:tcW w:w="0" w:type="auto"/>
            <w:tcBorders>
              <w:top w:val="single" w:color="000000" w:sz="2" w:space="0"/>
              <w:left w:val="single" w:color="000000" w:sz="2" w:space="0"/>
              <w:bottom w:val="single" w:color="000000" w:sz="2" w:space="0"/>
              <w:right w:val="single" w:color="000000" w:sz="2" w:space="0"/>
              <w:tl2br w:val="nil"/>
              <w:tr2bl w:val="nil"/>
            </w:tcBorders>
            <w:noWrap w:val="0"/>
            <w:vAlign w:val="center"/>
          </w:tcPr>
          <w:p w14:paraId="1BA60009">
            <w:pPr>
              <w:pStyle w:val="48"/>
              <w:spacing w:beforeLines="0" w:afterLine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600</w:t>
            </w:r>
          </w:p>
        </w:tc>
        <w:tc>
          <w:tcPr>
            <w:tcW w:w="0" w:type="auto"/>
            <w:tcBorders>
              <w:top w:val="single" w:color="000000" w:sz="2" w:space="0"/>
              <w:left w:val="single" w:color="000000" w:sz="2" w:space="0"/>
              <w:bottom w:val="single" w:color="000000" w:sz="2" w:space="0"/>
              <w:right w:val="single" w:color="000000" w:sz="2" w:space="0"/>
              <w:tl2br w:val="nil"/>
              <w:tr2bl w:val="nil"/>
            </w:tcBorders>
            <w:noWrap w:val="0"/>
            <w:vAlign w:val="center"/>
          </w:tcPr>
          <w:p w14:paraId="352EA8E5">
            <w:pPr>
              <w:pStyle w:val="48"/>
              <w:spacing w:beforeLines="0" w:afterLine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w:t>
            </w:r>
          </w:p>
        </w:tc>
        <w:tc>
          <w:tcPr>
            <w:tcW w:w="0" w:type="auto"/>
            <w:tcBorders>
              <w:top w:val="single" w:color="000000" w:sz="2" w:space="0"/>
              <w:left w:val="single" w:color="000000" w:sz="2" w:space="0"/>
              <w:bottom w:val="single" w:color="000000" w:sz="2" w:space="0"/>
              <w:right w:val="single" w:color="000000" w:sz="2" w:space="0"/>
              <w:tl2br w:val="nil"/>
              <w:tr2bl w:val="nil"/>
            </w:tcBorders>
            <w:noWrap w:val="0"/>
            <w:vAlign w:val="center"/>
          </w:tcPr>
          <w:p w14:paraId="4A4F274D">
            <w:pPr>
              <w:pStyle w:val="48"/>
              <w:spacing w:beforeLines="0" w:afterLine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w:t>
            </w:r>
            <w:r>
              <w:rPr>
                <w:rFonts w:hint="default" w:ascii="Times New Roman" w:hAnsi="Times New Roman" w:eastAsia="宋体" w:cs="Times New Roman"/>
                <w:color w:val="auto"/>
                <w:sz w:val="21"/>
                <w:szCs w:val="21"/>
                <w:highlight w:val="none"/>
                <w:lang w:val="en-US" w:eastAsia="zh-CN"/>
              </w:rPr>
              <w:t>5</w:t>
            </w:r>
          </w:p>
        </w:tc>
        <w:tc>
          <w:tcPr>
            <w:tcW w:w="0" w:type="auto"/>
            <w:tcBorders>
              <w:top w:val="single" w:color="000000" w:sz="2" w:space="0"/>
              <w:left w:val="single" w:color="000000" w:sz="2" w:space="0"/>
              <w:bottom w:val="single" w:color="000000" w:sz="2" w:space="0"/>
              <w:right w:val="single" w:color="000000" w:sz="2" w:space="0"/>
              <w:tl2br w:val="nil"/>
              <w:tr2bl w:val="nil"/>
            </w:tcBorders>
            <w:noWrap w:val="0"/>
            <w:vAlign w:val="center"/>
          </w:tcPr>
          <w:p w14:paraId="75C30B5B">
            <w:pPr>
              <w:pStyle w:val="48"/>
              <w:spacing w:beforeLines="0" w:afterLine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16.98</w:t>
            </w:r>
          </w:p>
        </w:tc>
        <w:tc>
          <w:tcPr>
            <w:tcW w:w="0" w:type="auto"/>
            <w:tcBorders>
              <w:top w:val="single" w:color="000000" w:sz="2" w:space="0"/>
              <w:left w:val="single" w:color="000000" w:sz="2" w:space="0"/>
              <w:bottom w:val="single" w:color="000000" w:sz="2" w:space="0"/>
              <w:right w:val="single" w:color="000000" w:sz="2" w:space="0"/>
              <w:tl2br w:val="nil"/>
              <w:tr2bl w:val="nil"/>
            </w:tcBorders>
            <w:noWrap w:val="0"/>
            <w:vAlign w:val="center"/>
          </w:tcPr>
          <w:p w14:paraId="5DA9DDE1">
            <w:pPr>
              <w:pStyle w:val="48"/>
              <w:spacing w:beforeLines="0" w:afterLine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w:t>
            </w:r>
          </w:p>
        </w:tc>
        <w:tc>
          <w:tcPr>
            <w:tcW w:w="0" w:type="auto"/>
            <w:tcBorders>
              <w:top w:val="single" w:color="000000" w:sz="2" w:space="0"/>
              <w:left w:val="single" w:color="000000" w:sz="2" w:space="0"/>
              <w:bottom w:val="single" w:color="000000" w:sz="2" w:space="0"/>
              <w:right w:val="single" w:color="000000" w:sz="2" w:space="0"/>
              <w:tl2br w:val="nil"/>
              <w:tr2bl w:val="nil"/>
            </w:tcBorders>
            <w:noWrap w:val="0"/>
            <w:vAlign w:val="center"/>
          </w:tcPr>
          <w:p w14:paraId="25DD3B70">
            <w:pPr>
              <w:pStyle w:val="48"/>
              <w:spacing w:beforeLines="0" w:afterLine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1920</w:t>
            </w:r>
          </w:p>
        </w:tc>
        <w:tc>
          <w:tcPr>
            <w:tcW w:w="0" w:type="auto"/>
            <w:tcBorders>
              <w:top w:val="single" w:color="000000" w:sz="2" w:space="0"/>
              <w:left w:val="single" w:color="000000" w:sz="2" w:space="0"/>
              <w:bottom w:val="single" w:color="000000" w:sz="2" w:space="0"/>
              <w:right w:val="single" w:color="000000" w:sz="2" w:space="0"/>
              <w:tl2br w:val="nil"/>
              <w:tr2bl w:val="nil"/>
            </w:tcBorders>
            <w:noWrap w:val="0"/>
            <w:vAlign w:val="center"/>
          </w:tcPr>
          <w:p w14:paraId="0B53E680">
            <w:pPr>
              <w:pStyle w:val="48"/>
              <w:spacing w:beforeLines="0" w:afterLine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正常</w:t>
            </w:r>
          </w:p>
        </w:tc>
        <w:tc>
          <w:tcPr>
            <w:tcW w:w="0" w:type="auto"/>
            <w:tcBorders>
              <w:top w:val="single" w:color="000000" w:sz="2" w:space="0"/>
              <w:left w:val="single" w:color="000000" w:sz="2" w:space="0"/>
              <w:bottom w:val="single" w:color="000000" w:sz="2" w:space="0"/>
              <w:right w:val="single" w:color="000000" w:sz="2" w:space="0"/>
              <w:tl2br w:val="nil"/>
              <w:tr2bl w:val="nil"/>
            </w:tcBorders>
            <w:noWrap w:val="0"/>
            <w:vAlign w:val="center"/>
          </w:tcPr>
          <w:p w14:paraId="60C5FBA9">
            <w:pPr>
              <w:pStyle w:val="48"/>
              <w:spacing w:beforeLines="0" w:afterLine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w:t>
            </w:r>
            <w:r>
              <w:rPr>
                <w:rFonts w:hint="eastAsia" w:ascii="Times New Roman" w:hAnsi="Times New Roman" w:cs="Times New Roman"/>
                <w:color w:val="auto"/>
                <w:sz w:val="21"/>
                <w:szCs w:val="21"/>
                <w:highlight w:val="none"/>
                <w:lang w:val="en-US" w:eastAsia="zh-CN"/>
              </w:rPr>
              <w:t>30</w:t>
            </w:r>
          </w:p>
        </w:tc>
      </w:tr>
      <w:tr w14:paraId="536687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3" w:hRule="atLeast"/>
        </w:trPr>
        <w:tc>
          <w:tcPr>
            <w:tcW w:w="0" w:type="auto"/>
            <w:tcBorders>
              <w:top w:val="single" w:color="000000" w:sz="2" w:space="0"/>
              <w:left w:val="single" w:color="000000" w:sz="2" w:space="0"/>
              <w:bottom w:val="single" w:color="000000" w:sz="2" w:space="0"/>
              <w:right w:val="single" w:color="000000" w:sz="2" w:space="0"/>
              <w:tl2br w:val="nil"/>
              <w:tr2bl w:val="nil"/>
            </w:tcBorders>
            <w:noWrap w:val="0"/>
            <w:vAlign w:val="center"/>
          </w:tcPr>
          <w:p w14:paraId="3F0C1263">
            <w:pPr>
              <w:pStyle w:val="48"/>
              <w:spacing w:beforeLines="0" w:afterLines="0"/>
              <w:rPr>
                <w:rFonts w:hint="default" w:ascii="Times New Roman" w:hAnsi="Times New Roman" w:eastAsia="宋体" w:cs="Times New Roman"/>
                <w:color w:val="00B050"/>
                <w:sz w:val="21"/>
                <w:szCs w:val="21"/>
                <w:highlight w:val="none"/>
                <w:lang w:val="en-US" w:eastAsia="zh-CN"/>
              </w:rPr>
            </w:pPr>
            <w:r>
              <w:rPr>
                <w:rFonts w:hint="default" w:ascii="Times New Roman" w:hAnsi="Times New Roman" w:eastAsia="宋体" w:cs="Times New Roman"/>
                <w:color w:val="00B050"/>
                <w:sz w:val="21"/>
                <w:szCs w:val="21"/>
                <w:highlight w:val="none"/>
                <w:lang w:val="en-US" w:eastAsia="zh-CN"/>
              </w:rPr>
              <w:t>DA002</w:t>
            </w:r>
          </w:p>
        </w:tc>
        <w:tc>
          <w:tcPr>
            <w:tcW w:w="0" w:type="auto"/>
            <w:tcBorders>
              <w:top w:val="single" w:color="000000" w:sz="2" w:space="0"/>
              <w:left w:val="single" w:color="000000" w:sz="2" w:space="0"/>
              <w:bottom w:val="single" w:color="000000" w:sz="2" w:space="0"/>
              <w:right w:val="single" w:color="000000" w:sz="2" w:space="0"/>
              <w:tl2br w:val="nil"/>
              <w:tr2bl w:val="nil"/>
            </w:tcBorders>
            <w:noWrap w:val="0"/>
            <w:vAlign w:val="center"/>
          </w:tcPr>
          <w:p w14:paraId="14FA23B2">
            <w:pPr>
              <w:pStyle w:val="48"/>
              <w:spacing w:beforeLines="0" w:afterLines="0"/>
              <w:rPr>
                <w:rFonts w:hint="default" w:ascii="Times New Roman" w:hAnsi="Times New Roman" w:eastAsia="宋体" w:cs="Times New Roman"/>
                <w:color w:val="00B050"/>
                <w:sz w:val="21"/>
                <w:szCs w:val="21"/>
                <w:highlight w:val="none"/>
                <w:lang w:val="en-US" w:eastAsia="zh-CN"/>
              </w:rPr>
            </w:pPr>
            <w:r>
              <w:rPr>
                <w:rFonts w:hint="default" w:ascii="Times New Roman" w:hAnsi="Times New Roman" w:eastAsia="宋体" w:cs="Times New Roman"/>
                <w:color w:val="00B050"/>
                <w:sz w:val="21"/>
                <w:szCs w:val="21"/>
                <w:highlight w:val="none"/>
                <w:lang w:val="en-US" w:eastAsia="zh-CN"/>
              </w:rPr>
              <w:t>烘干环节除尘排气筒</w:t>
            </w:r>
          </w:p>
        </w:tc>
        <w:tc>
          <w:tcPr>
            <w:tcW w:w="0" w:type="auto"/>
            <w:tcBorders>
              <w:top w:val="single" w:color="000000" w:sz="2" w:space="0"/>
              <w:left w:val="single" w:color="000000" w:sz="2" w:space="0"/>
              <w:bottom w:val="single" w:color="000000" w:sz="2" w:space="0"/>
              <w:right w:val="single" w:color="000000" w:sz="2" w:space="0"/>
              <w:tl2br w:val="nil"/>
              <w:tr2bl w:val="nil"/>
            </w:tcBorders>
            <w:noWrap w:val="0"/>
            <w:vAlign w:val="center"/>
          </w:tcPr>
          <w:p w14:paraId="262B6F92">
            <w:pPr>
              <w:pStyle w:val="48"/>
              <w:spacing w:beforeLines="0" w:afterLines="0"/>
              <w:rPr>
                <w:rFonts w:hint="default" w:ascii="Times New Roman" w:hAnsi="Times New Roman" w:eastAsia="宋体" w:cs="Times New Roman"/>
                <w:color w:val="00B050"/>
                <w:sz w:val="21"/>
                <w:szCs w:val="21"/>
                <w:highlight w:val="none"/>
                <w:lang w:val="en-US" w:eastAsia="zh-CN"/>
              </w:rPr>
            </w:pPr>
            <w:r>
              <w:rPr>
                <w:rFonts w:hint="default" w:ascii="Times New Roman" w:hAnsi="Times New Roman" w:eastAsia="宋体" w:cs="Times New Roman"/>
                <w:color w:val="00B050"/>
                <w:sz w:val="21"/>
                <w:szCs w:val="21"/>
                <w:highlight w:val="none"/>
                <w:lang w:val="en-US" w:eastAsia="zh-CN"/>
              </w:rPr>
              <w:t>-939</w:t>
            </w:r>
          </w:p>
        </w:tc>
        <w:tc>
          <w:tcPr>
            <w:tcW w:w="0" w:type="auto"/>
            <w:tcBorders>
              <w:top w:val="single" w:color="000000" w:sz="2" w:space="0"/>
              <w:left w:val="single" w:color="000000" w:sz="2" w:space="0"/>
              <w:bottom w:val="single" w:color="000000" w:sz="2" w:space="0"/>
              <w:right w:val="single" w:color="000000" w:sz="2" w:space="0"/>
              <w:tl2br w:val="nil"/>
              <w:tr2bl w:val="nil"/>
            </w:tcBorders>
            <w:noWrap w:val="0"/>
            <w:vAlign w:val="center"/>
          </w:tcPr>
          <w:p w14:paraId="1B85C99A">
            <w:pPr>
              <w:pStyle w:val="48"/>
              <w:spacing w:beforeLines="0" w:afterLines="0"/>
              <w:rPr>
                <w:rFonts w:hint="default" w:ascii="Times New Roman" w:hAnsi="Times New Roman" w:eastAsia="宋体" w:cs="Times New Roman"/>
                <w:color w:val="00B050"/>
                <w:sz w:val="21"/>
                <w:szCs w:val="21"/>
                <w:highlight w:val="none"/>
                <w:lang w:val="en-US" w:eastAsia="zh-CN"/>
              </w:rPr>
            </w:pPr>
            <w:r>
              <w:rPr>
                <w:rFonts w:hint="default" w:ascii="Times New Roman" w:hAnsi="Times New Roman" w:eastAsia="宋体" w:cs="Times New Roman"/>
                <w:color w:val="00B050"/>
                <w:sz w:val="21"/>
                <w:szCs w:val="21"/>
                <w:highlight w:val="none"/>
                <w:lang w:val="en-US" w:eastAsia="zh-CN"/>
              </w:rPr>
              <w:t>-72</w:t>
            </w:r>
          </w:p>
        </w:tc>
        <w:tc>
          <w:tcPr>
            <w:tcW w:w="0" w:type="auto"/>
            <w:tcBorders>
              <w:top w:val="single" w:color="000000" w:sz="2" w:space="0"/>
              <w:left w:val="single" w:color="000000" w:sz="2" w:space="0"/>
              <w:bottom w:val="single" w:color="000000" w:sz="2" w:space="0"/>
              <w:right w:val="single" w:color="000000" w:sz="2" w:space="0"/>
              <w:tl2br w:val="nil"/>
              <w:tr2bl w:val="nil"/>
            </w:tcBorders>
            <w:noWrap w:val="0"/>
            <w:vAlign w:val="center"/>
          </w:tcPr>
          <w:p w14:paraId="242D68DF">
            <w:pPr>
              <w:pStyle w:val="48"/>
              <w:spacing w:beforeLines="0" w:afterLines="0"/>
              <w:rPr>
                <w:rFonts w:hint="default" w:ascii="Times New Roman" w:hAnsi="Times New Roman" w:eastAsia="宋体" w:cs="Times New Roman"/>
                <w:color w:val="00B050"/>
                <w:sz w:val="21"/>
                <w:szCs w:val="21"/>
                <w:highlight w:val="none"/>
                <w:lang w:val="en-US" w:eastAsia="zh-CN"/>
              </w:rPr>
            </w:pPr>
            <w:r>
              <w:rPr>
                <w:rFonts w:hint="default" w:ascii="Times New Roman" w:hAnsi="Times New Roman" w:eastAsia="宋体" w:cs="Times New Roman"/>
                <w:color w:val="00B050"/>
                <w:sz w:val="21"/>
                <w:szCs w:val="21"/>
                <w:highlight w:val="none"/>
                <w:lang w:val="en-US" w:eastAsia="zh-CN"/>
              </w:rPr>
              <w:t>599</w:t>
            </w:r>
          </w:p>
        </w:tc>
        <w:tc>
          <w:tcPr>
            <w:tcW w:w="0" w:type="auto"/>
            <w:tcBorders>
              <w:top w:val="single" w:color="000000" w:sz="2" w:space="0"/>
              <w:left w:val="single" w:color="000000" w:sz="2" w:space="0"/>
              <w:bottom w:val="single" w:color="000000" w:sz="2" w:space="0"/>
              <w:right w:val="single" w:color="000000" w:sz="2" w:space="0"/>
              <w:tl2br w:val="nil"/>
              <w:tr2bl w:val="nil"/>
            </w:tcBorders>
            <w:noWrap w:val="0"/>
            <w:vAlign w:val="center"/>
          </w:tcPr>
          <w:p w14:paraId="67F16B5D">
            <w:pPr>
              <w:pStyle w:val="48"/>
              <w:spacing w:beforeLines="0" w:afterLines="0"/>
              <w:rPr>
                <w:rFonts w:hint="default" w:ascii="Times New Roman" w:hAnsi="Times New Roman" w:eastAsia="宋体" w:cs="Times New Roman"/>
                <w:color w:val="00B050"/>
                <w:sz w:val="21"/>
                <w:szCs w:val="21"/>
                <w:highlight w:val="none"/>
                <w:lang w:val="en-US" w:eastAsia="zh-CN"/>
              </w:rPr>
            </w:pPr>
            <w:r>
              <w:rPr>
                <w:rFonts w:hint="default" w:ascii="Times New Roman" w:hAnsi="Times New Roman" w:eastAsia="宋体" w:cs="Times New Roman"/>
                <w:color w:val="00B050"/>
                <w:sz w:val="21"/>
                <w:szCs w:val="21"/>
                <w:highlight w:val="none"/>
                <w:lang w:val="en-US" w:eastAsia="zh-CN"/>
              </w:rPr>
              <w:t>15</w:t>
            </w:r>
          </w:p>
        </w:tc>
        <w:tc>
          <w:tcPr>
            <w:tcW w:w="0" w:type="auto"/>
            <w:tcBorders>
              <w:top w:val="single" w:color="000000" w:sz="2" w:space="0"/>
              <w:left w:val="single" w:color="000000" w:sz="2" w:space="0"/>
              <w:bottom w:val="single" w:color="000000" w:sz="2" w:space="0"/>
              <w:right w:val="single" w:color="000000" w:sz="2" w:space="0"/>
              <w:tl2br w:val="nil"/>
              <w:tr2bl w:val="nil"/>
            </w:tcBorders>
            <w:noWrap w:val="0"/>
            <w:vAlign w:val="center"/>
          </w:tcPr>
          <w:p w14:paraId="52BE5092">
            <w:pPr>
              <w:pStyle w:val="48"/>
              <w:spacing w:beforeLines="0" w:afterLines="0"/>
              <w:rPr>
                <w:rFonts w:hint="default" w:ascii="Times New Roman" w:hAnsi="Times New Roman" w:eastAsia="宋体" w:cs="Times New Roman"/>
                <w:color w:val="00B050"/>
                <w:sz w:val="21"/>
                <w:szCs w:val="21"/>
                <w:highlight w:val="none"/>
              </w:rPr>
            </w:pPr>
            <w:r>
              <w:rPr>
                <w:rFonts w:hint="default" w:ascii="Times New Roman" w:hAnsi="Times New Roman" w:eastAsia="宋体" w:cs="Times New Roman"/>
                <w:color w:val="00B050"/>
                <w:sz w:val="21"/>
                <w:szCs w:val="21"/>
                <w:highlight w:val="none"/>
              </w:rPr>
              <w:t>0.</w:t>
            </w:r>
            <w:r>
              <w:rPr>
                <w:rFonts w:hint="default" w:ascii="Times New Roman" w:hAnsi="Times New Roman" w:eastAsia="宋体" w:cs="Times New Roman"/>
                <w:color w:val="00B050"/>
                <w:sz w:val="21"/>
                <w:szCs w:val="21"/>
                <w:highlight w:val="none"/>
                <w:lang w:val="en-US" w:eastAsia="zh-CN"/>
              </w:rPr>
              <w:t>5</w:t>
            </w:r>
          </w:p>
        </w:tc>
        <w:tc>
          <w:tcPr>
            <w:tcW w:w="0" w:type="auto"/>
            <w:tcBorders>
              <w:top w:val="single" w:color="000000" w:sz="2" w:space="0"/>
              <w:left w:val="single" w:color="000000" w:sz="2" w:space="0"/>
              <w:bottom w:val="single" w:color="000000" w:sz="2" w:space="0"/>
              <w:right w:val="single" w:color="000000" w:sz="2" w:space="0"/>
              <w:tl2br w:val="nil"/>
              <w:tr2bl w:val="nil"/>
            </w:tcBorders>
            <w:noWrap w:val="0"/>
            <w:vAlign w:val="center"/>
          </w:tcPr>
          <w:p w14:paraId="16CF46EB">
            <w:pPr>
              <w:pStyle w:val="48"/>
              <w:spacing w:beforeLines="0" w:afterLines="0"/>
              <w:rPr>
                <w:rFonts w:hint="default" w:ascii="Times New Roman" w:hAnsi="Times New Roman" w:eastAsia="宋体" w:cs="Times New Roman"/>
                <w:color w:val="00B050"/>
                <w:sz w:val="21"/>
                <w:szCs w:val="21"/>
                <w:highlight w:val="none"/>
                <w:lang w:val="en-US" w:eastAsia="zh-CN"/>
              </w:rPr>
            </w:pPr>
            <w:r>
              <w:rPr>
                <w:rFonts w:hint="default" w:ascii="Times New Roman" w:hAnsi="Times New Roman" w:eastAsia="宋体" w:cs="Times New Roman"/>
                <w:color w:val="00B050"/>
                <w:sz w:val="21"/>
                <w:szCs w:val="21"/>
                <w:highlight w:val="none"/>
                <w:lang w:val="en-US" w:eastAsia="zh-CN"/>
              </w:rPr>
              <w:t>42.5</w:t>
            </w:r>
          </w:p>
        </w:tc>
        <w:tc>
          <w:tcPr>
            <w:tcW w:w="0" w:type="auto"/>
            <w:tcBorders>
              <w:top w:val="single" w:color="000000" w:sz="2" w:space="0"/>
              <w:left w:val="single" w:color="000000" w:sz="2" w:space="0"/>
              <w:bottom w:val="single" w:color="000000" w:sz="2" w:space="0"/>
              <w:right w:val="single" w:color="000000" w:sz="2" w:space="0"/>
              <w:tl2br w:val="nil"/>
              <w:tr2bl w:val="nil"/>
            </w:tcBorders>
            <w:noWrap w:val="0"/>
            <w:vAlign w:val="center"/>
          </w:tcPr>
          <w:p w14:paraId="7FE91C25">
            <w:pPr>
              <w:pStyle w:val="48"/>
              <w:spacing w:beforeLines="0" w:afterLines="0"/>
              <w:rPr>
                <w:rFonts w:hint="default" w:ascii="Times New Roman" w:hAnsi="Times New Roman" w:eastAsia="宋体" w:cs="Times New Roman"/>
                <w:color w:val="00B050"/>
                <w:sz w:val="21"/>
                <w:szCs w:val="21"/>
                <w:highlight w:val="none"/>
                <w:lang w:val="en-US" w:eastAsia="zh-CN"/>
              </w:rPr>
            </w:pPr>
            <w:r>
              <w:rPr>
                <w:rFonts w:hint="default" w:ascii="Times New Roman" w:hAnsi="Times New Roman" w:eastAsia="宋体" w:cs="Times New Roman"/>
                <w:color w:val="00B050"/>
                <w:sz w:val="21"/>
                <w:szCs w:val="21"/>
                <w:highlight w:val="none"/>
                <w:lang w:val="en-US" w:eastAsia="zh-CN"/>
              </w:rPr>
              <w:t>45</w:t>
            </w:r>
          </w:p>
        </w:tc>
        <w:tc>
          <w:tcPr>
            <w:tcW w:w="0" w:type="auto"/>
            <w:tcBorders>
              <w:top w:val="single" w:color="000000" w:sz="2" w:space="0"/>
              <w:left w:val="single" w:color="000000" w:sz="2" w:space="0"/>
              <w:bottom w:val="single" w:color="000000" w:sz="2" w:space="0"/>
              <w:right w:val="single" w:color="000000" w:sz="2" w:space="0"/>
              <w:tl2br w:val="nil"/>
              <w:tr2bl w:val="nil"/>
            </w:tcBorders>
            <w:noWrap w:val="0"/>
            <w:vAlign w:val="center"/>
          </w:tcPr>
          <w:p w14:paraId="14B254C4">
            <w:pPr>
              <w:pStyle w:val="48"/>
              <w:spacing w:beforeLines="0" w:afterLines="0"/>
              <w:rPr>
                <w:rFonts w:hint="default" w:ascii="Times New Roman" w:hAnsi="Times New Roman" w:eastAsia="宋体" w:cs="Times New Roman"/>
                <w:color w:val="00B050"/>
                <w:sz w:val="21"/>
                <w:szCs w:val="21"/>
                <w:highlight w:val="none"/>
                <w:lang w:val="en-US" w:eastAsia="zh-CN"/>
              </w:rPr>
            </w:pPr>
            <w:r>
              <w:rPr>
                <w:rFonts w:hint="eastAsia" w:ascii="Times New Roman" w:hAnsi="Times New Roman" w:cs="Times New Roman"/>
                <w:color w:val="00B050"/>
                <w:sz w:val="21"/>
                <w:szCs w:val="21"/>
                <w:highlight w:val="none"/>
                <w:lang w:val="en-US" w:eastAsia="zh-CN"/>
              </w:rPr>
              <w:t>4800</w:t>
            </w:r>
          </w:p>
        </w:tc>
        <w:tc>
          <w:tcPr>
            <w:tcW w:w="0" w:type="auto"/>
            <w:tcBorders>
              <w:top w:val="single" w:color="000000" w:sz="2" w:space="0"/>
              <w:left w:val="single" w:color="000000" w:sz="2" w:space="0"/>
              <w:bottom w:val="single" w:color="000000" w:sz="2" w:space="0"/>
              <w:right w:val="single" w:color="000000" w:sz="2" w:space="0"/>
              <w:tl2br w:val="nil"/>
              <w:tr2bl w:val="nil"/>
            </w:tcBorders>
            <w:noWrap w:val="0"/>
            <w:vAlign w:val="center"/>
          </w:tcPr>
          <w:p w14:paraId="23E09547">
            <w:pPr>
              <w:pStyle w:val="48"/>
              <w:spacing w:beforeLines="0" w:afterLines="0"/>
              <w:rPr>
                <w:rFonts w:hint="default" w:ascii="Times New Roman" w:hAnsi="Times New Roman" w:eastAsia="宋体" w:cs="Times New Roman"/>
                <w:color w:val="00B050"/>
                <w:sz w:val="21"/>
                <w:szCs w:val="21"/>
                <w:highlight w:val="none"/>
                <w:lang w:val="en-US" w:eastAsia="zh-CN"/>
              </w:rPr>
            </w:pPr>
            <w:r>
              <w:rPr>
                <w:rFonts w:hint="default" w:ascii="Times New Roman" w:hAnsi="Times New Roman" w:eastAsia="宋体" w:cs="Times New Roman"/>
                <w:color w:val="00B050"/>
                <w:sz w:val="21"/>
                <w:szCs w:val="21"/>
                <w:highlight w:val="none"/>
                <w:lang w:val="en-US" w:eastAsia="zh-CN"/>
              </w:rPr>
              <w:t>正常</w:t>
            </w:r>
          </w:p>
        </w:tc>
        <w:tc>
          <w:tcPr>
            <w:tcW w:w="0" w:type="auto"/>
            <w:tcBorders>
              <w:top w:val="single" w:color="000000" w:sz="2" w:space="0"/>
              <w:left w:val="single" w:color="000000" w:sz="2" w:space="0"/>
              <w:bottom w:val="single" w:color="000000" w:sz="2" w:space="0"/>
              <w:right w:val="single" w:color="000000" w:sz="2" w:space="0"/>
              <w:tl2br w:val="nil"/>
              <w:tr2bl w:val="nil"/>
            </w:tcBorders>
            <w:noWrap w:val="0"/>
            <w:vAlign w:val="center"/>
          </w:tcPr>
          <w:p w14:paraId="339328FB">
            <w:pPr>
              <w:pStyle w:val="48"/>
              <w:spacing w:beforeLines="0" w:afterLines="0"/>
              <w:rPr>
                <w:rFonts w:hint="default" w:ascii="Times New Roman" w:hAnsi="Times New Roman" w:eastAsia="宋体" w:cs="Times New Roman"/>
                <w:color w:val="00B050"/>
                <w:sz w:val="21"/>
                <w:szCs w:val="21"/>
                <w:highlight w:val="none"/>
                <w:lang w:val="en-US" w:eastAsia="zh-CN"/>
              </w:rPr>
            </w:pPr>
            <w:r>
              <w:rPr>
                <w:rFonts w:hint="default" w:ascii="Times New Roman" w:hAnsi="Times New Roman" w:eastAsia="宋体" w:cs="Times New Roman"/>
                <w:color w:val="00B050"/>
                <w:sz w:val="21"/>
                <w:szCs w:val="21"/>
                <w:highlight w:val="none"/>
                <w:lang w:val="en-US" w:eastAsia="zh-CN"/>
              </w:rPr>
              <w:t>0.</w:t>
            </w:r>
            <w:r>
              <w:rPr>
                <w:rFonts w:hint="eastAsia" w:ascii="Times New Roman" w:hAnsi="Times New Roman" w:cs="Times New Roman"/>
                <w:color w:val="00B050"/>
                <w:sz w:val="21"/>
                <w:szCs w:val="21"/>
                <w:highlight w:val="none"/>
                <w:lang w:val="en-US" w:eastAsia="zh-CN"/>
              </w:rPr>
              <w:t>142</w:t>
            </w:r>
          </w:p>
        </w:tc>
      </w:tr>
    </w:tbl>
    <w:p w14:paraId="27332541">
      <w:pPr>
        <w:numPr>
          <w:ilvl w:val="0"/>
          <w:numId w:val="0"/>
        </w:numPr>
        <w:spacing w:beforeLines="0" w:afterLines="0"/>
        <w:ind w:leftChars="200" w:firstLine="0"/>
        <w:rPr>
          <w:rFonts w:hint="default" w:ascii="Times New Roman" w:hAnsi="Times New Roman" w:cs="Times New Roman"/>
          <w:color w:val="auto"/>
          <w:sz w:val="24"/>
          <w:szCs w:val="24"/>
          <w:highlight w:val="none"/>
          <w:lang w:val="en-US" w:eastAsia="zh-CN"/>
        </w:rPr>
      </w:pPr>
    </w:p>
    <w:p w14:paraId="32D9DF0C">
      <w:pPr>
        <w:pStyle w:val="45"/>
        <w:spacing w:beforeLines="0" w:afterLines="0"/>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 xml:space="preserve">表5.2-6    </w:t>
      </w:r>
      <w:r>
        <w:rPr>
          <w:rFonts w:hint="default" w:ascii="Times New Roman" w:hAnsi="Times New Roman" w:cs="Times New Roman"/>
          <w:color w:val="auto"/>
          <w:sz w:val="24"/>
          <w:szCs w:val="24"/>
          <w:highlight w:val="none"/>
          <w:lang w:val="en-US" w:eastAsia="zh-CN"/>
        </w:rPr>
        <w:t>面源参数表</w:t>
      </w:r>
    </w:p>
    <w:tbl>
      <w:tblPr>
        <w:tblStyle w:val="31"/>
        <w:tblW w:w="4996"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495"/>
        <w:gridCol w:w="637"/>
        <w:gridCol w:w="635"/>
        <w:gridCol w:w="637"/>
        <w:gridCol w:w="849"/>
        <w:gridCol w:w="742"/>
        <w:gridCol w:w="742"/>
        <w:gridCol w:w="1029"/>
        <w:gridCol w:w="993"/>
        <w:gridCol w:w="963"/>
        <w:gridCol w:w="646"/>
        <w:gridCol w:w="991"/>
      </w:tblGrid>
      <w:tr w14:paraId="6A65B8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62" w:hRule="exact"/>
        </w:trPr>
        <w:tc>
          <w:tcPr>
            <w:tcW w:w="264" w:type="pct"/>
            <w:vMerge w:val="restart"/>
            <w:tcBorders>
              <w:top w:val="single" w:color="000000" w:sz="2" w:space="0"/>
              <w:left w:val="single" w:color="000000" w:sz="2" w:space="0"/>
              <w:bottom w:val="single" w:color="000000" w:sz="2" w:space="0"/>
              <w:right w:val="single" w:color="000000" w:sz="2" w:space="0"/>
              <w:tl2br w:val="nil"/>
              <w:tr2bl w:val="nil"/>
            </w:tcBorders>
            <w:noWrap w:val="0"/>
            <w:vAlign w:val="center"/>
          </w:tcPr>
          <w:p w14:paraId="283B7410">
            <w:pPr>
              <w:pStyle w:val="48"/>
              <w:spacing w:beforeLines="0" w:afterLines="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编号</w:t>
            </w:r>
          </w:p>
        </w:tc>
        <w:tc>
          <w:tcPr>
            <w:tcW w:w="340" w:type="pct"/>
            <w:vMerge w:val="restart"/>
            <w:tcBorders>
              <w:top w:val="single" w:color="000000" w:sz="2" w:space="0"/>
              <w:left w:val="single" w:color="000000" w:sz="2" w:space="0"/>
              <w:bottom w:val="single" w:color="000000" w:sz="2" w:space="0"/>
              <w:right w:val="single" w:color="000000" w:sz="2" w:space="0"/>
              <w:tl2br w:val="nil"/>
              <w:tr2bl w:val="nil"/>
            </w:tcBorders>
            <w:noWrap w:val="0"/>
            <w:vAlign w:val="center"/>
          </w:tcPr>
          <w:p w14:paraId="498DAC14">
            <w:pPr>
              <w:pStyle w:val="48"/>
              <w:spacing w:beforeLines="0" w:afterLines="0"/>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名称</w:t>
            </w:r>
          </w:p>
        </w:tc>
        <w:tc>
          <w:tcPr>
            <w:tcW w:w="679" w:type="pct"/>
            <w:gridSpan w:val="2"/>
            <w:vMerge w:val="restart"/>
            <w:tcBorders>
              <w:top w:val="single" w:color="000000" w:sz="2" w:space="0"/>
              <w:left w:val="single" w:color="000000" w:sz="2" w:space="0"/>
              <w:right w:val="single" w:color="000000" w:sz="2" w:space="0"/>
              <w:tl2br w:val="nil"/>
              <w:tr2bl w:val="nil"/>
            </w:tcBorders>
            <w:noWrap w:val="0"/>
            <w:vAlign w:val="center"/>
          </w:tcPr>
          <w:p w14:paraId="59338BE2">
            <w:pPr>
              <w:pStyle w:val="48"/>
              <w:spacing w:beforeLines="0" w:afterLines="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面源起点坐标/m</w:t>
            </w:r>
          </w:p>
        </w:tc>
        <w:tc>
          <w:tcPr>
            <w:tcW w:w="453" w:type="pct"/>
            <w:vMerge w:val="restart"/>
            <w:tcBorders>
              <w:top w:val="single" w:color="000000" w:sz="2" w:space="0"/>
              <w:left w:val="single" w:color="000000" w:sz="2" w:space="0"/>
              <w:bottom w:val="single" w:color="000000" w:sz="2" w:space="0"/>
              <w:right w:val="single" w:color="000000" w:sz="2" w:space="0"/>
              <w:tl2br w:val="nil"/>
              <w:tr2bl w:val="nil"/>
            </w:tcBorders>
            <w:noWrap w:val="0"/>
            <w:vAlign w:val="center"/>
          </w:tcPr>
          <w:p w14:paraId="7657B821">
            <w:pPr>
              <w:pStyle w:val="48"/>
              <w:spacing w:beforeLines="0" w:afterLines="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面源海拔高度</w:t>
            </w:r>
          </w:p>
          <w:p w14:paraId="2AFD358E">
            <w:pPr>
              <w:pStyle w:val="48"/>
              <w:spacing w:beforeLines="0" w:afterLines="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m</w:t>
            </w:r>
          </w:p>
        </w:tc>
        <w:tc>
          <w:tcPr>
            <w:tcW w:w="396" w:type="pct"/>
            <w:vMerge w:val="restart"/>
            <w:tcBorders>
              <w:top w:val="single" w:color="000000" w:sz="2" w:space="0"/>
              <w:left w:val="single" w:color="000000" w:sz="2" w:space="0"/>
              <w:bottom w:val="single" w:color="000000" w:sz="2" w:space="0"/>
              <w:right w:val="single" w:color="000000" w:sz="2" w:space="0"/>
              <w:tl2br w:val="nil"/>
              <w:tr2bl w:val="nil"/>
            </w:tcBorders>
            <w:noWrap w:val="0"/>
            <w:vAlign w:val="center"/>
          </w:tcPr>
          <w:p w14:paraId="1D6F7587">
            <w:pPr>
              <w:pStyle w:val="48"/>
              <w:spacing w:beforeLines="0" w:afterLines="0"/>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面源长度</w:t>
            </w:r>
            <w:r>
              <w:rPr>
                <w:rFonts w:hint="default" w:ascii="Times New Roman" w:hAnsi="Times New Roman" w:cs="Times New Roman"/>
                <w:color w:val="auto"/>
                <w:sz w:val="18"/>
                <w:szCs w:val="18"/>
                <w:highlight w:val="none"/>
              </w:rPr>
              <w:t>m</w:t>
            </w:r>
          </w:p>
        </w:tc>
        <w:tc>
          <w:tcPr>
            <w:tcW w:w="396" w:type="pct"/>
            <w:vMerge w:val="restart"/>
            <w:tcBorders>
              <w:top w:val="single" w:color="000000" w:sz="2" w:space="0"/>
              <w:left w:val="single" w:color="000000" w:sz="2" w:space="0"/>
              <w:bottom w:val="single" w:color="000000" w:sz="2" w:space="0"/>
              <w:right w:val="single" w:color="000000" w:sz="2" w:space="0"/>
              <w:tl2br w:val="nil"/>
              <w:tr2bl w:val="nil"/>
            </w:tcBorders>
            <w:noWrap w:val="0"/>
            <w:vAlign w:val="center"/>
          </w:tcPr>
          <w:p w14:paraId="54CAA8A0">
            <w:pPr>
              <w:pStyle w:val="48"/>
              <w:spacing w:beforeLines="0" w:afterLines="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面源宽度m</w:t>
            </w:r>
          </w:p>
        </w:tc>
        <w:tc>
          <w:tcPr>
            <w:tcW w:w="549" w:type="pct"/>
            <w:vMerge w:val="restart"/>
            <w:tcBorders>
              <w:top w:val="single" w:color="000000" w:sz="2" w:space="0"/>
              <w:left w:val="single" w:color="000000" w:sz="2" w:space="0"/>
              <w:bottom w:val="single" w:color="000000" w:sz="2" w:space="0"/>
              <w:right w:val="single" w:color="000000" w:sz="2" w:space="0"/>
              <w:tl2br w:val="nil"/>
              <w:tr2bl w:val="nil"/>
            </w:tcBorders>
            <w:noWrap w:val="0"/>
            <w:vAlign w:val="center"/>
          </w:tcPr>
          <w:p w14:paraId="1D85F368">
            <w:pPr>
              <w:pStyle w:val="48"/>
              <w:spacing w:beforeLines="0" w:afterLines="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与正北方向夹角/°</w:t>
            </w:r>
          </w:p>
        </w:tc>
        <w:tc>
          <w:tcPr>
            <w:tcW w:w="530" w:type="pct"/>
            <w:vMerge w:val="restart"/>
            <w:tcBorders>
              <w:top w:val="single" w:color="000000" w:sz="2" w:space="0"/>
              <w:left w:val="single" w:color="000000" w:sz="2" w:space="0"/>
              <w:bottom w:val="single" w:color="000000" w:sz="2" w:space="0"/>
              <w:right w:val="single" w:color="000000" w:sz="2" w:space="0"/>
              <w:tl2br w:val="nil"/>
              <w:tr2bl w:val="nil"/>
            </w:tcBorders>
            <w:noWrap w:val="0"/>
            <w:vAlign w:val="center"/>
          </w:tcPr>
          <w:p w14:paraId="26D1B060">
            <w:pPr>
              <w:pStyle w:val="48"/>
              <w:spacing w:beforeLines="0" w:afterLines="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面源有效排放高度/m</w:t>
            </w:r>
          </w:p>
        </w:tc>
        <w:tc>
          <w:tcPr>
            <w:tcW w:w="514" w:type="pct"/>
            <w:vMerge w:val="restart"/>
            <w:tcBorders>
              <w:top w:val="single" w:color="000000" w:sz="2" w:space="0"/>
              <w:left w:val="single" w:color="000000" w:sz="2" w:space="0"/>
              <w:bottom w:val="single" w:color="000000" w:sz="2" w:space="0"/>
              <w:right w:val="single" w:color="000000" w:sz="2" w:space="0"/>
              <w:tl2br w:val="nil"/>
              <w:tr2bl w:val="nil"/>
            </w:tcBorders>
            <w:noWrap w:val="0"/>
            <w:vAlign w:val="center"/>
          </w:tcPr>
          <w:p w14:paraId="7BCE0D18">
            <w:pPr>
              <w:pStyle w:val="48"/>
              <w:spacing w:beforeLines="0" w:afterLines="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rPr>
              <w:t>年排放小时数</w:t>
            </w:r>
            <w:r>
              <w:rPr>
                <w:rFonts w:hint="default" w:ascii="Times New Roman" w:hAnsi="Times New Roman" w:cs="Times New Roman"/>
                <w:color w:val="auto"/>
                <w:sz w:val="18"/>
                <w:szCs w:val="18"/>
                <w:highlight w:val="none"/>
                <w:lang w:val="en-US" w:eastAsia="zh-CN"/>
              </w:rPr>
              <w:t>/</w:t>
            </w:r>
          </w:p>
          <w:p w14:paraId="407ECE9D">
            <w:pPr>
              <w:pStyle w:val="48"/>
              <w:spacing w:beforeLines="0" w:afterLines="0"/>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h</w:t>
            </w:r>
          </w:p>
        </w:tc>
        <w:tc>
          <w:tcPr>
            <w:tcW w:w="344" w:type="pct"/>
            <w:vMerge w:val="restart"/>
            <w:tcBorders>
              <w:top w:val="single" w:color="000000" w:sz="2" w:space="0"/>
              <w:left w:val="single" w:color="000000" w:sz="2" w:space="0"/>
              <w:bottom w:val="single" w:color="000000" w:sz="2" w:space="0"/>
              <w:right w:val="single" w:color="000000" w:sz="2" w:space="0"/>
              <w:tl2br w:val="nil"/>
              <w:tr2bl w:val="nil"/>
            </w:tcBorders>
            <w:noWrap w:val="0"/>
            <w:vAlign w:val="center"/>
          </w:tcPr>
          <w:p w14:paraId="1174582C">
            <w:pPr>
              <w:pStyle w:val="48"/>
              <w:spacing w:beforeLines="0" w:afterLines="0"/>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排放工况</w:t>
            </w:r>
          </w:p>
        </w:tc>
        <w:tc>
          <w:tcPr>
            <w:tcW w:w="528" w:type="pct"/>
            <w:tcBorders>
              <w:top w:val="single" w:color="000000" w:sz="2" w:space="0"/>
              <w:left w:val="single" w:color="000000" w:sz="2" w:space="0"/>
              <w:bottom w:val="single" w:color="000000" w:sz="4" w:space="0"/>
              <w:right w:val="single" w:color="000000" w:sz="2" w:space="0"/>
              <w:tl2br w:val="nil"/>
              <w:tr2bl w:val="nil"/>
            </w:tcBorders>
            <w:noWrap w:val="0"/>
            <w:vAlign w:val="center"/>
          </w:tcPr>
          <w:p w14:paraId="02C50036">
            <w:pPr>
              <w:pStyle w:val="48"/>
              <w:spacing w:beforeLines="0" w:afterLines="0"/>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点源排放速率</w:t>
            </w:r>
          </w:p>
          <w:p w14:paraId="05983AE1">
            <w:pPr>
              <w:pStyle w:val="48"/>
              <w:spacing w:beforeLines="0" w:afterLines="0"/>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kg/h</w:t>
            </w:r>
          </w:p>
        </w:tc>
      </w:tr>
      <w:tr w14:paraId="7FDDD7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12" w:hRule="exact"/>
        </w:trPr>
        <w:tc>
          <w:tcPr>
            <w:tcW w:w="264" w:type="pct"/>
            <w:vMerge w:val="continue"/>
            <w:tcBorders>
              <w:left w:val="single" w:color="000000" w:sz="2" w:space="0"/>
              <w:right w:val="single" w:color="000000" w:sz="2" w:space="0"/>
              <w:tl2br w:val="nil"/>
              <w:tr2bl w:val="nil"/>
            </w:tcBorders>
            <w:noWrap w:val="0"/>
            <w:vAlign w:val="center"/>
          </w:tcPr>
          <w:p w14:paraId="4093A350">
            <w:pPr>
              <w:pStyle w:val="48"/>
              <w:spacing w:beforeLines="0" w:afterLines="0"/>
              <w:rPr>
                <w:rFonts w:hint="default" w:ascii="Times New Roman" w:hAnsi="Times New Roman" w:cs="Times New Roman"/>
                <w:color w:val="auto"/>
                <w:sz w:val="18"/>
                <w:szCs w:val="18"/>
                <w:highlight w:val="none"/>
                <w:lang w:val="en-US" w:eastAsia="zh-CN"/>
              </w:rPr>
            </w:pPr>
          </w:p>
        </w:tc>
        <w:tc>
          <w:tcPr>
            <w:tcW w:w="340" w:type="pct"/>
            <w:vMerge w:val="continue"/>
            <w:tcBorders>
              <w:left w:val="single" w:color="000000" w:sz="2" w:space="0"/>
              <w:right w:val="single" w:color="000000" w:sz="2" w:space="0"/>
              <w:tl2br w:val="nil"/>
              <w:tr2bl w:val="nil"/>
            </w:tcBorders>
            <w:noWrap w:val="0"/>
            <w:vAlign w:val="center"/>
          </w:tcPr>
          <w:p w14:paraId="5552E42F">
            <w:pPr>
              <w:pStyle w:val="48"/>
              <w:spacing w:beforeLines="0" w:afterLines="0"/>
              <w:rPr>
                <w:rFonts w:hint="default" w:ascii="Times New Roman" w:hAnsi="Times New Roman" w:cs="Times New Roman"/>
                <w:color w:val="auto"/>
                <w:sz w:val="18"/>
                <w:szCs w:val="18"/>
                <w:highlight w:val="none"/>
              </w:rPr>
            </w:pPr>
          </w:p>
        </w:tc>
        <w:tc>
          <w:tcPr>
            <w:tcW w:w="679" w:type="pct"/>
            <w:gridSpan w:val="2"/>
            <w:vMerge w:val="continue"/>
            <w:tcBorders>
              <w:left w:val="single" w:color="000000" w:sz="2" w:space="0"/>
              <w:bottom w:val="single" w:color="000000" w:sz="2" w:space="0"/>
              <w:right w:val="single" w:color="000000" w:sz="2" w:space="0"/>
              <w:tl2br w:val="nil"/>
              <w:tr2bl w:val="nil"/>
            </w:tcBorders>
            <w:noWrap w:val="0"/>
            <w:vAlign w:val="center"/>
          </w:tcPr>
          <w:p w14:paraId="05F58B52">
            <w:pPr>
              <w:pStyle w:val="48"/>
              <w:spacing w:beforeLines="0" w:afterLines="0"/>
              <w:rPr>
                <w:rFonts w:hint="default" w:ascii="Times New Roman" w:hAnsi="Times New Roman" w:cs="Times New Roman"/>
                <w:color w:val="auto"/>
                <w:sz w:val="18"/>
                <w:szCs w:val="18"/>
                <w:highlight w:val="none"/>
                <w:lang w:val="en-US" w:eastAsia="zh-CN"/>
              </w:rPr>
            </w:pPr>
          </w:p>
        </w:tc>
        <w:tc>
          <w:tcPr>
            <w:tcW w:w="453" w:type="pct"/>
            <w:vMerge w:val="continue"/>
            <w:tcBorders>
              <w:left w:val="single" w:color="000000" w:sz="2" w:space="0"/>
              <w:right w:val="single" w:color="000000" w:sz="2" w:space="0"/>
              <w:tl2br w:val="nil"/>
              <w:tr2bl w:val="nil"/>
            </w:tcBorders>
            <w:noWrap w:val="0"/>
            <w:vAlign w:val="center"/>
          </w:tcPr>
          <w:p w14:paraId="073E40F5">
            <w:pPr>
              <w:pStyle w:val="48"/>
              <w:spacing w:beforeLines="0" w:afterLines="0"/>
              <w:rPr>
                <w:rFonts w:hint="default" w:ascii="Times New Roman" w:hAnsi="Times New Roman" w:cs="Times New Roman"/>
                <w:color w:val="auto"/>
                <w:sz w:val="18"/>
                <w:szCs w:val="18"/>
                <w:highlight w:val="none"/>
                <w:lang w:val="en-US" w:eastAsia="zh-CN"/>
              </w:rPr>
            </w:pPr>
          </w:p>
        </w:tc>
        <w:tc>
          <w:tcPr>
            <w:tcW w:w="396" w:type="pct"/>
            <w:vMerge w:val="continue"/>
            <w:tcBorders>
              <w:left w:val="single" w:color="000000" w:sz="2" w:space="0"/>
              <w:right w:val="single" w:color="000000" w:sz="2" w:space="0"/>
              <w:tl2br w:val="nil"/>
              <w:tr2bl w:val="nil"/>
            </w:tcBorders>
            <w:noWrap w:val="0"/>
            <w:vAlign w:val="center"/>
          </w:tcPr>
          <w:p w14:paraId="2FA09DD5">
            <w:pPr>
              <w:pStyle w:val="48"/>
              <w:spacing w:beforeLines="0" w:afterLines="0"/>
              <w:rPr>
                <w:rFonts w:hint="default" w:ascii="Times New Roman" w:hAnsi="Times New Roman" w:cs="Times New Roman"/>
                <w:color w:val="auto"/>
                <w:sz w:val="18"/>
                <w:szCs w:val="18"/>
                <w:highlight w:val="none"/>
                <w:lang w:val="en-US" w:eastAsia="zh-CN"/>
              </w:rPr>
            </w:pPr>
          </w:p>
        </w:tc>
        <w:tc>
          <w:tcPr>
            <w:tcW w:w="396" w:type="pct"/>
            <w:vMerge w:val="continue"/>
            <w:tcBorders>
              <w:left w:val="single" w:color="000000" w:sz="2" w:space="0"/>
              <w:right w:val="single" w:color="000000" w:sz="2" w:space="0"/>
              <w:tl2br w:val="nil"/>
              <w:tr2bl w:val="nil"/>
            </w:tcBorders>
            <w:noWrap w:val="0"/>
            <w:vAlign w:val="center"/>
          </w:tcPr>
          <w:p w14:paraId="3004C4D9">
            <w:pPr>
              <w:pStyle w:val="48"/>
              <w:spacing w:beforeLines="0" w:afterLines="0"/>
              <w:rPr>
                <w:rFonts w:hint="default" w:ascii="Times New Roman" w:hAnsi="Times New Roman" w:cs="Times New Roman"/>
                <w:color w:val="auto"/>
                <w:sz w:val="18"/>
                <w:szCs w:val="18"/>
                <w:highlight w:val="none"/>
                <w:lang w:val="en-US" w:eastAsia="zh-CN"/>
              </w:rPr>
            </w:pPr>
          </w:p>
        </w:tc>
        <w:tc>
          <w:tcPr>
            <w:tcW w:w="549" w:type="pct"/>
            <w:vMerge w:val="continue"/>
            <w:tcBorders>
              <w:left w:val="single" w:color="000000" w:sz="2" w:space="0"/>
              <w:right w:val="single" w:color="000000" w:sz="2" w:space="0"/>
              <w:tl2br w:val="nil"/>
              <w:tr2bl w:val="nil"/>
            </w:tcBorders>
            <w:noWrap w:val="0"/>
            <w:vAlign w:val="center"/>
          </w:tcPr>
          <w:p w14:paraId="3CA78F22">
            <w:pPr>
              <w:pStyle w:val="48"/>
              <w:spacing w:beforeLines="0" w:afterLines="0"/>
              <w:rPr>
                <w:rFonts w:hint="default" w:ascii="Times New Roman" w:hAnsi="Times New Roman" w:cs="Times New Roman"/>
                <w:color w:val="auto"/>
                <w:sz w:val="18"/>
                <w:szCs w:val="18"/>
                <w:highlight w:val="none"/>
                <w:lang w:val="en-US" w:eastAsia="zh-CN"/>
              </w:rPr>
            </w:pPr>
          </w:p>
        </w:tc>
        <w:tc>
          <w:tcPr>
            <w:tcW w:w="530" w:type="pct"/>
            <w:vMerge w:val="continue"/>
            <w:tcBorders>
              <w:left w:val="single" w:color="000000" w:sz="2" w:space="0"/>
              <w:right w:val="single" w:color="000000" w:sz="2" w:space="0"/>
              <w:tl2br w:val="nil"/>
              <w:tr2bl w:val="nil"/>
            </w:tcBorders>
            <w:noWrap w:val="0"/>
            <w:vAlign w:val="center"/>
          </w:tcPr>
          <w:p w14:paraId="6DB038A4">
            <w:pPr>
              <w:pStyle w:val="48"/>
              <w:spacing w:beforeLines="0" w:afterLines="0"/>
              <w:rPr>
                <w:rFonts w:hint="default" w:ascii="Times New Roman" w:hAnsi="Times New Roman" w:cs="Times New Roman"/>
                <w:color w:val="auto"/>
                <w:sz w:val="18"/>
                <w:szCs w:val="18"/>
                <w:highlight w:val="none"/>
                <w:lang w:val="en-US" w:eastAsia="zh-CN"/>
              </w:rPr>
            </w:pPr>
          </w:p>
        </w:tc>
        <w:tc>
          <w:tcPr>
            <w:tcW w:w="514" w:type="pct"/>
            <w:vMerge w:val="continue"/>
            <w:tcBorders>
              <w:left w:val="single" w:color="000000" w:sz="2" w:space="0"/>
              <w:right w:val="single" w:color="000000" w:sz="2" w:space="0"/>
              <w:tl2br w:val="nil"/>
              <w:tr2bl w:val="nil"/>
            </w:tcBorders>
            <w:noWrap w:val="0"/>
            <w:vAlign w:val="center"/>
          </w:tcPr>
          <w:p w14:paraId="44E4717D">
            <w:pPr>
              <w:pStyle w:val="48"/>
              <w:spacing w:beforeLines="0" w:afterLines="0"/>
              <w:rPr>
                <w:rFonts w:hint="default" w:ascii="Times New Roman" w:hAnsi="Times New Roman" w:cs="Times New Roman"/>
                <w:color w:val="auto"/>
                <w:sz w:val="18"/>
                <w:szCs w:val="18"/>
                <w:highlight w:val="none"/>
              </w:rPr>
            </w:pPr>
          </w:p>
        </w:tc>
        <w:tc>
          <w:tcPr>
            <w:tcW w:w="344" w:type="pct"/>
            <w:vMerge w:val="continue"/>
            <w:tcBorders>
              <w:left w:val="single" w:color="000000" w:sz="2" w:space="0"/>
              <w:right w:val="single" w:color="000000" w:sz="2" w:space="0"/>
              <w:tl2br w:val="nil"/>
              <w:tr2bl w:val="nil"/>
            </w:tcBorders>
            <w:noWrap w:val="0"/>
            <w:vAlign w:val="center"/>
          </w:tcPr>
          <w:p w14:paraId="418D3DF2">
            <w:pPr>
              <w:pStyle w:val="48"/>
              <w:spacing w:beforeLines="0" w:afterLines="0"/>
              <w:rPr>
                <w:rFonts w:hint="default" w:ascii="Times New Roman" w:hAnsi="Times New Roman" w:cs="Times New Roman"/>
                <w:color w:val="auto"/>
                <w:sz w:val="18"/>
                <w:szCs w:val="18"/>
                <w:highlight w:val="none"/>
              </w:rPr>
            </w:pPr>
          </w:p>
        </w:tc>
        <w:tc>
          <w:tcPr>
            <w:tcW w:w="528" w:type="pct"/>
            <w:vMerge w:val="restart"/>
            <w:tcBorders>
              <w:top w:val="single" w:color="000000" w:sz="4" w:space="0"/>
              <w:left w:val="single" w:color="000000" w:sz="2" w:space="0"/>
              <w:right w:val="single" w:color="000000" w:sz="2" w:space="0"/>
              <w:tl2br w:val="nil"/>
              <w:tr2bl w:val="nil"/>
            </w:tcBorders>
            <w:noWrap w:val="0"/>
            <w:vAlign w:val="center"/>
          </w:tcPr>
          <w:p w14:paraId="106C4464">
            <w:pPr>
              <w:pStyle w:val="48"/>
              <w:spacing w:beforeLines="0" w:afterLines="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TSP</w:t>
            </w:r>
          </w:p>
        </w:tc>
      </w:tr>
      <w:tr w14:paraId="26764C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12" w:hRule="exact"/>
        </w:trPr>
        <w:tc>
          <w:tcPr>
            <w:tcW w:w="264" w:type="pct"/>
            <w:vMerge w:val="continue"/>
            <w:tcBorders>
              <w:top w:val="single" w:color="000000" w:sz="2" w:space="0"/>
              <w:left w:val="single" w:color="000000" w:sz="2" w:space="0"/>
              <w:bottom w:val="single" w:color="000000" w:sz="2" w:space="0"/>
              <w:right w:val="single" w:color="000000" w:sz="2" w:space="0"/>
              <w:tl2br w:val="nil"/>
              <w:tr2bl w:val="nil"/>
            </w:tcBorders>
            <w:noWrap w:val="0"/>
            <w:vAlign w:val="center"/>
          </w:tcPr>
          <w:p w14:paraId="4518EC41">
            <w:pPr>
              <w:pStyle w:val="48"/>
              <w:spacing w:beforeLines="0" w:afterLines="0"/>
              <w:rPr>
                <w:rFonts w:hint="default" w:ascii="Times New Roman" w:hAnsi="Times New Roman" w:cs="Times New Roman"/>
                <w:color w:val="auto"/>
                <w:sz w:val="18"/>
                <w:szCs w:val="18"/>
                <w:highlight w:val="none"/>
              </w:rPr>
            </w:pPr>
          </w:p>
        </w:tc>
        <w:tc>
          <w:tcPr>
            <w:tcW w:w="340" w:type="pct"/>
            <w:vMerge w:val="continue"/>
            <w:tcBorders>
              <w:top w:val="single" w:color="000000" w:sz="2" w:space="0"/>
              <w:left w:val="single" w:color="000000" w:sz="2" w:space="0"/>
              <w:bottom w:val="single" w:color="000000" w:sz="2" w:space="0"/>
              <w:right w:val="single" w:color="000000" w:sz="2" w:space="0"/>
              <w:tl2br w:val="nil"/>
              <w:tr2bl w:val="nil"/>
            </w:tcBorders>
            <w:noWrap w:val="0"/>
            <w:vAlign w:val="center"/>
          </w:tcPr>
          <w:p w14:paraId="4B8383C7">
            <w:pPr>
              <w:pStyle w:val="48"/>
              <w:spacing w:beforeLines="0" w:afterLines="0"/>
              <w:rPr>
                <w:rFonts w:hint="default" w:ascii="Times New Roman" w:hAnsi="Times New Roman" w:cs="Times New Roman"/>
                <w:color w:val="auto"/>
                <w:sz w:val="18"/>
                <w:szCs w:val="18"/>
                <w:highlight w:val="none"/>
              </w:rPr>
            </w:pPr>
          </w:p>
        </w:tc>
        <w:tc>
          <w:tcPr>
            <w:tcW w:w="339"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6E1046CB">
            <w:pPr>
              <w:pStyle w:val="48"/>
              <w:spacing w:beforeLines="0" w:afterLines="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X</w:t>
            </w:r>
          </w:p>
        </w:tc>
        <w:tc>
          <w:tcPr>
            <w:tcW w:w="339"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2F2EBAE6">
            <w:pPr>
              <w:pStyle w:val="48"/>
              <w:spacing w:beforeLines="0" w:afterLines="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Y</w:t>
            </w:r>
          </w:p>
        </w:tc>
        <w:tc>
          <w:tcPr>
            <w:tcW w:w="453" w:type="pct"/>
            <w:vMerge w:val="continue"/>
            <w:tcBorders>
              <w:top w:val="single" w:color="000000" w:sz="2" w:space="0"/>
              <w:left w:val="single" w:color="000000" w:sz="2" w:space="0"/>
              <w:bottom w:val="single" w:color="000000" w:sz="2" w:space="0"/>
              <w:right w:val="single" w:color="000000" w:sz="2" w:space="0"/>
              <w:tl2br w:val="nil"/>
              <w:tr2bl w:val="nil"/>
            </w:tcBorders>
            <w:noWrap w:val="0"/>
            <w:vAlign w:val="center"/>
          </w:tcPr>
          <w:p w14:paraId="0BDD7706">
            <w:pPr>
              <w:pStyle w:val="48"/>
              <w:spacing w:beforeLines="0" w:afterLines="0"/>
              <w:rPr>
                <w:rFonts w:hint="default" w:ascii="Times New Roman" w:hAnsi="Times New Roman" w:cs="Times New Roman"/>
                <w:color w:val="auto"/>
                <w:sz w:val="18"/>
                <w:szCs w:val="18"/>
                <w:highlight w:val="none"/>
                <w:lang w:val="en-US" w:eastAsia="zh-CN"/>
              </w:rPr>
            </w:pPr>
          </w:p>
        </w:tc>
        <w:tc>
          <w:tcPr>
            <w:tcW w:w="396" w:type="pct"/>
            <w:vMerge w:val="continue"/>
            <w:tcBorders>
              <w:top w:val="single" w:color="000000" w:sz="2" w:space="0"/>
              <w:left w:val="single" w:color="000000" w:sz="2" w:space="0"/>
              <w:bottom w:val="single" w:color="000000" w:sz="2" w:space="0"/>
              <w:right w:val="single" w:color="000000" w:sz="2" w:space="0"/>
              <w:tl2br w:val="nil"/>
              <w:tr2bl w:val="nil"/>
            </w:tcBorders>
            <w:noWrap w:val="0"/>
            <w:vAlign w:val="center"/>
          </w:tcPr>
          <w:p w14:paraId="52A537BF">
            <w:pPr>
              <w:pStyle w:val="48"/>
              <w:spacing w:beforeLines="0" w:afterLines="0"/>
              <w:rPr>
                <w:rFonts w:hint="default" w:ascii="Times New Roman" w:hAnsi="Times New Roman" w:cs="Times New Roman"/>
                <w:color w:val="auto"/>
                <w:sz w:val="18"/>
                <w:szCs w:val="18"/>
                <w:highlight w:val="none"/>
              </w:rPr>
            </w:pPr>
          </w:p>
        </w:tc>
        <w:tc>
          <w:tcPr>
            <w:tcW w:w="396" w:type="pct"/>
            <w:vMerge w:val="continue"/>
            <w:tcBorders>
              <w:top w:val="single" w:color="000000" w:sz="2" w:space="0"/>
              <w:left w:val="single" w:color="000000" w:sz="2" w:space="0"/>
              <w:bottom w:val="single" w:color="000000" w:sz="2" w:space="0"/>
              <w:right w:val="single" w:color="000000" w:sz="2" w:space="0"/>
              <w:tl2br w:val="nil"/>
              <w:tr2bl w:val="nil"/>
            </w:tcBorders>
            <w:noWrap w:val="0"/>
            <w:vAlign w:val="center"/>
          </w:tcPr>
          <w:p w14:paraId="381F7709">
            <w:pPr>
              <w:pStyle w:val="48"/>
              <w:spacing w:beforeLines="0" w:afterLines="0"/>
              <w:rPr>
                <w:rFonts w:hint="default" w:ascii="Times New Roman" w:hAnsi="Times New Roman" w:cs="Times New Roman"/>
                <w:color w:val="auto"/>
                <w:sz w:val="18"/>
                <w:szCs w:val="18"/>
                <w:highlight w:val="none"/>
              </w:rPr>
            </w:pPr>
          </w:p>
        </w:tc>
        <w:tc>
          <w:tcPr>
            <w:tcW w:w="549" w:type="pct"/>
            <w:vMerge w:val="continue"/>
            <w:tcBorders>
              <w:top w:val="single" w:color="000000" w:sz="2" w:space="0"/>
              <w:left w:val="single" w:color="000000" w:sz="2" w:space="0"/>
              <w:bottom w:val="single" w:color="000000" w:sz="2" w:space="0"/>
              <w:right w:val="single" w:color="000000" w:sz="2" w:space="0"/>
              <w:tl2br w:val="nil"/>
              <w:tr2bl w:val="nil"/>
            </w:tcBorders>
            <w:noWrap w:val="0"/>
            <w:vAlign w:val="center"/>
          </w:tcPr>
          <w:p w14:paraId="376640E7">
            <w:pPr>
              <w:pStyle w:val="48"/>
              <w:spacing w:beforeLines="0" w:afterLines="0"/>
              <w:rPr>
                <w:rFonts w:hint="default" w:ascii="Times New Roman" w:hAnsi="Times New Roman" w:cs="Times New Roman"/>
                <w:color w:val="auto"/>
                <w:sz w:val="18"/>
                <w:szCs w:val="18"/>
                <w:highlight w:val="none"/>
              </w:rPr>
            </w:pPr>
          </w:p>
        </w:tc>
        <w:tc>
          <w:tcPr>
            <w:tcW w:w="530" w:type="pct"/>
            <w:vMerge w:val="continue"/>
            <w:tcBorders>
              <w:top w:val="single" w:color="000000" w:sz="2" w:space="0"/>
              <w:left w:val="single" w:color="000000" w:sz="2" w:space="0"/>
              <w:bottom w:val="single" w:color="000000" w:sz="2" w:space="0"/>
              <w:right w:val="single" w:color="000000" w:sz="2" w:space="0"/>
              <w:tl2br w:val="nil"/>
              <w:tr2bl w:val="nil"/>
            </w:tcBorders>
            <w:noWrap w:val="0"/>
            <w:vAlign w:val="center"/>
          </w:tcPr>
          <w:p w14:paraId="70F057CF">
            <w:pPr>
              <w:pStyle w:val="48"/>
              <w:spacing w:beforeLines="0" w:afterLines="0"/>
              <w:rPr>
                <w:rFonts w:hint="default" w:ascii="Times New Roman" w:hAnsi="Times New Roman" w:cs="Times New Roman"/>
                <w:color w:val="auto"/>
                <w:sz w:val="18"/>
                <w:szCs w:val="18"/>
                <w:highlight w:val="none"/>
              </w:rPr>
            </w:pPr>
          </w:p>
        </w:tc>
        <w:tc>
          <w:tcPr>
            <w:tcW w:w="514" w:type="pct"/>
            <w:vMerge w:val="continue"/>
            <w:tcBorders>
              <w:top w:val="single" w:color="000000" w:sz="2" w:space="0"/>
              <w:left w:val="single" w:color="000000" w:sz="2" w:space="0"/>
              <w:bottom w:val="single" w:color="000000" w:sz="2" w:space="0"/>
              <w:right w:val="single" w:color="000000" w:sz="2" w:space="0"/>
              <w:tl2br w:val="nil"/>
              <w:tr2bl w:val="nil"/>
            </w:tcBorders>
            <w:noWrap w:val="0"/>
            <w:vAlign w:val="center"/>
          </w:tcPr>
          <w:p w14:paraId="4741F9B4">
            <w:pPr>
              <w:pStyle w:val="48"/>
              <w:spacing w:beforeLines="0" w:afterLines="0"/>
              <w:rPr>
                <w:rFonts w:hint="default" w:ascii="Times New Roman" w:hAnsi="Times New Roman" w:cs="Times New Roman"/>
                <w:color w:val="auto"/>
                <w:sz w:val="18"/>
                <w:szCs w:val="18"/>
                <w:highlight w:val="none"/>
              </w:rPr>
            </w:pPr>
          </w:p>
        </w:tc>
        <w:tc>
          <w:tcPr>
            <w:tcW w:w="344" w:type="pct"/>
            <w:vMerge w:val="continue"/>
            <w:tcBorders>
              <w:top w:val="single" w:color="000000" w:sz="2" w:space="0"/>
              <w:left w:val="single" w:color="000000" w:sz="2" w:space="0"/>
              <w:bottom w:val="single" w:color="000000" w:sz="2" w:space="0"/>
              <w:right w:val="single" w:color="000000" w:sz="2" w:space="0"/>
              <w:tl2br w:val="nil"/>
              <w:tr2bl w:val="nil"/>
            </w:tcBorders>
            <w:noWrap w:val="0"/>
            <w:vAlign w:val="center"/>
          </w:tcPr>
          <w:p w14:paraId="20485B21">
            <w:pPr>
              <w:pStyle w:val="48"/>
              <w:spacing w:beforeLines="0" w:afterLines="0"/>
              <w:rPr>
                <w:rFonts w:hint="default" w:ascii="Times New Roman" w:hAnsi="Times New Roman" w:cs="Times New Roman"/>
                <w:color w:val="auto"/>
                <w:sz w:val="18"/>
                <w:szCs w:val="18"/>
                <w:highlight w:val="none"/>
              </w:rPr>
            </w:pPr>
          </w:p>
        </w:tc>
        <w:tc>
          <w:tcPr>
            <w:tcW w:w="528" w:type="pct"/>
            <w:vMerge w:val="continue"/>
            <w:tcBorders>
              <w:left w:val="single" w:color="000000" w:sz="2" w:space="0"/>
              <w:right w:val="single" w:color="000000" w:sz="2" w:space="0"/>
              <w:tl2br w:val="nil"/>
              <w:tr2bl w:val="nil"/>
            </w:tcBorders>
            <w:noWrap w:val="0"/>
            <w:vAlign w:val="center"/>
          </w:tcPr>
          <w:p w14:paraId="0CAB25E8">
            <w:pPr>
              <w:pStyle w:val="48"/>
              <w:spacing w:beforeLines="0" w:afterLines="0"/>
              <w:rPr>
                <w:rFonts w:hint="default" w:ascii="Times New Roman" w:hAnsi="Times New Roman" w:cs="Times New Roman"/>
                <w:color w:val="auto"/>
                <w:sz w:val="18"/>
                <w:szCs w:val="18"/>
                <w:highlight w:val="none"/>
              </w:rPr>
            </w:pPr>
          </w:p>
        </w:tc>
      </w:tr>
      <w:tr w14:paraId="19C818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08" w:hRule="exact"/>
        </w:trPr>
        <w:tc>
          <w:tcPr>
            <w:tcW w:w="264"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00BD46CD">
            <w:pPr>
              <w:pStyle w:val="48"/>
              <w:spacing w:beforeLines="0" w:afterLines="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w:t>
            </w:r>
          </w:p>
        </w:tc>
        <w:tc>
          <w:tcPr>
            <w:tcW w:w="340"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49FF2378">
            <w:pPr>
              <w:pStyle w:val="48"/>
              <w:spacing w:beforeLines="0" w:afterLines="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采矿场</w:t>
            </w:r>
          </w:p>
        </w:tc>
        <w:tc>
          <w:tcPr>
            <w:tcW w:w="339"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1ED908E2">
            <w:pPr>
              <w:pStyle w:val="48"/>
              <w:spacing w:beforeLines="0" w:afterLines="0"/>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-195</w:t>
            </w:r>
          </w:p>
        </w:tc>
        <w:tc>
          <w:tcPr>
            <w:tcW w:w="339"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1789EE2A">
            <w:pPr>
              <w:pStyle w:val="48"/>
              <w:spacing w:beforeLines="0" w:afterLines="0"/>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27</w:t>
            </w:r>
          </w:p>
        </w:tc>
        <w:tc>
          <w:tcPr>
            <w:tcW w:w="453"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1C06C200">
            <w:pPr>
              <w:pStyle w:val="48"/>
              <w:spacing w:beforeLines="0" w:afterLines="0"/>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601</w:t>
            </w:r>
          </w:p>
        </w:tc>
        <w:tc>
          <w:tcPr>
            <w:tcW w:w="396"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536D7B06">
            <w:pPr>
              <w:pStyle w:val="48"/>
              <w:spacing w:beforeLines="0" w:afterLines="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200</w:t>
            </w:r>
          </w:p>
        </w:tc>
        <w:tc>
          <w:tcPr>
            <w:tcW w:w="396"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4303AFE4">
            <w:pPr>
              <w:pStyle w:val="48"/>
              <w:spacing w:beforeLines="0" w:afterLines="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100</w:t>
            </w:r>
          </w:p>
        </w:tc>
        <w:tc>
          <w:tcPr>
            <w:tcW w:w="549"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60050993">
            <w:pPr>
              <w:pStyle w:val="48"/>
              <w:spacing w:beforeLines="0" w:afterLines="0"/>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val="en-US" w:eastAsia="zh-CN"/>
              </w:rPr>
              <w:t>0</w:t>
            </w:r>
          </w:p>
        </w:tc>
        <w:tc>
          <w:tcPr>
            <w:tcW w:w="530"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60DBA175">
            <w:pPr>
              <w:pStyle w:val="48"/>
              <w:spacing w:beforeLines="0" w:afterLines="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10</w:t>
            </w:r>
          </w:p>
        </w:tc>
        <w:tc>
          <w:tcPr>
            <w:tcW w:w="514"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51C02709">
            <w:pPr>
              <w:pStyle w:val="48"/>
              <w:spacing w:beforeLines="0" w:afterLines="0"/>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4800</w:t>
            </w:r>
          </w:p>
        </w:tc>
        <w:tc>
          <w:tcPr>
            <w:tcW w:w="344"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2F0B0856">
            <w:pPr>
              <w:pStyle w:val="48"/>
              <w:spacing w:beforeLines="0" w:afterLines="0"/>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正常</w:t>
            </w:r>
          </w:p>
        </w:tc>
        <w:tc>
          <w:tcPr>
            <w:tcW w:w="528"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317743C5">
            <w:pPr>
              <w:pStyle w:val="48"/>
              <w:spacing w:beforeLines="0" w:afterLines="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2.047</w:t>
            </w:r>
          </w:p>
        </w:tc>
      </w:tr>
      <w:tr w14:paraId="7DF0D1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776" w:hRule="exact"/>
        </w:trPr>
        <w:tc>
          <w:tcPr>
            <w:tcW w:w="264"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06897466">
            <w:pPr>
              <w:pStyle w:val="48"/>
              <w:spacing w:beforeLines="0" w:afterLines="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w:t>
            </w:r>
          </w:p>
        </w:tc>
        <w:tc>
          <w:tcPr>
            <w:tcW w:w="340"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3EA9BA2F">
            <w:pPr>
              <w:pStyle w:val="48"/>
              <w:spacing w:beforeLines="0" w:afterLines="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表土堆场</w:t>
            </w:r>
          </w:p>
        </w:tc>
        <w:tc>
          <w:tcPr>
            <w:tcW w:w="339"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053615E6">
            <w:pPr>
              <w:pStyle w:val="48"/>
              <w:spacing w:beforeLines="0" w:afterLines="0"/>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154</w:t>
            </w:r>
          </w:p>
        </w:tc>
        <w:tc>
          <w:tcPr>
            <w:tcW w:w="339"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34E6F2B2">
            <w:pPr>
              <w:pStyle w:val="48"/>
              <w:spacing w:beforeLines="0" w:afterLines="0"/>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713</w:t>
            </w:r>
          </w:p>
        </w:tc>
        <w:tc>
          <w:tcPr>
            <w:tcW w:w="453"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3A7174DA">
            <w:pPr>
              <w:pStyle w:val="48"/>
              <w:spacing w:beforeLines="0" w:afterLines="0"/>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596</w:t>
            </w:r>
          </w:p>
        </w:tc>
        <w:tc>
          <w:tcPr>
            <w:tcW w:w="396"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14590EB2">
            <w:pPr>
              <w:pStyle w:val="48"/>
              <w:spacing w:beforeLines="0" w:afterLines="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229</w:t>
            </w:r>
          </w:p>
        </w:tc>
        <w:tc>
          <w:tcPr>
            <w:tcW w:w="396"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737B4F32">
            <w:pPr>
              <w:pStyle w:val="48"/>
              <w:spacing w:beforeLines="0" w:afterLines="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200</w:t>
            </w:r>
          </w:p>
        </w:tc>
        <w:tc>
          <w:tcPr>
            <w:tcW w:w="549"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18EABFA1">
            <w:pPr>
              <w:pStyle w:val="48"/>
              <w:spacing w:beforeLines="0" w:afterLines="0"/>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w:t>
            </w:r>
          </w:p>
        </w:tc>
        <w:tc>
          <w:tcPr>
            <w:tcW w:w="530"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0CA9CE9E">
            <w:pPr>
              <w:pStyle w:val="48"/>
              <w:spacing w:beforeLines="0" w:afterLines="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10</w:t>
            </w:r>
          </w:p>
        </w:tc>
        <w:tc>
          <w:tcPr>
            <w:tcW w:w="514"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60DFE576">
            <w:pPr>
              <w:pStyle w:val="48"/>
              <w:spacing w:beforeLines="0" w:afterLines="0"/>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4800</w:t>
            </w:r>
          </w:p>
        </w:tc>
        <w:tc>
          <w:tcPr>
            <w:tcW w:w="344"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122D99EA">
            <w:pPr>
              <w:pStyle w:val="48"/>
              <w:spacing w:beforeLines="0" w:afterLines="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正常</w:t>
            </w:r>
          </w:p>
        </w:tc>
        <w:tc>
          <w:tcPr>
            <w:tcW w:w="528"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298DD814">
            <w:pPr>
              <w:pStyle w:val="48"/>
              <w:spacing w:beforeLines="0" w:afterLines="0"/>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0.1171</w:t>
            </w:r>
          </w:p>
        </w:tc>
      </w:tr>
      <w:tr w14:paraId="103990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820" w:hRule="exact"/>
        </w:trPr>
        <w:tc>
          <w:tcPr>
            <w:tcW w:w="264"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4097824D">
            <w:pPr>
              <w:pStyle w:val="48"/>
              <w:spacing w:beforeLines="0" w:afterLines="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3</w:t>
            </w:r>
          </w:p>
        </w:tc>
        <w:tc>
          <w:tcPr>
            <w:tcW w:w="340"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696A9AE5">
            <w:pPr>
              <w:pStyle w:val="48"/>
              <w:spacing w:beforeLines="0" w:afterLines="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排土场</w:t>
            </w:r>
          </w:p>
        </w:tc>
        <w:tc>
          <w:tcPr>
            <w:tcW w:w="339"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474E192D">
            <w:pPr>
              <w:pStyle w:val="48"/>
              <w:spacing w:beforeLines="0" w:afterLines="0"/>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-51</w:t>
            </w:r>
          </w:p>
        </w:tc>
        <w:tc>
          <w:tcPr>
            <w:tcW w:w="339"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7FFAFD1C">
            <w:pPr>
              <w:pStyle w:val="48"/>
              <w:spacing w:beforeLines="0" w:afterLines="0"/>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-346</w:t>
            </w:r>
          </w:p>
        </w:tc>
        <w:tc>
          <w:tcPr>
            <w:tcW w:w="453"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6214BA85">
            <w:pPr>
              <w:pStyle w:val="48"/>
              <w:spacing w:beforeLines="0" w:afterLines="0"/>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593</w:t>
            </w:r>
          </w:p>
        </w:tc>
        <w:tc>
          <w:tcPr>
            <w:tcW w:w="396"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3D5F7B7D">
            <w:pPr>
              <w:pStyle w:val="48"/>
              <w:spacing w:beforeLines="0" w:afterLines="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200</w:t>
            </w:r>
          </w:p>
        </w:tc>
        <w:tc>
          <w:tcPr>
            <w:tcW w:w="396"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07CBED27">
            <w:pPr>
              <w:pStyle w:val="48"/>
              <w:spacing w:beforeLines="0" w:afterLines="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100</w:t>
            </w:r>
          </w:p>
        </w:tc>
        <w:tc>
          <w:tcPr>
            <w:tcW w:w="549"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50937F9A">
            <w:pPr>
              <w:pStyle w:val="48"/>
              <w:spacing w:beforeLines="0" w:afterLines="0"/>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w:t>
            </w:r>
          </w:p>
        </w:tc>
        <w:tc>
          <w:tcPr>
            <w:tcW w:w="530"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5203C2FD">
            <w:pPr>
              <w:pStyle w:val="48"/>
              <w:spacing w:beforeLines="0" w:afterLines="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10</w:t>
            </w:r>
          </w:p>
        </w:tc>
        <w:tc>
          <w:tcPr>
            <w:tcW w:w="514"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43D27248">
            <w:pPr>
              <w:pStyle w:val="48"/>
              <w:spacing w:beforeLines="0" w:afterLines="0"/>
              <w:ind w:firstLine="0" w:firstLineChars="0"/>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4800</w:t>
            </w:r>
          </w:p>
        </w:tc>
        <w:tc>
          <w:tcPr>
            <w:tcW w:w="344"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609F81C6">
            <w:pPr>
              <w:pStyle w:val="48"/>
              <w:spacing w:beforeLines="0" w:afterLines="0"/>
              <w:ind w:firstLine="0" w:firstLineChars="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rPr>
              <w:t>正常</w:t>
            </w:r>
          </w:p>
        </w:tc>
        <w:tc>
          <w:tcPr>
            <w:tcW w:w="528"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128DC5C3">
            <w:pPr>
              <w:pStyle w:val="48"/>
              <w:spacing w:beforeLines="0" w:afterLines="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w:t>
            </w:r>
            <w:r>
              <w:rPr>
                <w:rFonts w:hint="eastAsia" w:ascii="Times New Roman" w:hAnsi="Times New Roman" w:cs="Times New Roman"/>
                <w:color w:val="auto"/>
                <w:sz w:val="18"/>
                <w:szCs w:val="18"/>
                <w:highlight w:val="none"/>
                <w:lang w:val="en-US" w:eastAsia="zh-CN"/>
              </w:rPr>
              <w:t>2857</w:t>
            </w:r>
          </w:p>
        </w:tc>
      </w:tr>
      <w:tr w14:paraId="2CE16D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047" w:hRule="exact"/>
        </w:trPr>
        <w:tc>
          <w:tcPr>
            <w:tcW w:w="264"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65B114D0">
            <w:pPr>
              <w:pStyle w:val="48"/>
              <w:spacing w:beforeLines="0" w:afterLines="0"/>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4</w:t>
            </w:r>
          </w:p>
        </w:tc>
        <w:tc>
          <w:tcPr>
            <w:tcW w:w="340"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07F241A6">
            <w:pPr>
              <w:pStyle w:val="48"/>
              <w:spacing w:beforeLines="0" w:afterLines="0"/>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原料堆场</w:t>
            </w:r>
          </w:p>
        </w:tc>
        <w:tc>
          <w:tcPr>
            <w:tcW w:w="339"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3DC506A8">
            <w:pPr>
              <w:pStyle w:val="48"/>
              <w:spacing w:beforeLines="0" w:afterLines="0"/>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-595</w:t>
            </w:r>
          </w:p>
        </w:tc>
        <w:tc>
          <w:tcPr>
            <w:tcW w:w="339"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07FC6193">
            <w:pPr>
              <w:pStyle w:val="48"/>
              <w:spacing w:beforeLines="0" w:afterLines="0"/>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-145</w:t>
            </w:r>
          </w:p>
        </w:tc>
        <w:tc>
          <w:tcPr>
            <w:tcW w:w="453"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02A2C0C5">
            <w:pPr>
              <w:pStyle w:val="48"/>
              <w:spacing w:beforeLines="0" w:afterLines="0"/>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595</w:t>
            </w:r>
          </w:p>
        </w:tc>
        <w:tc>
          <w:tcPr>
            <w:tcW w:w="396"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6B4FC1C1">
            <w:pPr>
              <w:pStyle w:val="48"/>
              <w:spacing w:beforeLines="0" w:afterLines="0"/>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30</w:t>
            </w:r>
          </w:p>
        </w:tc>
        <w:tc>
          <w:tcPr>
            <w:tcW w:w="396"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56CFBAFD">
            <w:pPr>
              <w:pStyle w:val="48"/>
              <w:spacing w:beforeLines="0" w:afterLines="0"/>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20</w:t>
            </w:r>
          </w:p>
        </w:tc>
        <w:tc>
          <w:tcPr>
            <w:tcW w:w="549"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2019B9DE">
            <w:pPr>
              <w:pStyle w:val="48"/>
              <w:spacing w:beforeLines="0" w:afterLines="0"/>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w:t>
            </w:r>
          </w:p>
        </w:tc>
        <w:tc>
          <w:tcPr>
            <w:tcW w:w="530"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04BE03CF">
            <w:pPr>
              <w:pStyle w:val="48"/>
              <w:spacing w:beforeLines="0" w:afterLines="0"/>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10</w:t>
            </w:r>
          </w:p>
        </w:tc>
        <w:tc>
          <w:tcPr>
            <w:tcW w:w="514"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6B4D98E8">
            <w:pPr>
              <w:pStyle w:val="48"/>
              <w:spacing w:beforeLines="0" w:afterLines="0"/>
              <w:ind w:firstLine="0" w:firstLineChars="0"/>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4800</w:t>
            </w:r>
          </w:p>
        </w:tc>
        <w:tc>
          <w:tcPr>
            <w:tcW w:w="344"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69F6777F">
            <w:pPr>
              <w:pStyle w:val="48"/>
              <w:spacing w:beforeLines="0" w:afterLines="0"/>
              <w:ind w:left="0" w:leftChars="0" w:firstLine="0" w:firstLineChars="0"/>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正常</w:t>
            </w:r>
          </w:p>
        </w:tc>
        <w:tc>
          <w:tcPr>
            <w:tcW w:w="528"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20F7D1CC">
            <w:pPr>
              <w:pStyle w:val="48"/>
              <w:spacing w:beforeLines="0" w:afterLines="0"/>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0.05</w:t>
            </w:r>
          </w:p>
        </w:tc>
      </w:tr>
      <w:tr w14:paraId="336325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820" w:hRule="exact"/>
        </w:trPr>
        <w:tc>
          <w:tcPr>
            <w:tcW w:w="264"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71024E60">
            <w:pPr>
              <w:pStyle w:val="48"/>
              <w:spacing w:beforeLines="0" w:afterLines="0"/>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5</w:t>
            </w:r>
          </w:p>
        </w:tc>
        <w:tc>
          <w:tcPr>
            <w:tcW w:w="340"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4196A898">
            <w:pPr>
              <w:pStyle w:val="48"/>
              <w:spacing w:beforeLines="0" w:afterLines="0"/>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筛分粉尘</w:t>
            </w:r>
          </w:p>
        </w:tc>
        <w:tc>
          <w:tcPr>
            <w:tcW w:w="339"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3652FF0D">
            <w:pPr>
              <w:pStyle w:val="48"/>
              <w:spacing w:beforeLines="0" w:afterLines="0"/>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-759</w:t>
            </w:r>
          </w:p>
        </w:tc>
        <w:tc>
          <w:tcPr>
            <w:tcW w:w="339"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3328F758">
            <w:pPr>
              <w:pStyle w:val="48"/>
              <w:spacing w:beforeLines="0" w:afterLines="0"/>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-247</w:t>
            </w:r>
          </w:p>
        </w:tc>
        <w:tc>
          <w:tcPr>
            <w:tcW w:w="453"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39E10512">
            <w:pPr>
              <w:pStyle w:val="48"/>
              <w:spacing w:beforeLines="0" w:afterLines="0"/>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595</w:t>
            </w:r>
          </w:p>
        </w:tc>
        <w:tc>
          <w:tcPr>
            <w:tcW w:w="396"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318EE68F">
            <w:pPr>
              <w:pStyle w:val="48"/>
              <w:spacing w:beforeLines="0" w:afterLines="0"/>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50</w:t>
            </w:r>
          </w:p>
        </w:tc>
        <w:tc>
          <w:tcPr>
            <w:tcW w:w="396"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6DE2A917">
            <w:pPr>
              <w:pStyle w:val="48"/>
              <w:spacing w:beforeLines="0" w:afterLines="0"/>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20</w:t>
            </w:r>
          </w:p>
        </w:tc>
        <w:tc>
          <w:tcPr>
            <w:tcW w:w="549"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39C4F037">
            <w:pPr>
              <w:pStyle w:val="48"/>
              <w:spacing w:beforeLines="0" w:afterLines="0"/>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w:t>
            </w:r>
          </w:p>
        </w:tc>
        <w:tc>
          <w:tcPr>
            <w:tcW w:w="530"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7D8CADD0">
            <w:pPr>
              <w:pStyle w:val="48"/>
              <w:spacing w:beforeLines="0" w:afterLines="0"/>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10</w:t>
            </w:r>
          </w:p>
        </w:tc>
        <w:tc>
          <w:tcPr>
            <w:tcW w:w="514"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713C9DF8">
            <w:pPr>
              <w:pStyle w:val="48"/>
              <w:spacing w:beforeLines="0" w:afterLines="0"/>
              <w:ind w:firstLine="0" w:firstLineChars="0"/>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4800</w:t>
            </w:r>
          </w:p>
        </w:tc>
        <w:tc>
          <w:tcPr>
            <w:tcW w:w="344"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2F70323A">
            <w:pPr>
              <w:pStyle w:val="48"/>
              <w:spacing w:beforeLines="0" w:afterLines="0"/>
              <w:ind w:left="0" w:leftChars="0" w:firstLine="0" w:firstLineChars="0"/>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正常</w:t>
            </w:r>
          </w:p>
        </w:tc>
        <w:tc>
          <w:tcPr>
            <w:tcW w:w="528"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3DB3B388">
            <w:pPr>
              <w:pStyle w:val="48"/>
              <w:spacing w:beforeLines="0" w:afterLines="0"/>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0.083</w:t>
            </w:r>
          </w:p>
        </w:tc>
      </w:tr>
    </w:tbl>
    <w:p w14:paraId="264F45F1">
      <w:pPr>
        <w:numPr>
          <w:ilvl w:val="0"/>
          <w:numId w:val="0"/>
        </w:numPr>
        <w:spacing w:beforeLines="0" w:afterLines="0"/>
        <w:ind w:leftChars="200" w:firstLine="0"/>
        <w:rPr>
          <w:rFonts w:hint="default" w:ascii="Times New Roman" w:hAnsi="Times New Roman" w:cs="Times New Roman"/>
          <w:color w:val="auto"/>
          <w:sz w:val="24"/>
          <w:szCs w:val="24"/>
          <w:highlight w:val="none"/>
          <w:lang w:val="en-US" w:eastAsia="zh-CN"/>
        </w:rPr>
      </w:pPr>
    </w:p>
    <w:p w14:paraId="190744F5">
      <w:pPr>
        <w:spacing w:beforeLines="0" w:afterLines="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（5）预测结果</w:t>
      </w:r>
    </w:p>
    <w:p w14:paraId="60C01F7D">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表5.2-</w:t>
      </w:r>
      <w:r>
        <w:rPr>
          <w:rFonts w:hint="eastAsia" w:ascii="Times New Roman" w:hAnsi="Times New Roman" w:cs="Times New Roman"/>
          <w:color w:val="auto"/>
          <w:highlight w:val="none"/>
          <w:lang w:val="en-US" w:eastAsia="zh-CN"/>
        </w:rPr>
        <w:t>7</w:t>
      </w:r>
      <w:r>
        <w:rPr>
          <w:rFonts w:hint="default" w:ascii="Times New Roman" w:hAnsi="Times New Roman" w:cs="Times New Roman"/>
          <w:color w:val="auto"/>
          <w:highlight w:val="none"/>
        </w:rPr>
        <w:tab/>
      </w:r>
      <w:r>
        <w:rPr>
          <w:rFonts w:hint="default" w:ascii="Times New Roman" w:hAnsi="Times New Roman" w:cs="Times New Roman"/>
          <w:color w:val="auto"/>
          <w:highlight w:val="none"/>
          <w:lang w:val="en-US" w:eastAsia="zh-CN"/>
        </w:rPr>
        <w:t>有组织废气筛分废气排气筒（DA001）</w:t>
      </w:r>
      <w:r>
        <w:rPr>
          <w:rFonts w:hint="default" w:ascii="Times New Roman" w:hAnsi="Times New Roman" w:cs="Times New Roman"/>
          <w:color w:val="auto"/>
          <w:highlight w:val="none"/>
        </w:rPr>
        <w:t>采用估算模式计算结果</w:t>
      </w:r>
    </w:p>
    <w:tbl>
      <w:tblPr>
        <w:tblStyle w:val="31"/>
        <w:tblW w:w="499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2206"/>
        <w:gridCol w:w="4162"/>
        <w:gridCol w:w="2992"/>
      </w:tblGrid>
      <w:tr w14:paraId="6A9069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178" w:type="pct"/>
            <w:vMerge w:val="restart"/>
            <w:tcBorders>
              <w:tl2br w:val="nil"/>
              <w:tr2bl w:val="nil"/>
            </w:tcBorders>
            <w:shd w:val="clear" w:color="auto" w:fill="auto"/>
            <w:noWrap w:val="0"/>
            <w:vAlign w:val="center"/>
          </w:tcPr>
          <w:p w14:paraId="5F8B810D">
            <w:pPr>
              <w:pStyle w:val="42"/>
              <w:bidi w:val="0"/>
              <w:rPr>
                <w:rFonts w:hint="default"/>
                <w:color w:val="auto"/>
                <w:sz w:val="24"/>
                <w:szCs w:val="24"/>
                <w:highlight w:val="none"/>
              </w:rPr>
            </w:pPr>
            <w:r>
              <w:rPr>
                <w:rFonts w:hint="default"/>
                <w:color w:val="auto"/>
                <w:sz w:val="24"/>
                <w:szCs w:val="24"/>
                <w:highlight w:val="none"/>
              </w:rPr>
              <w:t>距源中心下风向距离</w:t>
            </w:r>
          </w:p>
          <w:p w14:paraId="209304C0">
            <w:pPr>
              <w:pStyle w:val="42"/>
              <w:bidi w:val="0"/>
              <w:rPr>
                <w:rFonts w:hint="default"/>
                <w:color w:val="auto"/>
                <w:sz w:val="24"/>
                <w:szCs w:val="24"/>
                <w:highlight w:val="none"/>
              </w:rPr>
            </w:pPr>
            <w:r>
              <w:rPr>
                <w:rFonts w:hint="default"/>
                <w:color w:val="auto"/>
                <w:sz w:val="24"/>
                <w:szCs w:val="24"/>
                <w:highlight w:val="none"/>
              </w:rPr>
              <w:t>D/m</w:t>
            </w:r>
          </w:p>
        </w:tc>
        <w:tc>
          <w:tcPr>
            <w:tcW w:w="3821" w:type="pct"/>
            <w:gridSpan w:val="2"/>
            <w:tcBorders>
              <w:tl2br w:val="nil"/>
              <w:tr2bl w:val="nil"/>
            </w:tcBorders>
            <w:shd w:val="clear" w:color="auto" w:fill="auto"/>
            <w:noWrap w:val="0"/>
            <w:vAlign w:val="center"/>
          </w:tcPr>
          <w:p w14:paraId="221C39D7">
            <w:pPr>
              <w:pStyle w:val="42"/>
              <w:bidi w:val="0"/>
              <w:rPr>
                <w:rFonts w:hint="default"/>
                <w:color w:val="auto"/>
                <w:sz w:val="24"/>
                <w:szCs w:val="24"/>
                <w:highlight w:val="none"/>
              </w:rPr>
            </w:pPr>
            <w:r>
              <w:rPr>
                <w:rFonts w:hint="default"/>
                <w:color w:val="auto"/>
                <w:sz w:val="24"/>
                <w:szCs w:val="24"/>
                <w:highlight w:val="none"/>
                <w:lang w:val="en-US" w:eastAsia="zh-CN"/>
              </w:rPr>
              <w:t>TSP</w:t>
            </w:r>
          </w:p>
        </w:tc>
      </w:tr>
      <w:tr w14:paraId="5FD87F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trPr>
        <w:tc>
          <w:tcPr>
            <w:tcW w:w="1178" w:type="pct"/>
            <w:vMerge w:val="continue"/>
            <w:tcBorders>
              <w:tl2br w:val="nil"/>
              <w:tr2bl w:val="nil"/>
            </w:tcBorders>
            <w:shd w:val="clear" w:color="auto" w:fill="auto"/>
            <w:noWrap w:val="0"/>
            <w:vAlign w:val="center"/>
          </w:tcPr>
          <w:p w14:paraId="5A79AE51">
            <w:pPr>
              <w:pStyle w:val="42"/>
              <w:bidi w:val="0"/>
              <w:rPr>
                <w:rFonts w:hint="default"/>
                <w:color w:val="auto"/>
                <w:sz w:val="24"/>
                <w:szCs w:val="24"/>
                <w:highlight w:val="none"/>
              </w:rPr>
            </w:pPr>
          </w:p>
        </w:tc>
        <w:tc>
          <w:tcPr>
            <w:tcW w:w="2223" w:type="pct"/>
            <w:tcBorders>
              <w:tl2br w:val="nil"/>
              <w:tr2bl w:val="nil"/>
            </w:tcBorders>
            <w:shd w:val="clear" w:color="auto" w:fill="auto"/>
            <w:noWrap w:val="0"/>
            <w:vAlign w:val="center"/>
          </w:tcPr>
          <w:p w14:paraId="4339964C">
            <w:pPr>
              <w:pStyle w:val="42"/>
              <w:bidi w:val="0"/>
              <w:rPr>
                <w:rFonts w:hint="default"/>
                <w:color w:val="auto"/>
                <w:sz w:val="24"/>
                <w:szCs w:val="24"/>
                <w:highlight w:val="none"/>
              </w:rPr>
            </w:pPr>
            <w:r>
              <w:rPr>
                <w:rFonts w:hint="default"/>
                <w:color w:val="auto"/>
                <w:sz w:val="24"/>
                <w:szCs w:val="24"/>
                <w:highlight w:val="none"/>
              </w:rPr>
              <w:t>下风向预测浓度（ug/m</w:t>
            </w:r>
            <w:r>
              <w:rPr>
                <w:rFonts w:hint="default"/>
                <w:color w:val="auto"/>
                <w:sz w:val="24"/>
                <w:szCs w:val="24"/>
                <w:highlight w:val="none"/>
                <w:vertAlign w:val="superscript"/>
              </w:rPr>
              <w:t>3</w:t>
            </w:r>
            <w:r>
              <w:rPr>
                <w:rFonts w:hint="default"/>
                <w:color w:val="auto"/>
                <w:sz w:val="24"/>
                <w:szCs w:val="24"/>
                <w:highlight w:val="none"/>
              </w:rPr>
              <w:t>）</w:t>
            </w:r>
          </w:p>
        </w:tc>
        <w:tc>
          <w:tcPr>
            <w:tcW w:w="1598" w:type="pct"/>
            <w:tcBorders>
              <w:tl2br w:val="nil"/>
              <w:tr2bl w:val="nil"/>
            </w:tcBorders>
            <w:shd w:val="clear" w:color="auto" w:fill="auto"/>
            <w:noWrap w:val="0"/>
            <w:vAlign w:val="center"/>
          </w:tcPr>
          <w:p w14:paraId="05F04E63">
            <w:pPr>
              <w:pStyle w:val="42"/>
              <w:bidi w:val="0"/>
              <w:rPr>
                <w:rFonts w:hint="default"/>
                <w:color w:val="auto"/>
                <w:sz w:val="24"/>
                <w:szCs w:val="24"/>
                <w:highlight w:val="none"/>
              </w:rPr>
            </w:pPr>
            <w:r>
              <w:rPr>
                <w:rFonts w:hint="default"/>
                <w:color w:val="auto"/>
                <w:sz w:val="24"/>
                <w:szCs w:val="24"/>
                <w:highlight w:val="none"/>
              </w:rPr>
              <w:t>浓度占标率（%）</w:t>
            </w:r>
          </w:p>
        </w:tc>
      </w:tr>
      <w:tr w14:paraId="674E12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trPr>
        <w:tc>
          <w:tcPr>
            <w:tcW w:w="1178" w:type="pct"/>
            <w:tcBorders>
              <w:tl2br w:val="nil"/>
              <w:tr2bl w:val="nil"/>
            </w:tcBorders>
            <w:shd w:val="clear" w:color="auto" w:fill="auto"/>
            <w:noWrap w:val="0"/>
            <w:vAlign w:val="center"/>
          </w:tcPr>
          <w:p w14:paraId="31B6915A">
            <w:pPr>
              <w:pStyle w:val="42"/>
              <w:bidi w:val="0"/>
              <w:rPr>
                <w:rFonts w:hint="default"/>
                <w:color w:val="auto"/>
                <w:sz w:val="24"/>
                <w:szCs w:val="24"/>
                <w:highlight w:val="none"/>
              </w:rPr>
            </w:pPr>
            <w:r>
              <w:rPr>
                <w:rFonts w:hint="eastAsia"/>
                <w:color w:val="auto"/>
                <w:sz w:val="24"/>
                <w:szCs w:val="24"/>
                <w:highlight w:val="none"/>
                <w:lang w:val="en-US" w:eastAsia="zh-CN"/>
              </w:rPr>
              <w:t>10</w:t>
            </w:r>
          </w:p>
        </w:tc>
        <w:tc>
          <w:tcPr>
            <w:tcW w:w="2223" w:type="pct"/>
            <w:tcBorders>
              <w:tl2br w:val="nil"/>
              <w:tr2bl w:val="nil"/>
            </w:tcBorders>
            <w:shd w:val="clear" w:color="auto" w:fill="auto"/>
            <w:noWrap w:val="0"/>
            <w:vAlign w:val="center"/>
          </w:tcPr>
          <w:p w14:paraId="79382C33">
            <w:pPr>
              <w:pStyle w:val="42"/>
              <w:bidi w:val="0"/>
              <w:rPr>
                <w:rFonts w:hint="default"/>
                <w:color w:val="auto"/>
                <w:sz w:val="24"/>
                <w:szCs w:val="24"/>
                <w:highlight w:val="none"/>
              </w:rPr>
            </w:pPr>
            <w:r>
              <w:rPr>
                <w:rFonts w:hint="eastAsia"/>
                <w:color w:val="auto"/>
                <w:sz w:val="24"/>
                <w:szCs w:val="24"/>
                <w:highlight w:val="none"/>
                <w:lang w:val="en-US" w:eastAsia="zh-CN"/>
              </w:rPr>
              <w:t>0</w:t>
            </w:r>
          </w:p>
        </w:tc>
        <w:tc>
          <w:tcPr>
            <w:tcW w:w="1598" w:type="pct"/>
            <w:tcBorders>
              <w:tl2br w:val="nil"/>
              <w:tr2bl w:val="nil"/>
            </w:tcBorders>
            <w:shd w:val="clear" w:color="auto" w:fill="auto"/>
            <w:noWrap w:val="0"/>
            <w:vAlign w:val="center"/>
          </w:tcPr>
          <w:p w14:paraId="0ECED353">
            <w:pPr>
              <w:pStyle w:val="42"/>
              <w:bidi w:val="0"/>
              <w:rPr>
                <w:rFonts w:hint="default"/>
                <w:color w:val="auto"/>
                <w:sz w:val="24"/>
                <w:szCs w:val="24"/>
                <w:highlight w:val="none"/>
              </w:rPr>
            </w:pPr>
            <w:r>
              <w:rPr>
                <w:rFonts w:hint="eastAsia"/>
                <w:color w:val="auto"/>
                <w:sz w:val="24"/>
                <w:szCs w:val="24"/>
                <w:highlight w:val="none"/>
                <w:lang w:val="en-US" w:eastAsia="zh-CN"/>
              </w:rPr>
              <w:t>0</w:t>
            </w:r>
          </w:p>
        </w:tc>
      </w:tr>
      <w:tr w14:paraId="4C7139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trPr>
        <w:tc>
          <w:tcPr>
            <w:tcW w:w="1178" w:type="pct"/>
            <w:tcBorders>
              <w:tl2br w:val="nil"/>
              <w:tr2bl w:val="nil"/>
            </w:tcBorders>
            <w:shd w:val="clear" w:color="auto" w:fill="auto"/>
            <w:noWrap w:val="0"/>
            <w:vAlign w:val="center"/>
          </w:tcPr>
          <w:p w14:paraId="275B495A">
            <w:pPr>
              <w:pStyle w:val="42"/>
              <w:bidi w:val="0"/>
              <w:rPr>
                <w:rFonts w:hint="default"/>
                <w:color w:val="auto"/>
                <w:sz w:val="24"/>
                <w:szCs w:val="24"/>
                <w:highlight w:val="none"/>
              </w:rPr>
            </w:pPr>
            <w:r>
              <w:rPr>
                <w:rFonts w:hint="eastAsia"/>
                <w:color w:val="auto"/>
                <w:sz w:val="24"/>
                <w:szCs w:val="24"/>
                <w:highlight w:val="none"/>
                <w:lang w:val="en-US" w:eastAsia="zh-CN"/>
              </w:rPr>
              <w:t>25</w:t>
            </w:r>
          </w:p>
        </w:tc>
        <w:tc>
          <w:tcPr>
            <w:tcW w:w="2223" w:type="pct"/>
            <w:tcBorders>
              <w:tl2br w:val="nil"/>
              <w:tr2bl w:val="nil"/>
            </w:tcBorders>
            <w:shd w:val="clear" w:color="auto" w:fill="auto"/>
            <w:noWrap w:val="0"/>
            <w:vAlign w:val="center"/>
          </w:tcPr>
          <w:p w14:paraId="09FF36A9">
            <w:pPr>
              <w:pStyle w:val="42"/>
              <w:bidi w:val="0"/>
              <w:rPr>
                <w:rFonts w:hint="default"/>
                <w:color w:val="auto"/>
                <w:sz w:val="24"/>
                <w:szCs w:val="24"/>
                <w:highlight w:val="none"/>
              </w:rPr>
            </w:pPr>
            <w:r>
              <w:rPr>
                <w:rFonts w:hint="eastAsia"/>
                <w:color w:val="auto"/>
                <w:sz w:val="24"/>
                <w:szCs w:val="24"/>
                <w:highlight w:val="none"/>
                <w:lang w:val="en-US" w:eastAsia="zh-CN"/>
              </w:rPr>
              <w:t>0.0045</w:t>
            </w:r>
          </w:p>
        </w:tc>
        <w:tc>
          <w:tcPr>
            <w:tcW w:w="1598" w:type="pct"/>
            <w:tcBorders>
              <w:tl2br w:val="nil"/>
              <w:tr2bl w:val="nil"/>
            </w:tcBorders>
            <w:shd w:val="clear" w:color="auto" w:fill="auto"/>
            <w:noWrap w:val="0"/>
            <w:vAlign w:val="center"/>
          </w:tcPr>
          <w:p w14:paraId="0F0FE677">
            <w:pPr>
              <w:pStyle w:val="42"/>
              <w:bidi w:val="0"/>
              <w:rPr>
                <w:rFonts w:hint="default"/>
                <w:color w:val="auto"/>
                <w:sz w:val="24"/>
                <w:szCs w:val="24"/>
                <w:highlight w:val="none"/>
              </w:rPr>
            </w:pPr>
            <w:r>
              <w:rPr>
                <w:rFonts w:hint="eastAsia"/>
                <w:color w:val="auto"/>
                <w:sz w:val="24"/>
                <w:szCs w:val="24"/>
                <w:highlight w:val="none"/>
                <w:lang w:val="en-US" w:eastAsia="zh-CN"/>
              </w:rPr>
              <w:t>0.5</w:t>
            </w:r>
          </w:p>
        </w:tc>
      </w:tr>
      <w:tr w14:paraId="637B33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trPr>
        <w:tc>
          <w:tcPr>
            <w:tcW w:w="1178" w:type="pct"/>
            <w:tcBorders>
              <w:tl2br w:val="nil"/>
              <w:tr2bl w:val="nil"/>
            </w:tcBorders>
            <w:shd w:val="clear" w:color="auto" w:fill="auto"/>
            <w:noWrap w:val="0"/>
            <w:vAlign w:val="center"/>
          </w:tcPr>
          <w:p w14:paraId="6B14D833">
            <w:pPr>
              <w:pStyle w:val="42"/>
              <w:bidi w:val="0"/>
              <w:rPr>
                <w:rFonts w:hint="default"/>
                <w:color w:val="auto"/>
                <w:sz w:val="24"/>
                <w:szCs w:val="24"/>
                <w:highlight w:val="none"/>
              </w:rPr>
            </w:pPr>
            <w:r>
              <w:rPr>
                <w:rFonts w:hint="eastAsia"/>
                <w:color w:val="auto"/>
                <w:sz w:val="24"/>
                <w:szCs w:val="24"/>
                <w:highlight w:val="none"/>
                <w:lang w:val="en-US" w:eastAsia="zh-CN"/>
              </w:rPr>
              <w:t>49</w:t>
            </w:r>
          </w:p>
        </w:tc>
        <w:tc>
          <w:tcPr>
            <w:tcW w:w="2223" w:type="pct"/>
            <w:tcBorders>
              <w:tl2br w:val="nil"/>
              <w:tr2bl w:val="nil"/>
            </w:tcBorders>
            <w:shd w:val="clear" w:color="auto" w:fill="auto"/>
            <w:noWrap w:val="0"/>
            <w:vAlign w:val="center"/>
          </w:tcPr>
          <w:p w14:paraId="4D74F7C0">
            <w:pPr>
              <w:pStyle w:val="42"/>
              <w:bidi w:val="0"/>
              <w:rPr>
                <w:rFonts w:hint="default"/>
                <w:color w:val="auto"/>
                <w:sz w:val="24"/>
                <w:szCs w:val="24"/>
                <w:highlight w:val="none"/>
              </w:rPr>
            </w:pPr>
            <w:r>
              <w:rPr>
                <w:rFonts w:hint="eastAsia"/>
                <w:color w:val="auto"/>
                <w:sz w:val="24"/>
                <w:szCs w:val="24"/>
                <w:highlight w:val="none"/>
                <w:lang w:val="en-US" w:eastAsia="zh-CN"/>
              </w:rPr>
              <w:t>0.0118</w:t>
            </w:r>
          </w:p>
        </w:tc>
        <w:tc>
          <w:tcPr>
            <w:tcW w:w="1598" w:type="pct"/>
            <w:tcBorders>
              <w:tl2br w:val="nil"/>
              <w:tr2bl w:val="nil"/>
            </w:tcBorders>
            <w:shd w:val="clear" w:color="auto" w:fill="auto"/>
            <w:noWrap w:val="0"/>
            <w:vAlign w:val="center"/>
          </w:tcPr>
          <w:p w14:paraId="78873CAA">
            <w:pPr>
              <w:pStyle w:val="42"/>
              <w:bidi w:val="0"/>
              <w:rPr>
                <w:rFonts w:hint="default"/>
                <w:color w:val="auto"/>
                <w:sz w:val="24"/>
                <w:szCs w:val="24"/>
                <w:highlight w:val="none"/>
              </w:rPr>
            </w:pPr>
            <w:r>
              <w:rPr>
                <w:rFonts w:hint="eastAsia"/>
                <w:color w:val="auto"/>
                <w:sz w:val="24"/>
                <w:szCs w:val="24"/>
                <w:highlight w:val="none"/>
                <w:lang w:val="en-US" w:eastAsia="zh-CN"/>
              </w:rPr>
              <w:t>1.32</w:t>
            </w:r>
          </w:p>
        </w:tc>
      </w:tr>
      <w:tr w14:paraId="7A7439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trPr>
        <w:tc>
          <w:tcPr>
            <w:tcW w:w="1178" w:type="pct"/>
            <w:tcBorders>
              <w:tl2br w:val="nil"/>
              <w:tr2bl w:val="nil"/>
            </w:tcBorders>
            <w:shd w:val="clear" w:color="auto" w:fill="auto"/>
            <w:noWrap w:val="0"/>
            <w:vAlign w:val="center"/>
          </w:tcPr>
          <w:p w14:paraId="36B83623">
            <w:pPr>
              <w:pStyle w:val="42"/>
              <w:bidi w:val="0"/>
              <w:rPr>
                <w:rFonts w:hint="default"/>
                <w:color w:val="auto"/>
                <w:sz w:val="24"/>
                <w:szCs w:val="24"/>
                <w:highlight w:val="none"/>
              </w:rPr>
            </w:pPr>
            <w:r>
              <w:rPr>
                <w:rFonts w:hint="eastAsia"/>
                <w:color w:val="auto"/>
                <w:sz w:val="24"/>
                <w:szCs w:val="24"/>
                <w:highlight w:val="none"/>
                <w:lang w:val="en-US" w:eastAsia="zh-CN"/>
              </w:rPr>
              <w:t>50</w:t>
            </w:r>
          </w:p>
        </w:tc>
        <w:tc>
          <w:tcPr>
            <w:tcW w:w="2223" w:type="pct"/>
            <w:tcBorders>
              <w:tl2br w:val="nil"/>
              <w:tr2bl w:val="nil"/>
            </w:tcBorders>
            <w:shd w:val="clear" w:color="auto" w:fill="auto"/>
            <w:noWrap w:val="0"/>
            <w:vAlign w:val="center"/>
          </w:tcPr>
          <w:p w14:paraId="59CE3F8C">
            <w:pPr>
              <w:pStyle w:val="42"/>
              <w:bidi w:val="0"/>
              <w:rPr>
                <w:rFonts w:hint="default"/>
                <w:color w:val="auto"/>
                <w:sz w:val="24"/>
                <w:szCs w:val="24"/>
                <w:highlight w:val="none"/>
              </w:rPr>
            </w:pPr>
            <w:r>
              <w:rPr>
                <w:rFonts w:hint="eastAsia"/>
                <w:color w:val="auto"/>
                <w:sz w:val="24"/>
                <w:szCs w:val="24"/>
                <w:highlight w:val="none"/>
                <w:lang w:val="en-US" w:eastAsia="zh-CN"/>
              </w:rPr>
              <w:t>0.0118</w:t>
            </w:r>
          </w:p>
        </w:tc>
        <w:tc>
          <w:tcPr>
            <w:tcW w:w="1598" w:type="pct"/>
            <w:tcBorders>
              <w:tl2br w:val="nil"/>
              <w:tr2bl w:val="nil"/>
            </w:tcBorders>
            <w:shd w:val="clear" w:color="auto" w:fill="auto"/>
            <w:noWrap w:val="0"/>
            <w:vAlign w:val="center"/>
          </w:tcPr>
          <w:p w14:paraId="4829E7E0">
            <w:pPr>
              <w:pStyle w:val="42"/>
              <w:bidi w:val="0"/>
              <w:rPr>
                <w:rFonts w:hint="default"/>
                <w:color w:val="auto"/>
                <w:sz w:val="24"/>
                <w:szCs w:val="24"/>
                <w:highlight w:val="none"/>
              </w:rPr>
            </w:pPr>
            <w:r>
              <w:rPr>
                <w:rFonts w:hint="eastAsia"/>
                <w:color w:val="auto"/>
                <w:sz w:val="24"/>
                <w:szCs w:val="24"/>
                <w:highlight w:val="none"/>
                <w:lang w:val="en-US" w:eastAsia="zh-CN"/>
              </w:rPr>
              <w:t>1.32</w:t>
            </w:r>
          </w:p>
        </w:tc>
      </w:tr>
      <w:tr w14:paraId="7938A6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178" w:type="pct"/>
            <w:tcBorders>
              <w:tl2br w:val="nil"/>
              <w:tr2bl w:val="nil"/>
            </w:tcBorders>
            <w:shd w:val="clear" w:color="auto" w:fill="auto"/>
            <w:noWrap w:val="0"/>
            <w:vAlign w:val="center"/>
          </w:tcPr>
          <w:p w14:paraId="74AE1CEE">
            <w:pPr>
              <w:pStyle w:val="42"/>
              <w:bidi w:val="0"/>
              <w:rPr>
                <w:rFonts w:hint="default"/>
                <w:color w:val="auto"/>
                <w:sz w:val="24"/>
                <w:szCs w:val="24"/>
                <w:highlight w:val="none"/>
              </w:rPr>
            </w:pPr>
            <w:r>
              <w:rPr>
                <w:rFonts w:hint="eastAsia"/>
                <w:color w:val="auto"/>
                <w:sz w:val="24"/>
                <w:szCs w:val="24"/>
                <w:highlight w:val="none"/>
                <w:lang w:val="en-US" w:eastAsia="zh-CN"/>
              </w:rPr>
              <w:t>75</w:t>
            </w:r>
          </w:p>
        </w:tc>
        <w:tc>
          <w:tcPr>
            <w:tcW w:w="2223" w:type="pct"/>
            <w:tcBorders>
              <w:tl2br w:val="nil"/>
              <w:tr2bl w:val="nil"/>
            </w:tcBorders>
            <w:shd w:val="clear" w:color="auto" w:fill="auto"/>
            <w:noWrap w:val="0"/>
            <w:vAlign w:val="center"/>
          </w:tcPr>
          <w:p w14:paraId="26C918FB">
            <w:pPr>
              <w:pStyle w:val="42"/>
              <w:bidi w:val="0"/>
              <w:rPr>
                <w:rFonts w:hint="default"/>
                <w:color w:val="auto"/>
                <w:sz w:val="24"/>
                <w:szCs w:val="24"/>
                <w:highlight w:val="none"/>
              </w:rPr>
            </w:pPr>
            <w:r>
              <w:rPr>
                <w:rFonts w:hint="eastAsia"/>
                <w:color w:val="auto"/>
                <w:sz w:val="24"/>
                <w:szCs w:val="24"/>
                <w:highlight w:val="none"/>
                <w:lang w:val="en-US" w:eastAsia="zh-CN"/>
              </w:rPr>
              <w:t>0.0095</w:t>
            </w:r>
          </w:p>
        </w:tc>
        <w:tc>
          <w:tcPr>
            <w:tcW w:w="1598" w:type="pct"/>
            <w:tcBorders>
              <w:tl2br w:val="nil"/>
              <w:tr2bl w:val="nil"/>
            </w:tcBorders>
            <w:shd w:val="clear" w:color="auto" w:fill="auto"/>
            <w:noWrap w:val="0"/>
            <w:vAlign w:val="center"/>
          </w:tcPr>
          <w:p w14:paraId="0EB6BD17">
            <w:pPr>
              <w:pStyle w:val="42"/>
              <w:bidi w:val="0"/>
              <w:rPr>
                <w:rFonts w:hint="default"/>
                <w:color w:val="auto"/>
                <w:sz w:val="24"/>
                <w:szCs w:val="24"/>
                <w:highlight w:val="none"/>
              </w:rPr>
            </w:pPr>
            <w:r>
              <w:rPr>
                <w:rFonts w:hint="eastAsia"/>
                <w:color w:val="auto"/>
                <w:sz w:val="24"/>
                <w:szCs w:val="24"/>
                <w:highlight w:val="none"/>
                <w:lang w:val="en-US" w:eastAsia="zh-CN"/>
              </w:rPr>
              <w:t>1.05</w:t>
            </w:r>
          </w:p>
        </w:tc>
      </w:tr>
      <w:tr w14:paraId="246778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178" w:type="pct"/>
            <w:tcBorders>
              <w:tl2br w:val="nil"/>
              <w:tr2bl w:val="nil"/>
            </w:tcBorders>
            <w:shd w:val="clear" w:color="auto" w:fill="auto"/>
            <w:noWrap w:val="0"/>
            <w:vAlign w:val="center"/>
          </w:tcPr>
          <w:p w14:paraId="6FA63185">
            <w:pPr>
              <w:pStyle w:val="42"/>
              <w:bidi w:val="0"/>
              <w:rPr>
                <w:rFonts w:hint="default"/>
                <w:color w:val="auto"/>
                <w:sz w:val="24"/>
                <w:szCs w:val="24"/>
                <w:highlight w:val="none"/>
              </w:rPr>
            </w:pPr>
            <w:r>
              <w:rPr>
                <w:rFonts w:hint="eastAsia"/>
                <w:color w:val="auto"/>
                <w:sz w:val="24"/>
                <w:szCs w:val="24"/>
                <w:highlight w:val="none"/>
                <w:lang w:val="en-US" w:eastAsia="zh-CN"/>
              </w:rPr>
              <w:t>100</w:t>
            </w:r>
          </w:p>
        </w:tc>
        <w:tc>
          <w:tcPr>
            <w:tcW w:w="2223" w:type="pct"/>
            <w:tcBorders>
              <w:tl2br w:val="nil"/>
              <w:tr2bl w:val="nil"/>
            </w:tcBorders>
            <w:shd w:val="clear" w:color="auto" w:fill="auto"/>
            <w:noWrap w:val="0"/>
            <w:vAlign w:val="center"/>
          </w:tcPr>
          <w:p w14:paraId="0A5FE2F7">
            <w:pPr>
              <w:pStyle w:val="42"/>
              <w:bidi w:val="0"/>
              <w:rPr>
                <w:rFonts w:hint="default"/>
                <w:color w:val="auto"/>
                <w:sz w:val="24"/>
                <w:szCs w:val="24"/>
                <w:highlight w:val="none"/>
              </w:rPr>
            </w:pPr>
            <w:r>
              <w:rPr>
                <w:rFonts w:hint="eastAsia"/>
                <w:color w:val="auto"/>
                <w:sz w:val="24"/>
                <w:szCs w:val="24"/>
                <w:highlight w:val="none"/>
                <w:lang w:val="en-US" w:eastAsia="zh-CN"/>
              </w:rPr>
              <w:t>0.0069</w:t>
            </w:r>
          </w:p>
        </w:tc>
        <w:tc>
          <w:tcPr>
            <w:tcW w:w="1598" w:type="pct"/>
            <w:tcBorders>
              <w:tl2br w:val="nil"/>
              <w:tr2bl w:val="nil"/>
            </w:tcBorders>
            <w:shd w:val="clear" w:color="auto" w:fill="auto"/>
            <w:noWrap w:val="0"/>
            <w:vAlign w:val="center"/>
          </w:tcPr>
          <w:p w14:paraId="29BF8DD4">
            <w:pPr>
              <w:pStyle w:val="42"/>
              <w:bidi w:val="0"/>
              <w:rPr>
                <w:rFonts w:hint="default"/>
                <w:color w:val="auto"/>
                <w:sz w:val="24"/>
                <w:szCs w:val="24"/>
                <w:highlight w:val="none"/>
              </w:rPr>
            </w:pPr>
            <w:r>
              <w:rPr>
                <w:rFonts w:hint="eastAsia"/>
                <w:color w:val="auto"/>
                <w:sz w:val="24"/>
                <w:szCs w:val="24"/>
                <w:highlight w:val="none"/>
                <w:lang w:val="en-US" w:eastAsia="zh-CN"/>
              </w:rPr>
              <w:t>0.77</w:t>
            </w:r>
          </w:p>
        </w:tc>
      </w:tr>
      <w:tr w14:paraId="13DDBD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178" w:type="pct"/>
            <w:tcBorders>
              <w:tl2br w:val="nil"/>
              <w:tr2bl w:val="nil"/>
            </w:tcBorders>
            <w:shd w:val="clear" w:color="auto" w:fill="auto"/>
            <w:noWrap w:val="0"/>
            <w:vAlign w:val="center"/>
          </w:tcPr>
          <w:p w14:paraId="6A30136E">
            <w:pPr>
              <w:pStyle w:val="42"/>
              <w:bidi w:val="0"/>
              <w:rPr>
                <w:rFonts w:hint="default"/>
                <w:color w:val="auto"/>
                <w:sz w:val="24"/>
                <w:szCs w:val="24"/>
                <w:highlight w:val="none"/>
              </w:rPr>
            </w:pPr>
            <w:r>
              <w:rPr>
                <w:rFonts w:hint="eastAsia"/>
                <w:color w:val="auto"/>
                <w:sz w:val="24"/>
                <w:szCs w:val="24"/>
                <w:highlight w:val="none"/>
                <w:lang w:val="en-US" w:eastAsia="zh-CN"/>
              </w:rPr>
              <w:t>125</w:t>
            </w:r>
          </w:p>
        </w:tc>
        <w:tc>
          <w:tcPr>
            <w:tcW w:w="2223" w:type="pct"/>
            <w:tcBorders>
              <w:tl2br w:val="nil"/>
              <w:tr2bl w:val="nil"/>
            </w:tcBorders>
            <w:shd w:val="clear" w:color="auto" w:fill="auto"/>
            <w:noWrap w:val="0"/>
            <w:vAlign w:val="center"/>
          </w:tcPr>
          <w:p w14:paraId="3EBB4001">
            <w:pPr>
              <w:pStyle w:val="42"/>
              <w:bidi w:val="0"/>
              <w:rPr>
                <w:rFonts w:hint="default"/>
                <w:color w:val="auto"/>
                <w:sz w:val="24"/>
                <w:szCs w:val="24"/>
                <w:highlight w:val="none"/>
              </w:rPr>
            </w:pPr>
            <w:r>
              <w:rPr>
                <w:rFonts w:hint="eastAsia"/>
                <w:color w:val="auto"/>
                <w:sz w:val="24"/>
                <w:szCs w:val="24"/>
                <w:highlight w:val="none"/>
                <w:lang w:val="en-US" w:eastAsia="zh-CN"/>
              </w:rPr>
              <w:t>0.0054</w:t>
            </w:r>
          </w:p>
        </w:tc>
        <w:tc>
          <w:tcPr>
            <w:tcW w:w="1598" w:type="pct"/>
            <w:tcBorders>
              <w:tl2br w:val="nil"/>
              <w:tr2bl w:val="nil"/>
            </w:tcBorders>
            <w:shd w:val="clear" w:color="auto" w:fill="auto"/>
            <w:noWrap w:val="0"/>
            <w:vAlign w:val="center"/>
          </w:tcPr>
          <w:p w14:paraId="0ABD2D3E">
            <w:pPr>
              <w:pStyle w:val="42"/>
              <w:bidi w:val="0"/>
              <w:rPr>
                <w:rFonts w:hint="default"/>
                <w:color w:val="auto"/>
                <w:sz w:val="24"/>
                <w:szCs w:val="24"/>
                <w:highlight w:val="none"/>
              </w:rPr>
            </w:pPr>
            <w:r>
              <w:rPr>
                <w:rFonts w:hint="eastAsia"/>
                <w:color w:val="auto"/>
                <w:sz w:val="24"/>
                <w:szCs w:val="24"/>
                <w:highlight w:val="none"/>
                <w:lang w:val="en-US" w:eastAsia="zh-CN"/>
              </w:rPr>
              <w:t>0.6</w:t>
            </w:r>
          </w:p>
        </w:tc>
      </w:tr>
      <w:tr w14:paraId="7EEC4F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178" w:type="pct"/>
            <w:tcBorders>
              <w:tl2br w:val="nil"/>
              <w:tr2bl w:val="nil"/>
            </w:tcBorders>
            <w:shd w:val="clear" w:color="auto" w:fill="auto"/>
            <w:noWrap w:val="0"/>
            <w:vAlign w:val="center"/>
          </w:tcPr>
          <w:p w14:paraId="19D6FAC5">
            <w:pPr>
              <w:pStyle w:val="42"/>
              <w:bidi w:val="0"/>
              <w:rPr>
                <w:rFonts w:hint="default"/>
                <w:color w:val="auto"/>
                <w:sz w:val="24"/>
                <w:szCs w:val="24"/>
                <w:highlight w:val="none"/>
              </w:rPr>
            </w:pPr>
            <w:r>
              <w:rPr>
                <w:rFonts w:hint="eastAsia"/>
                <w:color w:val="auto"/>
                <w:sz w:val="24"/>
                <w:szCs w:val="24"/>
                <w:highlight w:val="none"/>
                <w:lang w:val="en-US" w:eastAsia="zh-CN"/>
              </w:rPr>
              <w:t>150</w:t>
            </w:r>
          </w:p>
        </w:tc>
        <w:tc>
          <w:tcPr>
            <w:tcW w:w="2223" w:type="pct"/>
            <w:tcBorders>
              <w:tl2br w:val="nil"/>
              <w:tr2bl w:val="nil"/>
            </w:tcBorders>
            <w:shd w:val="clear" w:color="auto" w:fill="auto"/>
            <w:noWrap w:val="0"/>
            <w:vAlign w:val="center"/>
          </w:tcPr>
          <w:p w14:paraId="799F5EC5">
            <w:pPr>
              <w:pStyle w:val="42"/>
              <w:bidi w:val="0"/>
              <w:rPr>
                <w:rFonts w:hint="default"/>
                <w:color w:val="auto"/>
                <w:sz w:val="24"/>
                <w:szCs w:val="24"/>
                <w:highlight w:val="none"/>
              </w:rPr>
            </w:pPr>
            <w:r>
              <w:rPr>
                <w:rFonts w:hint="eastAsia"/>
                <w:color w:val="auto"/>
                <w:sz w:val="24"/>
                <w:szCs w:val="24"/>
                <w:highlight w:val="none"/>
                <w:lang w:val="en-US" w:eastAsia="zh-CN"/>
              </w:rPr>
              <w:t>0.0045</w:t>
            </w:r>
          </w:p>
        </w:tc>
        <w:tc>
          <w:tcPr>
            <w:tcW w:w="1598" w:type="pct"/>
            <w:tcBorders>
              <w:tl2br w:val="nil"/>
              <w:tr2bl w:val="nil"/>
            </w:tcBorders>
            <w:shd w:val="clear" w:color="auto" w:fill="auto"/>
            <w:noWrap w:val="0"/>
            <w:vAlign w:val="center"/>
          </w:tcPr>
          <w:p w14:paraId="353BDDE8">
            <w:pPr>
              <w:pStyle w:val="42"/>
              <w:bidi w:val="0"/>
              <w:rPr>
                <w:rFonts w:hint="default"/>
                <w:color w:val="auto"/>
                <w:sz w:val="24"/>
                <w:szCs w:val="24"/>
                <w:highlight w:val="none"/>
              </w:rPr>
            </w:pPr>
            <w:r>
              <w:rPr>
                <w:rFonts w:hint="eastAsia"/>
                <w:color w:val="auto"/>
                <w:sz w:val="24"/>
                <w:szCs w:val="24"/>
                <w:highlight w:val="none"/>
                <w:lang w:val="en-US" w:eastAsia="zh-CN"/>
              </w:rPr>
              <w:t>0.5</w:t>
            </w:r>
          </w:p>
        </w:tc>
      </w:tr>
      <w:tr w14:paraId="4E60CF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178" w:type="pct"/>
            <w:tcBorders>
              <w:tl2br w:val="nil"/>
              <w:tr2bl w:val="nil"/>
            </w:tcBorders>
            <w:shd w:val="clear" w:color="auto" w:fill="auto"/>
            <w:noWrap w:val="0"/>
            <w:vAlign w:val="center"/>
          </w:tcPr>
          <w:p w14:paraId="0EA2770F">
            <w:pPr>
              <w:pStyle w:val="42"/>
              <w:bidi w:val="0"/>
              <w:rPr>
                <w:rFonts w:hint="default"/>
                <w:color w:val="auto"/>
                <w:sz w:val="24"/>
                <w:szCs w:val="24"/>
                <w:highlight w:val="none"/>
              </w:rPr>
            </w:pPr>
            <w:r>
              <w:rPr>
                <w:rFonts w:hint="eastAsia"/>
                <w:color w:val="auto"/>
                <w:sz w:val="24"/>
                <w:szCs w:val="24"/>
                <w:highlight w:val="none"/>
                <w:lang w:val="en-US" w:eastAsia="zh-CN"/>
              </w:rPr>
              <w:t>175</w:t>
            </w:r>
          </w:p>
        </w:tc>
        <w:tc>
          <w:tcPr>
            <w:tcW w:w="2223" w:type="pct"/>
            <w:tcBorders>
              <w:tl2br w:val="nil"/>
              <w:tr2bl w:val="nil"/>
            </w:tcBorders>
            <w:shd w:val="clear" w:color="auto" w:fill="auto"/>
            <w:noWrap w:val="0"/>
            <w:vAlign w:val="center"/>
          </w:tcPr>
          <w:p w14:paraId="0664EFB8">
            <w:pPr>
              <w:pStyle w:val="42"/>
              <w:bidi w:val="0"/>
              <w:rPr>
                <w:rFonts w:hint="default"/>
                <w:color w:val="auto"/>
                <w:sz w:val="24"/>
                <w:szCs w:val="24"/>
                <w:highlight w:val="none"/>
              </w:rPr>
            </w:pPr>
            <w:r>
              <w:rPr>
                <w:rFonts w:hint="eastAsia"/>
                <w:color w:val="auto"/>
                <w:sz w:val="24"/>
                <w:szCs w:val="24"/>
                <w:highlight w:val="none"/>
                <w:lang w:val="en-US" w:eastAsia="zh-CN"/>
              </w:rPr>
              <w:t>0.004</w:t>
            </w:r>
          </w:p>
        </w:tc>
        <w:tc>
          <w:tcPr>
            <w:tcW w:w="1598" w:type="pct"/>
            <w:tcBorders>
              <w:tl2br w:val="nil"/>
              <w:tr2bl w:val="nil"/>
            </w:tcBorders>
            <w:shd w:val="clear" w:color="auto" w:fill="auto"/>
            <w:noWrap w:val="0"/>
            <w:vAlign w:val="center"/>
          </w:tcPr>
          <w:p w14:paraId="6F226EA6">
            <w:pPr>
              <w:pStyle w:val="42"/>
              <w:bidi w:val="0"/>
              <w:rPr>
                <w:rFonts w:hint="default"/>
                <w:color w:val="auto"/>
                <w:sz w:val="24"/>
                <w:szCs w:val="24"/>
                <w:highlight w:val="none"/>
              </w:rPr>
            </w:pPr>
            <w:r>
              <w:rPr>
                <w:rFonts w:hint="eastAsia"/>
                <w:color w:val="auto"/>
                <w:sz w:val="24"/>
                <w:szCs w:val="24"/>
                <w:highlight w:val="none"/>
                <w:lang w:val="en-US" w:eastAsia="zh-CN"/>
              </w:rPr>
              <w:t>0.44</w:t>
            </w:r>
          </w:p>
        </w:tc>
      </w:tr>
      <w:tr w14:paraId="060DC1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178" w:type="pct"/>
            <w:tcBorders>
              <w:tl2br w:val="nil"/>
              <w:tr2bl w:val="nil"/>
            </w:tcBorders>
            <w:shd w:val="clear" w:color="auto" w:fill="auto"/>
            <w:noWrap w:val="0"/>
            <w:vAlign w:val="center"/>
          </w:tcPr>
          <w:p w14:paraId="65E108C1">
            <w:pPr>
              <w:pStyle w:val="42"/>
              <w:bidi w:val="0"/>
              <w:rPr>
                <w:rFonts w:hint="default"/>
                <w:color w:val="auto"/>
                <w:sz w:val="24"/>
                <w:szCs w:val="24"/>
                <w:highlight w:val="none"/>
              </w:rPr>
            </w:pPr>
            <w:r>
              <w:rPr>
                <w:rFonts w:hint="eastAsia"/>
                <w:color w:val="auto"/>
                <w:sz w:val="24"/>
                <w:szCs w:val="24"/>
                <w:highlight w:val="none"/>
                <w:lang w:val="en-US" w:eastAsia="zh-CN"/>
              </w:rPr>
              <w:t>200</w:t>
            </w:r>
          </w:p>
        </w:tc>
        <w:tc>
          <w:tcPr>
            <w:tcW w:w="2223" w:type="pct"/>
            <w:tcBorders>
              <w:tl2br w:val="nil"/>
              <w:tr2bl w:val="nil"/>
            </w:tcBorders>
            <w:shd w:val="clear" w:color="auto" w:fill="auto"/>
            <w:noWrap w:val="0"/>
            <w:vAlign w:val="center"/>
          </w:tcPr>
          <w:p w14:paraId="62357B57">
            <w:pPr>
              <w:pStyle w:val="42"/>
              <w:bidi w:val="0"/>
              <w:rPr>
                <w:rFonts w:hint="default"/>
                <w:color w:val="auto"/>
                <w:sz w:val="24"/>
                <w:szCs w:val="24"/>
                <w:highlight w:val="none"/>
              </w:rPr>
            </w:pPr>
            <w:r>
              <w:rPr>
                <w:rFonts w:hint="eastAsia"/>
                <w:color w:val="auto"/>
                <w:sz w:val="24"/>
                <w:szCs w:val="24"/>
                <w:highlight w:val="none"/>
                <w:lang w:val="en-US" w:eastAsia="zh-CN"/>
              </w:rPr>
              <w:t>0.0036</w:t>
            </w:r>
          </w:p>
        </w:tc>
        <w:tc>
          <w:tcPr>
            <w:tcW w:w="1598" w:type="pct"/>
            <w:tcBorders>
              <w:tl2br w:val="nil"/>
              <w:tr2bl w:val="nil"/>
            </w:tcBorders>
            <w:shd w:val="clear" w:color="auto" w:fill="auto"/>
            <w:noWrap w:val="0"/>
            <w:vAlign w:val="center"/>
          </w:tcPr>
          <w:p w14:paraId="70BDFE5B">
            <w:pPr>
              <w:pStyle w:val="42"/>
              <w:bidi w:val="0"/>
              <w:rPr>
                <w:rFonts w:hint="default"/>
                <w:color w:val="auto"/>
                <w:sz w:val="24"/>
                <w:szCs w:val="24"/>
                <w:highlight w:val="none"/>
              </w:rPr>
            </w:pPr>
            <w:r>
              <w:rPr>
                <w:rFonts w:hint="eastAsia"/>
                <w:color w:val="auto"/>
                <w:sz w:val="24"/>
                <w:szCs w:val="24"/>
                <w:highlight w:val="none"/>
                <w:lang w:val="en-US" w:eastAsia="zh-CN"/>
              </w:rPr>
              <w:t>0.4</w:t>
            </w:r>
          </w:p>
        </w:tc>
      </w:tr>
      <w:tr w14:paraId="2059DA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trPr>
        <w:tc>
          <w:tcPr>
            <w:tcW w:w="1178" w:type="pct"/>
            <w:tcBorders>
              <w:tl2br w:val="nil"/>
              <w:tr2bl w:val="nil"/>
            </w:tcBorders>
            <w:shd w:val="clear" w:color="auto" w:fill="auto"/>
            <w:noWrap w:val="0"/>
            <w:vAlign w:val="center"/>
          </w:tcPr>
          <w:p w14:paraId="09FE9366">
            <w:pPr>
              <w:pStyle w:val="42"/>
              <w:bidi w:val="0"/>
              <w:rPr>
                <w:rFonts w:hint="default"/>
                <w:color w:val="auto"/>
                <w:sz w:val="24"/>
                <w:szCs w:val="24"/>
                <w:highlight w:val="none"/>
              </w:rPr>
            </w:pPr>
            <w:r>
              <w:rPr>
                <w:rFonts w:hint="eastAsia"/>
                <w:color w:val="auto"/>
                <w:sz w:val="24"/>
                <w:szCs w:val="24"/>
                <w:highlight w:val="none"/>
                <w:lang w:val="en-US" w:eastAsia="zh-CN"/>
              </w:rPr>
              <w:t>300</w:t>
            </w:r>
          </w:p>
        </w:tc>
        <w:tc>
          <w:tcPr>
            <w:tcW w:w="2223" w:type="pct"/>
            <w:tcBorders>
              <w:tl2br w:val="nil"/>
              <w:tr2bl w:val="nil"/>
            </w:tcBorders>
            <w:shd w:val="clear" w:color="auto" w:fill="auto"/>
            <w:noWrap w:val="0"/>
            <w:vAlign w:val="center"/>
          </w:tcPr>
          <w:p w14:paraId="0F436107">
            <w:pPr>
              <w:pStyle w:val="42"/>
              <w:bidi w:val="0"/>
              <w:rPr>
                <w:rFonts w:hint="default"/>
                <w:color w:val="auto"/>
                <w:sz w:val="24"/>
                <w:szCs w:val="24"/>
                <w:highlight w:val="none"/>
              </w:rPr>
            </w:pPr>
            <w:r>
              <w:rPr>
                <w:rFonts w:hint="eastAsia"/>
                <w:color w:val="auto"/>
                <w:sz w:val="24"/>
                <w:szCs w:val="24"/>
                <w:highlight w:val="none"/>
                <w:lang w:val="en-US" w:eastAsia="zh-CN"/>
              </w:rPr>
              <w:t>0.0027</w:t>
            </w:r>
          </w:p>
        </w:tc>
        <w:tc>
          <w:tcPr>
            <w:tcW w:w="1598" w:type="pct"/>
            <w:tcBorders>
              <w:tl2br w:val="nil"/>
              <w:tr2bl w:val="nil"/>
            </w:tcBorders>
            <w:shd w:val="clear" w:color="auto" w:fill="auto"/>
            <w:noWrap w:val="0"/>
            <w:vAlign w:val="center"/>
          </w:tcPr>
          <w:p w14:paraId="06284391">
            <w:pPr>
              <w:pStyle w:val="42"/>
              <w:bidi w:val="0"/>
              <w:rPr>
                <w:rFonts w:hint="default"/>
                <w:color w:val="auto"/>
                <w:sz w:val="24"/>
                <w:szCs w:val="24"/>
                <w:highlight w:val="none"/>
              </w:rPr>
            </w:pPr>
            <w:r>
              <w:rPr>
                <w:rFonts w:hint="eastAsia"/>
                <w:color w:val="auto"/>
                <w:sz w:val="24"/>
                <w:szCs w:val="24"/>
                <w:highlight w:val="none"/>
                <w:lang w:val="en-US" w:eastAsia="zh-CN"/>
              </w:rPr>
              <w:t>0.29</w:t>
            </w:r>
          </w:p>
        </w:tc>
      </w:tr>
      <w:tr w14:paraId="3014E0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178" w:type="pct"/>
            <w:tcBorders>
              <w:tl2br w:val="nil"/>
              <w:tr2bl w:val="nil"/>
            </w:tcBorders>
            <w:shd w:val="clear" w:color="auto" w:fill="auto"/>
            <w:noWrap w:val="0"/>
            <w:vAlign w:val="center"/>
          </w:tcPr>
          <w:p w14:paraId="7FA2E096">
            <w:pPr>
              <w:pStyle w:val="42"/>
              <w:bidi w:val="0"/>
              <w:rPr>
                <w:rFonts w:hint="default"/>
                <w:color w:val="auto"/>
                <w:sz w:val="24"/>
                <w:szCs w:val="24"/>
                <w:highlight w:val="none"/>
              </w:rPr>
            </w:pPr>
            <w:r>
              <w:rPr>
                <w:rFonts w:hint="eastAsia"/>
                <w:color w:val="auto"/>
                <w:sz w:val="24"/>
                <w:szCs w:val="24"/>
                <w:highlight w:val="none"/>
                <w:lang w:val="en-US" w:eastAsia="zh-CN"/>
              </w:rPr>
              <w:t>400</w:t>
            </w:r>
          </w:p>
        </w:tc>
        <w:tc>
          <w:tcPr>
            <w:tcW w:w="2223" w:type="pct"/>
            <w:tcBorders>
              <w:tl2br w:val="nil"/>
              <w:tr2bl w:val="nil"/>
            </w:tcBorders>
            <w:shd w:val="clear" w:color="auto" w:fill="auto"/>
            <w:noWrap w:val="0"/>
            <w:vAlign w:val="center"/>
          </w:tcPr>
          <w:p w14:paraId="7314407F">
            <w:pPr>
              <w:pStyle w:val="42"/>
              <w:bidi w:val="0"/>
              <w:rPr>
                <w:rFonts w:hint="default"/>
                <w:color w:val="auto"/>
                <w:sz w:val="24"/>
                <w:szCs w:val="24"/>
                <w:highlight w:val="none"/>
              </w:rPr>
            </w:pPr>
            <w:r>
              <w:rPr>
                <w:rFonts w:hint="eastAsia"/>
                <w:color w:val="auto"/>
                <w:sz w:val="24"/>
                <w:szCs w:val="24"/>
                <w:highlight w:val="none"/>
                <w:lang w:val="en-US" w:eastAsia="zh-CN"/>
              </w:rPr>
              <w:t>0.0022</w:t>
            </w:r>
          </w:p>
        </w:tc>
        <w:tc>
          <w:tcPr>
            <w:tcW w:w="1598" w:type="pct"/>
            <w:tcBorders>
              <w:tl2br w:val="nil"/>
              <w:tr2bl w:val="nil"/>
            </w:tcBorders>
            <w:shd w:val="clear" w:color="auto" w:fill="auto"/>
            <w:noWrap w:val="0"/>
            <w:vAlign w:val="center"/>
          </w:tcPr>
          <w:p w14:paraId="2DA8A250">
            <w:pPr>
              <w:pStyle w:val="42"/>
              <w:bidi w:val="0"/>
              <w:rPr>
                <w:rFonts w:hint="default"/>
                <w:color w:val="auto"/>
                <w:sz w:val="24"/>
                <w:szCs w:val="24"/>
                <w:highlight w:val="none"/>
              </w:rPr>
            </w:pPr>
            <w:r>
              <w:rPr>
                <w:rFonts w:hint="eastAsia"/>
                <w:color w:val="auto"/>
                <w:sz w:val="24"/>
                <w:szCs w:val="24"/>
                <w:highlight w:val="none"/>
                <w:lang w:val="en-US" w:eastAsia="zh-CN"/>
              </w:rPr>
              <w:t>0.24</w:t>
            </w:r>
          </w:p>
        </w:tc>
      </w:tr>
      <w:tr w14:paraId="029477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trPr>
        <w:tc>
          <w:tcPr>
            <w:tcW w:w="1178" w:type="pct"/>
            <w:tcBorders>
              <w:tl2br w:val="nil"/>
              <w:tr2bl w:val="nil"/>
            </w:tcBorders>
            <w:shd w:val="clear" w:color="auto" w:fill="auto"/>
            <w:noWrap w:val="0"/>
            <w:vAlign w:val="center"/>
          </w:tcPr>
          <w:p w14:paraId="55DF1370">
            <w:pPr>
              <w:pStyle w:val="42"/>
              <w:bidi w:val="0"/>
              <w:rPr>
                <w:rFonts w:hint="default"/>
                <w:color w:val="auto"/>
                <w:sz w:val="24"/>
                <w:szCs w:val="24"/>
                <w:highlight w:val="none"/>
              </w:rPr>
            </w:pPr>
            <w:r>
              <w:rPr>
                <w:rFonts w:hint="eastAsia"/>
                <w:color w:val="auto"/>
                <w:sz w:val="24"/>
                <w:szCs w:val="24"/>
                <w:highlight w:val="none"/>
                <w:lang w:val="en-US" w:eastAsia="zh-CN"/>
              </w:rPr>
              <w:t>500</w:t>
            </w:r>
          </w:p>
        </w:tc>
        <w:tc>
          <w:tcPr>
            <w:tcW w:w="2223" w:type="pct"/>
            <w:tcBorders>
              <w:tl2br w:val="nil"/>
              <w:tr2bl w:val="nil"/>
            </w:tcBorders>
            <w:shd w:val="clear" w:color="auto" w:fill="auto"/>
            <w:noWrap w:val="0"/>
            <w:vAlign w:val="center"/>
          </w:tcPr>
          <w:p w14:paraId="649320B1">
            <w:pPr>
              <w:pStyle w:val="42"/>
              <w:bidi w:val="0"/>
              <w:rPr>
                <w:rFonts w:hint="default"/>
                <w:color w:val="auto"/>
                <w:sz w:val="24"/>
                <w:szCs w:val="24"/>
                <w:highlight w:val="none"/>
              </w:rPr>
            </w:pPr>
            <w:r>
              <w:rPr>
                <w:rFonts w:hint="eastAsia"/>
                <w:color w:val="auto"/>
                <w:sz w:val="24"/>
                <w:szCs w:val="24"/>
                <w:highlight w:val="none"/>
                <w:lang w:val="en-US" w:eastAsia="zh-CN"/>
              </w:rPr>
              <w:t>0.0018</w:t>
            </w:r>
          </w:p>
        </w:tc>
        <w:tc>
          <w:tcPr>
            <w:tcW w:w="1598" w:type="pct"/>
            <w:tcBorders>
              <w:tl2br w:val="nil"/>
              <w:tr2bl w:val="nil"/>
            </w:tcBorders>
            <w:shd w:val="clear" w:color="auto" w:fill="auto"/>
            <w:noWrap w:val="0"/>
            <w:vAlign w:val="center"/>
          </w:tcPr>
          <w:p w14:paraId="4CFBE800">
            <w:pPr>
              <w:pStyle w:val="42"/>
              <w:bidi w:val="0"/>
              <w:rPr>
                <w:rFonts w:hint="default"/>
                <w:color w:val="auto"/>
                <w:sz w:val="24"/>
                <w:szCs w:val="24"/>
                <w:highlight w:val="none"/>
              </w:rPr>
            </w:pPr>
            <w:r>
              <w:rPr>
                <w:rFonts w:hint="eastAsia"/>
                <w:color w:val="auto"/>
                <w:sz w:val="24"/>
                <w:szCs w:val="24"/>
                <w:highlight w:val="none"/>
                <w:lang w:val="en-US" w:eastAsia="zh-CN"/>
              </w:rPr>
              <w:t>0.2</w:t>
            </w:r>
          </w:p>
        </w:tc>
      </w:tr>
      <w:tr w14:paraId="499448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trPr>
        <w:tc>
          <w:tcPr>
            <w:tcW w:w="1178" w:type="pct"/>
            <w:tcBorders>
              <w:tl2br w:val="nil"/>
              <w:tr2bl w:val="nil"/>
            </w:tcBorders>
            <w:shd w:val="clear" w:color="auto" w:fill="auto"/>
            <w:noWrap w:val="0"/>
            <w:vAlign w:val="center"/>
          </w:tcPr>
          <w:p w14:paraId="5EA0BD4E">
            <w:pPr>
              <w:pStyle w:val="42"/>
              <w:bidi w:val="0"/>
              <w:rPr>
                <w:rFonts w:hint="default"/>
                <w:color w:val="auto"/>
                <w:sz w:val="24"/>
                <w:szCs w:val="24"/>
                <w:highlight w:val="none"/>
              </w:rPr>
            </w:pPr>
            <w:r>
              <w:rPr>
                <w:rFonts w:hint="eastAsia"/>
                <w:color w:val="auto"/>
                <w:sz w:val="24"/>
                <w:szCs w:val="24"/>
                <w:highlight w:val="none"/>
                <w:lang w:val="en-US" w:eastAsia="zh-CN"/>
              </w:rPr>
              <w:t>600</w:t>
            </w:r>
          </w:p>
        </w:tc>
        <w:tc>
          <w:tcPr>
            <w:tcW w:w="2223" w:type="pct"/>
            <w:tcBorders>
              <w:tl2br w:val="nil"/>
              <w:tr2bl w:val="nil"/>
            </w:tcBorders>
            <w:shd w:val="clear" w:color="auto" w:fill="auto"/>
            <w:noWrap w:val="0"/>
            <w:vAlign w:val="center"/>
          </w:tcPr>
          <w:p w14:paraId="2307ADDE">
            <w:pPr>
              <w:pStyle w:val="42"/>
              <w:bidi w:val="0"/>
              <w:rPr>
                <w:rFonts w:hint="default"/>
                <w:color w:val="auto"/>
                <w:sz w:val="24"/>
                <w:szCs w:val="24"/>
                <w:highlight w:val="none"/>
              </w:rPr>
            </w:pPr>
            <w:r>
              <w:rPr>
                <w:rFonts w:hint="eastAsia"/>
                <w:color w:val="auto"/>
                <w:sz w:val="24"/>
                <w:szCs w:val="24"/>
                <w:highlight w:val="none"/>
                <w:lang w:val="en-US" w:eastAsia="zh-CN"/>
              </w:rPr>
              <w:t>0.0016</w:t>
            </w:r>
          </w:p>
        </w:tc>
        <w:tc>
          <w:tcPr>
            <w:tcW w:w="1598" w:type="pct"/>
            <w:tcBorders>
              <w:tl2br w:val="nil"/>
              <w:tr2bl w:val="nil"/>
            </w:tcBorders>
            <w:shd w:val="clear" w:color="auto" w:fill="auto"/>
            <w:noWrap w:val="0"/>
            <w:vAlign w:val="center"/>
          </w:tcPr>
          <w:p w14:paraId="3FBED279">
            <w:pPr>
              <w:pStyle w:val="42"/>
              <w:bidi w:val="0"/>
              <w:rPr>
                <w:rFonts w:hint="default"/>
                <w:color w:val="auto"/>
                <w:sz w:val="24"/>
                <w:szCs w:val="24"/>
                <w:highlight w:val="none"/>
              </w:rPr>
            </w:pPr>
            <w:r>
              <w:rPr>
                <w:rFonts w:hint="eastAsia"/>
                <w:color w:val="auto"/>
                <w:sz w:val="24"/>
                <w:szCs w:val="24"/>
                <w:highlight w:val="none"/>
                <w:lang w:val="en-US" w:eastAsia="zh-CN"/>
              </w:rPr>
              <w:t>0.18</w:t>
            </w:r>
          </w:p>
        </w:tc>
      </w:tr>
      <w:tr w14:paraId="7681DD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trPr>
        <w:tc>
          <w:tcPr>
            <w:tcW w:w="1178" w:type="pct"/>
            <w:tcBorders>
              <w:tl2br w:val="nil"/>
              <w:tr2bl w:val="nil"/>
            </w:tcBorders>
            <w:shd w:val="clear" w:color="auto" w:fill="auto"/>
            <w:noWrap w:val="0"/>
            <w:vAlign w:val="center"/>
          </w:tcPr>
          <w:p w14:paraId="38B2D158">
            <w:pPr>
              <w:pStyle w:val="42"/>
              <w:bidi w:val="0"/>
              <w:rPr>
                <w:rFonts w:hint="default"/>
                <w:color w:val="auto"/>
                <w:sz w:val="24"/>
                <w:szCs w:val="24"/>
                <w:highlight w:val="none"/>
              </w:rPr>
            </w:pPr>
            <w:r>
              <w:rPr>
                <w:rFonts w:hint="eastAsia"/>
                <w:color w:val="auto"/>
                <w:sz w:val="24"/>
                <w:szCs w:val="24"/>
                <w:highlight w:val="none"/>
                <w:lang w:val="en-US" w:eastAsia="zh-CN"/>
              </w:rPr>
              <w:t>700</w:t>
            </w:r>
          </w:p>
        </w:tc>
        <w:tc>
          <w:tcPr>
            <w:tcW w:w="2223" w:type="pct"/>
            <w:tcBorders>
              <w:tl2br w:val="nil"/>
              <w:tr2bl w:val="nil"/>
            </w:tcBorders>
            <w:shd w:val="clear" w:color="auto" w:fill="auto"/>
            <w:noWrap w:val="0"/>
            <w:vAlign w:val="center"/>
          </w:tcPr>
          <w:p w14:paraId="34D64C83">
            <w:pPr>
              <w:pStyle w:val="42"/>
              <w:bidi w:val="0"/>
              <w:rPr>
                <w:rFonts w:hint="default"/>
                <w:color w:val="auto"/>
                <w:sz w:val="24"/>
                <w:szCs w:val="24"/>
                <w:highlight w:val="none"/>
              </w:rPr>
            </w:pPr>
            <w:r>
              <w:rPr>
                <w:rFonts w:hint="eastAsia"/>
                <w:color w:val="auto"/>
                <w:sz w:val="24"/>
                <w:szCs w:val="24"/>
                <w:highlight w:val="none"/>
                <w:lang w:val="en-US" w:eastAsia="zh-CN"/>
              </w:rPr>
              <w:t>0.0014</w:t>
            </w:r>
          </w:p>
        </w:tc>
        <w:tc>
          <w:tcPr>
            <w:tcW w:w="1598" w:type="pct"/>
            <w:tcBorders>
              <w:tl2br w:val="nil"/>
              <w:tr2bl w:val="nil"/>
            </w:tcBorders>
            <w:shd w:val="clear" w:color="auto" w:fill="auto"/>
            <w:noWrap w:val="0"/>
            <w:vAlign w:val="center"/>
          </w:tcPr>
          <w:p w14:paraId="42692583">
            <w:pPr>
              <w:pStyle w:val="42"/>
              <w:bidi w:val="0"/>
              <w:rPr>
                <w:rFonts w:hint="default"/>
                <w:color w:val="auto"/>
                <w:sz w:val="24"/>
                <w:szCs w:val="24"/>
                <w:highlight w:val="none"/>
              </w:rPr>
            </w:pPr>
            <w:r>
              <w:rPr>
                <w:rFonts w:hint="eastAsia"/>
                <w:color w:val="auto"/>
                <w:sz w:val="24"/>
                <w:szCs w:val="24"/>
                <w:highlight w:val="none"/>
                <w:lang w:val="en-US" w:eastAsia="zh-CN"/>
              </w:rPr>
              <w:t>0.16</w:t>
            </w:r>
          </w:p>
        </w:tc>
      </w:tr>
      <w:tr w14:paraId="1C055B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178" w:type="pct"/>
            <w:tcBorders>
              <w:tl2br w:val="nil"/>
              <w:tr2bl w:val="nil"/>
            </w:tcBorders>
            <w:shd w:val="clear" w:color="auto" w:fill="auto"/>
            <w:noWrap w:val="0"/>
            <w:vAlign w:val="center"/>
          </w:tcPr>
          <w:p w14:paraId="66E90A72">
            <w:pPr>
              <w:pStyle w:val="42"/>
              <w:bidi w:val="0"/>
              <w:rPr>
                <w:rFonts w:hint="default"/>
                <w:color w:val="auto"/>
                <w:sz w:val="24"/>
                <w:szCs w:val="24"/>
                <w:highlight w:val="none"/>
              </w:rPr>
            </w:pPr>
            <w:r>
              <w:rPr>
                <w:rFonts w:hint="eastAsia"/>
                <w:color w:val="auto"/>
                <w:sz w:val="24"/>
                <w:szCs w:val="24"/>
                <w:highlight w:val="none"/>
                <w:lang w:val="en-US" w:eastAsia="zh-CN"/>
              </w:rPr>
              <w:t>800</w:t>
            </w:r>
          </w:p>
        </w:tc>
        <w:tc>
          <w:tcPr>
            <w:tcW w:w="2223" w:type="pct"/>
            <w:tcBorders>
              <w:tl2br w:val="nil"/>
              <w:tr2bl w:val="nil"/>
            </w:tcBorders>
            <w:shd w:val="clear" w:color="auto" w:fill="auto"/>
            <w:noWrap w:val="0"/>
            <w:vAlign w:val="center"/>
          </w:tcPr>
          <w:p w14:paraId="07742063">
            <w:pPr>
              <w:pStyle w:val="42"/>
              <w:bidi w:val="0"/>
              <w:rPr>
                <w:rFonts w:hint="default"/>
                <w:color w:val="auto"/>
                <w:sz w:val="24"/>
                <w:szCs w:val="24"/>
                <w:highlight w:val="none"/>
              </w:rPr>
            </w:pPr>
            <w:r>
              <w:rPr>
                <w:rFonts w:hint="eastAsia"/>
                <w:color w:val="auto"/>
                <w:sz w:val="24"/>
                <w:szCs w:val="24"/>
                <w:highlight w:val="none"/>
                <w:lang w:val="en-US" w:eastAsia="zh-CN"/>
              </w:rPr>
              <w:t>0.0013</w:t>
            </w:r>
          </w:p>
        </w:tc>
        <w:tc>
          <w:tcPr>
            <w:tcW w:w="1598" w:type="pct"/>
            <w:tcBorders>
              <w:tl2br w:val="nil"/>
              <w:tr2bl w:val="nil"/>
            </w:tcBorders>
            <w:shd w:val="clear" w:color="auto" w:fill="auto"/>
            <w:noWrap w:val="0"/>
            <w:vAlign w:val="center"/>
          </w:tcPr>
          <w:p w14:paraId="3DE24321">
            <w:pPr>
              <w:pStyle w:val="42"/>
              <w:bidi w:val="0"/>
              <w:rPr>
                <w:rFonts w:hint="default"/>
                <w:color w:val="auto"/>
                <w:sz w:val="24"/>
                <w:szCs w:val="24"/>
                <w:highlight w:val="none"/>
              </w:rPr>
            </w:pPr>
            <w:r>
              <w:rPr>
                <w:rFonts w:hint="eastAsia"/>
                <w:color w:val="auto"/>
                <w:sz w:val="24"/>
                <w:szCs w:val="24"/>
                <w:highlight w:val="none"/>
                <w:lang w:val="en-US" w:eastAsia="zh-CN"/>
              </w:rPr>
              <w:t>0.15</w:t>
            </w:r>
          </w:p>
        </w:tc>
      </w:tr>
      <w:tr w14:paraId="5ED5C0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178" w:type="pct"/>
            <w:tcBorders>
              <w:tl2br w:val="nil"/>
              <w:tr2bl w:val="nil"/>
            </w:tcBorders>
            <w:shd w:val="clear" w:color="auto" w:fill="auto"/>
            <w:noWrap w:val="0"/>
            <w:vAlign w:val="center"/>
          </w:tcPr>
          <w:p w14:paraId="24A68FEE">
            <w:pPr>
              <w:pStyle w:val="42"/>
              <w:bidi w:val="0"/>
              <w:rPr>
                <w:rFonts w:hint="default"/>
                <w:color w:val="auto"/>
                <w:sz w:val="24"/>
                <w:szCs w:val="24"/>
                <w:highlight w:val="none"/>
              </w:rPr>
            </w:pPr>
            <w:r>
              <w:rPr>
                <w:rFonts w:hint="eastAsia"/>
                <w:color w:val="auto"/>
                <w:sz w:val="24"/>
                <w:szCs w:val="24"/>
                <w:highlight w:val="none"/>
                <w:lang w:val="en-US" w:eastAsia="zh-CN"/>
              </w:rPr>
              <w:t>900</w:t>
            </w:r>
          </w:p>
        </w:tc>
        <w:tc>
          <w:tcPr>
            <w:tcW w:w="2223" w:type="pct"/>
            <w:tcBorders>
              <w:tl2br w:val="nil"/>
              <w:tr2bl w:val="nil"/>
            </w:tcBorders>
            <w:shd w:val="clear" w:color="auto" w:fill="auto"/>
            <w:noWrap w:val="0"/>
            <w:vAlign w:val="center"/>
          </w:tcPr>
          <w:p w14:paraId="310C738B">
            <w:pPr>
              <w:pStyle w:val="42"/>
              <w:bidi w:val="0"/>
              <w:rPr>
                <w:rFonts w:hint="default"/>
                <w:color w:val="auto"/>
                <w:sz w:val="24"/>
                <w:szCs w:val="24"/>
                <w:highlight w:val="none"/>
              </w:rPr>
            </w:pPr>
            <w:r>
              <w:rPr>
                <w:rFonts w:hint="eastAsia"/>
                <w:color w:val="auto"/>
                <w:sz w:val="24"/>
                <w:szCs w:val="24"/>
                <w:highlight w:val="none"/>
                <w:lang w:val="en-US" w:eastAsia="zh-CN"/>
              </w:rPr>
              <w:t>0.0012</w:t>
            </w:r>
          </w:p>
        </w:tc>
        <w:tc>
          <w:tcPr>
            <w:tcW w:w="1598" w:type="pct"/>
            <w:tcBorders>
              <w:tl2br w:val="nil"/>
              <w:tr2bl w:val="nil"/>
            </w:tcBorders>
            <w:shd w:val="clear" w:color="auto" w:fill="auto"/>
            <w:noWrap w:val="0"/>
            <w:vAlign w:val="center"/>
          </w:tcPr>
          <w:p w14:paraId="74AA6B95">
            <w:pPr>
              <w:pStyle w:val="42"/>
              <w:bidi w:val="0"/>
              <w:rPr>
                <w:rFonts w:hint="default"/>
                <w:color w:val="auto"/>
                <w:sz w:val="24"/>
                <w:szCs w:val="24"/>
                <w:highlight w:val="none"/>
              </w:rPr>
            </w:pPr>
            <w:r>
              <w:rPr>
                <w:rFonts w:hint="eastAsia"/>
                <w:color w:val="auto"/>
                <w:sz w:val="24"/>
                <w:szCs w:val="24"/>
                <w:highlight w:val="none"/>
                <w:lang w:val="en-US" w:eastAsia="zh-CN"/>
              </w:rPr>
              <w:t>0.14</w:t>
            </w:r>
          </w:p>
        </w:tc>
      </w:tr>
      <w:tr w14:paraId="4396FA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178" w:type="pct"/>
            <w:tcBorders>
              <w:tl2br w:val="nil"/>
              <w:tr2bl w:val="nil"/>
            </w:tcBorders>
            <w:shd w:val="clear" w:color="auto" w:fill="auto"/>
            <w:noWrap w:val="0"/>
            <w:vAlign w:val="center"/>
          </w:tcPr>
          <w:p w14:paraId="54C59704">
            <w:pPr>
              <w:pStyle w:val="42"/>
              <w:bidi w:val="0"/>
              <w:rPr>
                <w:rFonts w:hint="default"/>
                <w:color w:val="auto"/>
                <w:sz w:val="24"/>
                <w:szCs w:val="24"/>
                <w:highlight w:val="none"/>
                <w:lang w:val="en-US" w:eastAsia="zh-CN"/>
              </w:rPr>
            </w:pPr>
            <w:r>
              <w:rPr>
                <w:rFonts w:hint="eastAsia"/>
                <w:color w:val="auto"/>
                <w:sz w:val="24"/>
                <w:szCs w:val="24"/>
                <w:highlight w:val="none"/>
                <w:lang w:val="en-US" w:eastAsia="zh-CN"/>
              </w:rPr>
              <w:t>1000</w:t>
            </w:r>
          </w:p>
        </w:tc>
        <w:tc>
          <w:tcPr>
            <w:tcW w:w="2223" w:type="pct"/>
            <w:tcBorders>
              <w:tl2br w:val="nil"/>
              <w:tr2bl w:val="nil"/>
            </w:tcBorders>
            <w:shd w:val="clear" w:color="auto" w:fill="auto"/>
            <w:noWrap w:val="0"/>
            <w:vAlign w:val="center"/>
          </w:tcPr>
          <w:p w14:paraId="53EA5ACF">
            <w:pPr>
              <w:pStyle w:val="42"/>
              <w:bidi w:val="0"/>
              <w:rPr>
                <w:rFonts w:hint="default"/>
                <w:color w:val="auto"/>
                <w:sz w:val="24"/>
                <w:szCs w:val="24"/>
                <w:highlight w:val="none"/>
              </w:rPr>
            </w:pPr>
            <w:r>
              <w:rPr>
                <w:rFonts w:hint="eastAsia"/>
                <w:color w:val="auto"/>
                <w:sz w:val="24"/>
                <w:szCs w:val="24"/>
                <w:highlight w:val="none"/>
                <w:lang w:val="en-US" w:eastAsia="zh-CN"/>
              </w:rPr>
              <w:t>0.0012</w:t>
            </w:r>
          </w:p>
        </w:tc>
        <w:tc>
          <w:tcPr>
            <w:tcW w:w="1598" w:type="pct"/>
            <w:tcBorders>
              <w:tl2br w:val="nil"/>
              <w:tr2bl w:val="nil"/>
            </w:tcBorders>
            <w:shd w:val="clear" w:color="auto" w:fill="auto"/>
            <w:noWrap w:val="0"/>
            <w:vAlign w:val="center"/>
          </w:tcPr>
          <w:p w14:paraId="429E3E78">
            <w:pPr>
              <w:pStyle w:val="42"/>
              <w:bidi w:val="0"/>
              <w:rPr>
                <w:rFonts w:hint="default"/>
                <w:color w:val="auto"/>
                <w:sz w:val="24"/>
                <w:szCs w:val="24"/>
                <w:highlight w:val="none"/>
              </w:rPr>
            </w:pPr>
            <w:r>
              <w:rPr>
                <w:rFonts w:hint="eastAsia"/>
                <w:color w:val="auto"/>
                <w:sz w:val="24"/>
                <w:szCs w:val="24"/>
                <w:highlight w:val="none"/>
                <w:lang w:val="en-US" w:eastAsia="zh-CN"/>
              </w:rPr>
              <w:t>0.13</w:t>
            </w:r>
          </w:p>
        </w:tc>
      </w:tr>
      <w:tr w14:paraId="49B167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trPr>
        <w:tc>
          <w:tcPr>
            <w:tcW w:w="1178" w:type="pct"/>
            <w:tcBorders>
              <w:tl2br w:val="nil"/>
              <w:tr2bl w:val="nil"/>
            </w:tcBorders>
            <w:shd w:val="clear" w:color="auto" w:fill="auto"/>
            <w:noWrap w:val="0"/>
            <w:vAlign w:val="center"/>
          </w:tcPr>
          <w:p w14:paraId="6E99C90A">
            <w:pPr>
              <w:pStyle w:val="42"/>
              <w:bidi w:val="0"/>
              <w:rPr>
                <w:rFonts w:hint="default"/>
                <w:color w:val="auto"/>
                <w:sz w:val="24"/>
                <w:szCs w:val="24"/>
                <w:highlight w:val="none"/>
                <w:lang w:val="en-US" w:eastAsia="zh-CN"/>
              </w:rPr>
            </w:pPr>
            <w:r>
              <w:rPr>
                <w:rFonts w:hint="eastAsia"/>
                <w:color w:val="auto"/>
                <w:sz w:val="24"/>
                <w:szCs w:val="24"/>
                <w:highlight w:val="none"/>
                <w:lang w:val="en-US" w:eastAsia="zh-CN"/>
              </w:rPr>
              <w:t>1500</w:t>
            </w:r>
          </w:p>
        </w:tc>
        <w:tc>
          <w:tcPr>
            <w:tcW w:w="2223" w:type="pct"/>
            <w:tcBorders>
              <w:tl2br w:val="nil"/>
              <w:tr2bl w:val="nil"/>
            </w:tcBorders>
            <w:shd w:val="clear" w:color="auto" w:fill="auto"/>
            <w:noWrap w:val="0"/>
            <w:vAlign w:val="center"/>
          </w:tcPr>
          <w:p w14:paraId="6F2C1160">
            <w:pPr>
              <w:pStyle w:val="42"/>
              <w:bidi w:val="0"/>
              <w:rPr>
                <w:rFonts w:hint="default"/>
                <w:color w:val="auto"/>
                <w:sz w:val="24"/>
                <w:szCs w:val="24"/>
                <w:highlight w:val="none"/>
                <w:lang w:val="en-US" w:eastAsia="zh-CN"/>
              </w:rPr>
            </w:pPr>
            <w:r>
              <w:rPr>
                <w:rFonts w:hint="eastAsia"/>
                <w:color w:val="auto"/>
                <w:sz w:val="24"/>
                <w:szCs w:val="24"/>
                <w:highlight w:val="none"/>
                <w:lang w:val="en-US" w:eastAsia="zh-CN"/>
              </w:rPr>
              <w:t>0.0009</w:t>
            </w:r>
          </w:p>
        </w:tc>
        <w:tc>
          <w:tcPr>
            <w:tcW w:w="1598" w:type="pct"/>
            <w:tcBorders>
              <w:tl2br w:val="nil"/>
              <w:tr2bl w:val="nil"/>
            </w:tcBorders>
            <w:shd w:val="clear" w:color="auto" w:fill="auto"/>
            <w:noWrap w:val="0"/>
            <w:vAlign w:val="center"/>
          </w:tcPr>
          <w:p w14:paraId="6EAF7A6B">
            <w:pPr>
              <w:pStyle w:val="42"/>
              <w:bidi w:val="0"/>
              <w:rPr>
                <w:rFonts w:hint="default"/>
                <w:color w:val="auto"/>
                <w:sz w:val="24"/>
                <w:szCs w:val="24"/>
                <w:highlight w:val="none"/>
                <w:lang w:val="en-US" w:eastAsia="zh-CN"/>
              </w:rPr>
            </w:pPr>
            <w:r>
              <w:rPr>
                <w:rFonts w:hint="eastAsia"/>
                <w:color w:val="auto"/>
                <w:sz w:val="24"/>
                <w:szCs w:val="24"/>
                <w:highlight w:val="none"/>
                <w:lang w:val="en-US" w:eastAsia="zh-CN"/>
              </w:rPr>
              <w:t>0.09</w:t>
            </w:r>
          </w:p>
        </w:tc>
      </w:tr>
      <w:tr w14:paraId="41987D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trPr>
        <w:tc>
          <w:tcPr>
            <w:tcW w:w="1178" w:type="pct"/>
            <w:tcBorders>
              <w:tl2br w:val="nil"/>
              <w:tr2bl w:val="nil"/>
            </w:tcBorders>
            <w:shd w:val="clear" w:color="auto" w:fill="auto"/>
            <w:noWrap w:val="0"/>
            <w:vAlign w:val="center"/>
          </w:tcPr>
          <w:p w14:paraId="796D1BBC">
            <w:pPr>
              <w:pStyle w:val="42"/>
              <w:bidi w:val="0"/>
              <w:rPr>
                <w:rFonts w:hint="default"/>
                <w:color w:val="auto"/>
                <w:sz w:val="24"/>
                <w:szCs w:val="24"/>
                <w:highlight w:val="none"/>
                <w:lang w:val="en-US" w:eastAsia="zh-CN"/>
              </w:rPr>
            </w:pPr>
            <w:r>
              <w:rPr>
                <w:rFonts w:hint="eastAsia"/>
                <w:color w:val="auto"/>
                <w:sz w:val="24"/>
                <w:szCs w:val="24"/>
                <w:highlight w:val="none"/>
                <w:lang w:val="en-US" w:eastAsia="zh-CN"/>
              </w:rPr>
              <w:t>2000</w:t>
            </w:r>
          </w:p>
        </w:tc>
        <w:tc>
          <w:tcPr>
            <w:tcW w:w="2223" w:type="pct"/>
            <w:tcBorders>
              <w:tl2br w:val="nil"/>
              <w:tr2bl w:val="nil"/>
            </w:tcBorders>
            <w:shd w:val="clear" w:color="auto" w:fill="auto"/>
            <w:noWrap w:val="0"/>
            <w:vAlign w:val="center"/>
          </w:tcPr>
          <w:p w14:paraId="14B71A53">
            <w:pPr>
              <w:pStyle w:val="42"/>
              <w:bidi w:val="0"/>
              <w:rPr>
                <w:rFonts w:hint="default"/>
                <w:color w:val="auto"/>
                <w:sz w:val="24"/>
                <w:szCs w:val="24"/>
                <w:highlight w:val="none"/>
                <w:lang w:val="en-US" w:eastAsia="zh-CN"/>
              </w:rPr>
            </w:pPr>
            <w:r>
              <w:rPr>
                <w:rFonts w:hint="eastAsia"/>
                <w:color w:val="auto"/>
                <w:sz w:val="24"/>
                <w:szCs w:val="24"/>
                <w:highlight w:val="none"/>
                <w:lang w:val="en-US" w:eastAsia="zh-CN"/>
              </w:rPr>
              <w:t>0.0007</w:t>
            </w:r>
          </w:p>
        </w:tc>
        <w:tc>
          <w:tcPr>
            <w:tcW w:w="1598" w:type="pct"/>
            <w:tcBorders>
              <w:tl2br w:val="nil"/>
              <w:tr2bl w:val="nil"/>
            </w:tcBorders>
            <w:shd w:val="clear" w:color="auto" w:fill="auto"/>
            <w:noWrap w:val="0"/>
            <w:vAlign w:val="center"/>
          </w:tcPr>
          <w:p w14:paraId="00A061D8">
            <w:pPr>
              <w:pStyle w:val="42"/>
              <w:bidi w:val="0"/>
              <w:rPr>
                <w:rFonts w:hint="default"/>
                <w:color w:val="auto"/>
                <w:sz w:val="24"/>
                <w:szCs w:val="24"/>
                <w:highlight w:val="none"/>
                <w:lang w:val="en-US" w:eastAsia="zh-CN"/>
              </w:rPr>
            </w:pPr>
            <w:r>
              <w:rPr>
                <w:rFonts w:hint="eastAsia"/>
                <w:color w:val="auto"/>
                <w:sz w:val="24"/>
                <w:szCs w:val="24"/>
                <w:highlight w:val="none"/>
                <w:lang w:val="en-US" w:eastAsia="zh-CN"/>
              </w:rPr>
              <w:t>0.07</w:t>
            </w:r>
          </w:p>
        </w:tc>
      </w:tr>
      <w:tr w14:paraId="5EBB8B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trPr>
        <w:tc>
          <w:tcPr>
            <w:tcW w:w="1178" w:type="pct"/>
            <w:tcBorders>
              <w:tl2br w:val="nil"/>
              <w:tr2bl w:val="nil"/>
            </w:tcBorders>
            <w:shd w:val="clear" w:color="auto" w:fill="auto"/>
            <w:noWrap w:val="0"/>
            <w:vAlign w:val="center"/>
          </w:tcPr>
          <w:p w14:paraId="74F9B52C">
            <w:pPr>
              <w:pStyle w:val="42"/>
              <w:bidi w:val="0"/>
              <w:rPr>
                <w:rFonts w:hint="default"/>
                <w:color w:val="auto"/>
                <w:sz w:val="24"/>
                <w:szCs w:val="24"/>
                <w:highlight w:val="none"/>
                <w:lang w:val="en-US" w:eastAsia="zh-CN"/>
              </w:rPr>
            </w:pPr>
            <w:r>
              <w:rPr>
                <w:rFonts w:hint="eastAsia"/>
                <w:color w:val="auto"/>
                <w:sz w:val="24"/>
                <w:szCs w:val="24"/>
                <w:highlight w:val="none"/>
                <w:lang w:val="en-US" w:eastAsia="zh-CN"/>
              </w:rPr>
              <w:t>2500</w:t>
            </w:r>
          </w:p>
        </w:tc>
        <w:tc>
          <w:tcPr>
            <w:tcW w:w="2223" w:type="pct"/>
            <w:tcBorders>
              <w:tl2br w:val="nil"/>
              <w:tr2bl w:val="nil"/>
            </w:tcBorders>
            <w:shd w:val="clear" w:color="auto" w:fill="auto"/>
            <w:noWrap w:val="0"/>
            <w:vAlign w:val="center"/>
          </w:tcPr>
          <w:p w14:paraId="4D38F859">
            <w:pPr>
              <w:pStyle w:val="42"/>
              <w:bidi w:val="0"/>
              <w:rPr>
                <w:rFonts w:hint="default"/>
                <w:color w:val="auto"/>
                <w:sz w:val="24"/>
                <w:szCs w:val="24"/>
                <w:highlight w:val="none"/>
                <w:lang w:val="en-US" w:eastAsia="zh-CN"/>
              </w:rPr>
            </w:pPr>
            <w:r>
              <w:rPr>
                <w:rFonts w:hint="eastAsia"/>
                <w:color w:val="auto"/>
                <w:sz w:val="24"/>
                <w:szCs w:val="24"/>
                <w:highlight w:val="none"/>
                <w:lang w:val="en-US" w:eastAsia="zh-CN"/>
              </w:rPr>
              <w:t>0.0006</w:t>
            </w:r>
          </w:p>
        </w:tc>
        <w:tc>
          <w:tcPr>
            <w:tcW w:w="1598" w:type="pct"/>
            <w:tcBorders>
              <w:tl2br w:val="nil"/>
              <w:tr2bl w:val="nil"/>
            </w:tcBorders>
            <w:shd w:val="clear" w:color="auto" w:fill="auto"/>
            <w:noWrap w:val="0"/>
            <w:vAlign w:val="center"/>
          </w:tcPr>
          <w:p w14:paraId="7780FAC1">
            <w:pPr>
              <w:pStyle w:val="42"/>
              <w:bidi w:val="0"/>
              <w:rPr>
                <w:rFonts w:hint="default"/>
                <w:color w:val="auto"/>
                <w:sz w:val="24"/>
                <w:szCs w:val="24"/>
                <w:highlight w:val="none"/>
                <w:lang w:val="en-US" w:eastAsia="zh-CN"/>
              </w:rPr>
            </w:pPr>
            <w:r>
              <w:rPr>
                <w:rFonts w:hint="eastAsia"/>
                <w:color w:val="auto"/>
                <w:sz w:val="24"/>
                <w:szCs w:val="24"/>
                <w:highlight w:val="none"/>
                <w:lang w:val="en-US" w:eastAsia="zh-CN"/>
              </w:rPr>
              <w:t>0.07</w:t>
            </w:r>
          </w:p>
        </w:tc>
      </w:tr>
    </w:tbl>
    <w:p w14:paraId="54621C55">
      <w:pPr>
        <w:pStyle w:val="45"/>
        <w:bidi w:val="0"/>
        <w:rPr>
          <w:rFonts w:hint="default" w:ascii="Times New Roman" w:hAnsi="Times New Roman" w:cs="Times New Roman"/>
          <w:color w:val="FF0000"/>
          <w:highlight w:val="none"/>
          <w:lang w:val="en-US" w:eastAsia="zh-CN"/>
        </w:rPr>
      </w:pPr>
    </w:p>
    <w:p w14:paraId="5BA6B680">
      <w:pPr>
        <w:pStyle w:val="45"/>
        <w:bidi w:val="0"/>
        <w:rPr>
          <w:rFonts w:hint="default" w:ascii="Times New Roman" w:hAnsi="Times New Roman" w:cs="Times New Roman"/>
          <w:color w:val="FF0000"/>
          <w:highlight w:val="none"/>
        </w:rPr>
      </w:pPr>
      <w:r>
        <w:rPr>
          <w:rFonts w:hint="default" w:ascii="Times New Roman" w:hAnsi="Times New Roman" w:cs="Times New Roman"/>
          <w:color w:val="FF0000"/>
          <w:highlight w:val="none"/>
          <w:lang w:val="en-US" w:eastAsia="zh-CN"/>
        </w:rPr>
        <w:t>表5.2-7    有组织废气烘干废气排气筒（DA002）</w:t>
      </w:r>
      <w:r>
        <w:rPr>
          <w:rFonts w:hint="default" w:ascii="Times New Roman" w:hAnsi="Times New Roman" w:cs="Times New Roman"/>
          <w:color w:val="FF0000"/>
          <w:highlight w:val="none"/>
        </w:rPr>
        <w:t>采用估算模式计算结果</w:t>
      </w:r>
    </w:p>
    <w:tbl>
      <w:tblPr>
        <w:tblStyle w:val="31"/>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2926"/>
        <w:gridCol w:w="3216"/>
        <w:gridCol w:w="3222"/>
      </w:tblGrid>
      <w:tr w14:paraId="0CA79E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69" w:hRule="exact"/>
        </w:trPr>
        <w:tc>
          <w:tcPr>
            <w:tcW w:w="1562" w:type="pct"/>
            <w:vMerge w:val="restart"/>
            <w:tcBorders>
              <w:tl2br w:val="nil"/>
              <w:tr2bl w:val="nil"/>
            </w:tcBorders>
            <w:shd w:val="clear" w:color="auto" w:fill="auto"/>
            <w:noWrap w:val="0"/>
            <w:vAlign w:val="top"/>
          </w:tcPr>
          <w:p w14:paraId="7F961C32">
            <w:pPr>
              <w:pStyle w:val="48"/>
              <w:bidi w:val="0"/>
              <w:rPr>
                <w:rFonts w:hint="default" w:ascii="Times New Roman" w:hAnsi="Times New Roman" w:cs="Times New Roman"/>
                <w:color w:val="FF0000"/>
                <w:highlight w:val="none"/>
              </w:rPr>
            </w:pPr>
            <w:r>
              <w:rPr>
                <w:rFonts w:hint="default" w:ascii="Times New Roman" w:hAnsi="Times New Roman" w:cs="Times New Roman"/>
                <w:color w:val="FF0000"/>
                <w:highlight w:val="none"/>
              </w:rPr>
              <w:t>距源中心下风向距离</w:t>
            </w:r>
          </w:p>
          <w:p w14:paraId="6CD1AB11">
            <w:pPr>
              <w:pStyle w:val="48"/>
              <w:bidi w:val="0"/>
              <w:rPr>
                <w:rFonts w:hint="default" w:ascii="Times New Roman" w:hAnsi="Times New Roman" w:cs="Times New Roman"/>
                <w:color w:val="FF0000"/>
                <w:highlight w:val="none"/>
              </w:rPr>
            </w:pPr>
            <w:r>
              <w:rPr>
                <w:rFonts w:hint="default" w:ascii="Times New Roman" w:hAnsi="Times New Roman" w:cs="Times New Roman"/>
                <w:color w:val="FF0000"/>
                <w:highlight w:val="none"/>
              </w:rPr>
              <w:t>D/m</w:t>
            </w:r>
          </w:p>
        </w:tc>
        <w:tc>
          <w:tcPr>
            <w:tcW w:w="3437" w:type="pct"/>
            <w:gridSpan w:val="2"/>
            <w:tcBorders>
              <w:tl2br w:val="nil"/>
              <w:tr2bl w:val="nil"/>
            </w:tcBorders>
            <w:shd w:val="clear" w:color="auto" w:fill="auto"/>
            <w:noWrap w:val="0"/>
            <w:vAlign w:val="top"/>
          </w:tcPr>
          <w:p w14:paraId="0A0D9322">
            <w:pPr>
              <w:pStyle w:val="48"/>
              <w:bidi w:val="0"/>
              <w:rPr>
                <w:rFonts w:hint="default" w:ascii="Times New Roman" w:hAnsi="Times New Roman" w:cs="Times New Roman"/>
                <w:color w:val="FF0000"/>
                <w:highlight w:val="none"/>
                <w:lang w:val="en-US" w:eastAsia="zh-CN"/>
              </w:rPr>
            </w:pPr>
            <w:r>
              <w:rPr>
                <w:rFonts w:hint="default" w:ascii="Times New Roman" w:hAnsi="Times New Roman" w:cs="Times New Roman"/>
                <w:color w:val="FF0000"/>
                <w:highlight w:val="none"/>
                <w:lang w:val="en-US" w:eastAsia="zh-CN"/>
              </w:rPr>
              <w:t>TSP</w:t>
            </w:r>
          </w:p>
        </w:tc>
      </w:tr>
      <w:tr w14:paraId="17DD5A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80" w:hRule="exact"/>
        </w:trPr>
        <w:tc>
          <w:tcPr>
            <w:tcW w:w="1562" w:type="pct"/>
            <w:vMerge w:val="continue"/>
            <w:tcBorders>
              <w:tl2br w:val="nil"/>
              <w:tr2bl w:val="nil"/>
            </w:tcBorders>
            <w:shd w:val="clear" w:color="auto" w:fill="auto"/>
            <w:noWrap w:val="0"/>
            <w:vAlign w:val="top"/>
          </w:tcPr>
          <w:p w14:paraId="1486CBBA">
            <w:pPr>
              <w:pStyle w:val="48"/>
              <w:bidi w:val="0"/>
              <w:rPr>
                <w:rFonts w:hint="default" w:ascii="Times New Roman" w:hAnsi="Times New Roman" w:cs="Times New Roman"/>
                <w:color w:val="FF0000"/>
                <w:highlight w:val="none"/>
              </w:rPr>
            </w:pPr>
          </w:p>
        </w:tc>
        <w:tc>
          <w:tcPr>
            <w:tcW w:w="1717" w:type="pct"/>
            <w:tcBorders>
              <w:tl2br w:val="nil"/>
              <w:tr2bl w:val="nil"/>
            </w:tcBorders>
            <w:shd w:val="clear" w:color="auto" w:fill="auto"/>
            <w:noWrap w:val="0"/>
            <w:vAlign w:val="top"/>
          </w:tcPr>
          <w:p w14:paraId="215C8A9A">
            <w:pPr>
              <w:pStyle w:val="48"/>
              <w:bidi w:val="0"/>
              <w:rPr>
                <w:rFonts w:hint="default" w:ascii="Times New Roman" w:hAnsi="Times New Roman" w:cs="Times New Roman"/>
                <w:color w:val="FF0000"/>
                <w:highlight w:val="none"/>
              </w:rPr>
            </w:pPr>
            <w:r>
              <w:rPr>
                <w:rFonts w:hint="default" w:ascii="Times New Roman" w:hAnsi="Times New Roman" w:cs="Times New Roman"/>
                <w:color w:val="FF0000"/>
                <w:highlight w:val="none"/>
              </w:rPr>
              <w:t>下风向预测浓度</w:t>
            </w:r>
          </w:p>
          <w:p w14:paraId="7B2F1AB7">
            <w:pPr>
              <w:pStyle w:val="48"/>
              <w:bidi w:val="0"/>
              <w:rPr>
                <w:rFonts w:hint="default" w:ascii="Times New Roman" w:hAnsi="Times New Roman" w:cs="Times New Roman"/>
                <w:color w:val="FF0000"/>
                <w:highlight w:val="none"/>
              </w:rPr>
            </w:pPr>
            <w:r>
              <w:rPr>
                <w:rFonts w:hint="default" w:ascii="Times New Roman" w:hAnsi="Times New Roman" w:cs="Times New Roman"/>
                <w:color w:val="FF0000"/>
                <w:highlight w:val="none"/>
              </w:rPr>
              <w:t>（</w:t>
            </w:r>
            <w:r>
              <w:rPr>
                <w:rFonts w:hint="eastAsia" w:ascii="Times New Roman" w:hAnsi="Times New Roman" w:cs="Times New Roman"/>
                <w:color w:val="FF0000"/>
                <w:highlight w:val="none"/>
                <w:lang w:val="en-US" w:eastAsia="zh-CN"/>
              </w:rPr>
              <w:t>m</w:t>
            </w:r>
            <w:r>
              <w:rPr>
                <w:rFonts w:hint="default" w:ascii="Times New Roman" w:hAnsi="Times New Roman" w:cs="Times New Roman"/>
                <w:color w:val="FF0000"/>
                <w:highlight w:val="none"/>
              </w:rPr>
              <w:t>g/m</w:t>
            </w:r>
            <w:r>
              <w:rPr>
                <w:rFonts w:hint="default" w:ascii="Times New Roman" w:hAnsi="Times New Roman" w:cs="Times New Roman"/>
                <w:color w:val="FF0000"/>
                <w:highlight w:val="none"/>
                <w:vertAlign w:val="superscript"/>
              </w:rPr>
              <w:t>3</w:t>
            </w:r>
            <w:r>
              <w:rPr>
                <w:rFonts w:hint="default" w:ascii="Times New Roman" w:hAnsi="Times New Roman" w:cs="Times New Roman"/>
                <w:color w:val="FF0000"/>
                <w:highlight w:val="none"/>
              </w:rPr>
              <w:t>）</w:t>
            </w:r>
          </w:p>
        </w:tc>
        <w:tc>
          <w:tcPr>
            <w:tcW w:w="1719" w:type="pct"/>
            <w:tcBorders>
              <w:tl2br w:val="nil"/>
              <w:tr2bl w:val="nil"/>
            </w:tcBorders>
            <w:shd w:val="clear" w:color="auto" w:fill="auto"/>
            <w:noWrap w:val="0"/>
            <w:vAlign w:val="top"/>
          </w:tcPr>
          <w:p w14:paraId="72262369">
            <w:pPr>
              <w:pStyle w:val="48"/>
              <w:bidi w:val="0"/>
              <w:rPr>
                <w:rFonts w:hint="default" w:ascii="Times New Roman" w:hAnsi="Times New Roman" w:cs="Times New Roman"/>
                <w:color w:val="FF0000"/>
                <w:highlight w:val="none"/>
              </w:rPr>
            </w:pPr>
            <w:r>
              <w:rPr>
                <w:rFonts w:hint="default" w:ascii="Times New Roman" w:hAnsi="Times New Roman" w:cs="Times New Roman"/>
                <w:color w:val="FF0000"/>
                <w:highlight w:val="none"/>
              </w:rPr>
              <w:t>浓度占标率</w:t>
            </w:r>
          </w:p>
          <w:p w14:paraId="7498D2EC">
            <w:pPr>
              <w:pStyle w:val="48"/>
              <w:bidi w:val="0"/>
              <w:rPr>
                <w:rFonts w:hint="default" w:ascii="Times New Roman" w:hAnsi="Times New Roman" w:cs="Times New Roman"/>
                <w:color w:val="FF0000"/>
                <w:highlight w:val="none"/>
              </w:rPr>
            </w:pPr>
            <w:r>
              <w:rPr>
                <w:rFonts w:hint="default" w:ascii="Times New Roman" w:hAnsi="Times New Roman" w:cs="Times New Roman"/>
                <w:color w:val="FF0000"/>
                <w:highlight w:val="none"/>
              </w:rPr>
              <w:t>（%）</w:t>
            </w:r>
          </w:p>
        </w:tc>
      </w:tr>
      <w:tr w14:paraId="294703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1" w:hRule="exact"/>
        </w:trPr>
        <w:tc>
          <w:tcPr>
            <w:tcW w:w="1562" w:type="pct"/>
            <w:tcBorders>
              <w:tl2br w:val="nil"/>
              <w:tr2bl w:val="nil"/>
            </w:tcBorders>
            <w:shd w:val="clear" w:color="auto" w:fill="auto"/>
            <w:noWrap w:val="0"/>
            <w:vAlign w:val="center"/>
          </w:tcPr>
          <w:p w14:paraId="7E9180A9">
            <w:pPr>
              <w:pStyle w:val="42"/>
              <w:bidi w:val="0"/>
              <w:rPr>
                <w:rFonts w:hint="default"/>
                <w:color w:val="00B050"/>
                <w:highlight w:val="none"/>
              </w:rPr>
            </w:pPr>
            <w:r>
              <w:rPr>
                <w:rFonts w:hint="eastAsia"/>
                <w:color w:val="00B050"/>
                <w:highlight w:val="none"/>
                <w:lang w:val="en-US" w:eastAsia="zh-CN"/>
              </w:rPr>
              <w:t>10</w:t>
            </w:r>
          </w:p>
        </w:tc>
        <w:tc>
          <w:tcPr>
            <w:tcW w:w="1717" w:type="pct"/>
            <w:tcBorders>
              <w:tl2br w:val="nil"/>
              <w:tr2bl w:val="nil"/>
            </w:tcBorders>
            <w:shd w:val="clear" w:color="auto" w:fill="auto"/>
            <w:noWrap w:val="0"/>
            <w:vAlign w:val="center"/>
          </w:tcPr>
          <w:p w14:paraId="6FA676A6">
            <w:pPr>
              <w:pStyle w:val="42"/>
              <w:bidi w:val="0"/>
              <w:rPr>
                <w:rFonts w:hint="default"/>
                <w:color w:val="FF0000"/>
                <w:highlight w:val="none"/>
              </w:rPr>
            </w:pPr>
            <w:r>
              <w:rPr>
                <w:rFonts w:hint="eastAsia"/>
                <w:color w:val="FF0000"/>
                <w:highlight w:val="none"/>
                <w:lang w:val="en-US" w:eastAsia="zh-CN"/>
              </w:rPr>
              <w:t>0</w:t>
            </w:r>
          </w:p>
        </w:tc>
        <w:tc>
          <w:tcPr>
            <w:tcW w:w="1719" w:type="pct"/>
            <w:tcBorders>
              <w:tl2br w:val="nil"/>
              <w:tr2bl w:val="nil"/>
            </w:tcBorders>
            <w:shd w:val="clear" w:color="auto" w:fill="auto"/>
            <w:noWrap w:val="0"/>
            <w:vAlign w:val="center"/>
          </w:tcPr>
          <w:p w14:paraId="62427DEF">
            <w:pPr>
              <w:pStyle w:val="42"/>
              <w:bidi w:val="0"/>
              <w:rPr>
                <w:rFonts w:hint="default"/>
                <w:color w:val="FF0000"/>
                <w:highlight w:val="none"/>
              </w:rPr>
            </w:pPr>
            <w:r>
              <w:rPr>
                <w:rFonts w:hint="eastAsia"/>
                <w:color w:val="FF0000"/>
                <w:highlight w:val="none"/>
                <w:lang w:val="en-US" w:eastAsia="zh-CN"/>
              </w:rPr>
              <w:t>0</w:t>
            </w:r>
          </w:p>
        </w:tc>
      </w:tr>
      <w:tr w14:paraId="319010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1" w:hRule="exact"/>
        </w:trPr>
        <w:tc>
          <w:tcPr>
            <w:tcW w:w="1562" w:type="pct"/>
            <w:tcBorders>
              <w:tl2br w:val="nil"/>
              <w:tr2bl w:val="nil"/>
            </w:tcBorders>
            <w:shd w:val="clear" w:color="auto" w:fill="auto"/>
            <w:noWrap w:val="0"/>
            <w:vAlign w:val="center"/>
          </w:tcPr>
          <w:p w14:paraId="6A1F14F5">
            <w:pPr>
              <w:pStyle w:val="42"/>
              <w:bidi w:val="0"/>
              <w:rPr>
                <w:rFonts w:hint="default"/>
                <w:color w:val="00B050"/>
                <w:highlight w:val="none"/>
              </w:rPr>
            </w:pPr>
            <w:r>
              <w:rPr>
                <w:rFonts w:hint="eastAsia"/>
                <w:color w:val="00B050"/>
                <w:highlight w:val="none"/>
                <w:lang w:val="en-US" w:eastAsia="zh-CN"/>
              </w:rPr>
              <w:t>25</w:t>
            </w:r>
          </w:p>
        </w:tc>
        <w:tc>
          <w:tcPr>
            <w:tcW w:w="1717" w:type="pct"/>
            <w:tcBorders>
              <w:tl2br w:val="nil"/>
              <w:tr2bl w:val="nil"/>
            </w:tcBorders>
            <w:shd w:val="clear" w:color="auto" w:fill="auto"/>
            <w:noWrap w:val="0"/>
            <w:vAlign w:val="center"/>
          </w:tcPr>
          <w:p w14:paraId="6040716E">
            <w:pPr>
              <w:pStyle w:val="42"/>
              <w:bidi w:val="0"/>
              <w:rPr>
                <w:rFonts w:hint="default"/>
                <w:color w:val="FF0000"/>
                <w:highlight w:val="none"/>
              </w:rPr>
            </w:pPr>
            <w:r>
              <w:rPr>
                <w:rFonts w:hint="eastAsia"/>
                <w:color w:val="FF0000"/>
                <w:highlight w:val="none"/>
                <w:lang w:val="en-US" w:eastAsia="zh-CN"/>
              </w:rPr>
              <w:t>0.03</w:t>
            </w:r>
          </w:p>
        </w:tc>
        <w:tc>
          <w:tcPr>
            <w:tcW w:w="1719" w:type="pct"/>
            <w:tcBorders>
              <w:tl2br w:val="nil"/>
              <w:tr2bl w:val="nil"/>
            </w:tcBorders>
            <w:shd w:val="clear" w:color="auto" w:fill="auto"/>
            <w:noWrap w:val="0"/>
            <w:vAlign w:val="center"/>
          </w:tcPr>
          <w:p w14:paraId="3BB0C241">
            <w:pPr>
              <w:pStyle w:val="42"/>
              <w:bidi w:val="0"/>
              <w:rPr>
                <w:rFonts w:hint="default"/>
                <w:color w:val="FF0000"/>
                <w:highlight w:val="none"/>
              </w:rPr>
            </w:pPr>
            <w:r>
              <w:rPr>
                <w:rFonts w:hint="eastAsia"/>
                <w:color w:val="FF0000"/>
                <w:highlight w:val="none"/>
                <w:lang w:val="en-US" w:eastAsia="zh-CN"/>
              </w:rPr>
              <w:t>0.0003</w:t>
            </w:r>
          </w:p>
        </w:tc>
      </w:tr>
      <w:tr w14:paraId="301DFA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71" w:hRule="exact"/>
        </w:trPr>
        <w:tc>
          <w:tcPr>
            <w:tcW w:w="1562" w:type="pct"/>
            <w:tcBorders>
              <w:tl2br w:val="nil"/>
              <w:tr2bl w:val="nil"/>
            </w:tcBorders>
            <w:shd w:val="clear" w:color="auto" w:fill="auto"/>
            <w:noWrap w:val="0"/>
            <w:vAlign w:val="center"/>
          </w:tcPr>
          <w:p w14:paraId="10EA4302">
            <w:pPr>
              <w:pStyle w:val="42"/>
              <w:bidi w:val="0"/>
              <w:rPr>
                <w:rFonts w:hint="default"/>
                <w:color w:val="00B050"/>
                <w:highlight w:val="none"/>
              </w:rPr>
            </w:pPr>
            <w:r>
              <w:rPr>
                <w:rFonts w:hint="eastAsia"/>
                <w:color w:val="00B050"/>
                <w:highlight w:val="none"/>
                <w:lang w:val="en-US" w:eastAsia="zh-CN"/>
              </w:rPr>
              <w:t>50</w:t>
            </w:r>
          </w:p>
        </w:tc>
        <w:tc>
          <w:tcPr>
            <w:tcW w:w="1717" w:type="pct"/>
            <w:tcBorders>
              <w:tl2br w:val="nil"/>
              <w:tr2bl w:val="nil"/>
            </w:tcBorders>
            <w:shd w:val="clear" w:color="auto" w:fill="auto"/>
            <w:noWrap w:val="0"/>
            <w:vAlign w:val="center"/>
          </w:tcPr>
          <w:p w14:paraId="75334FFB">
            <w:pPr>
              <w:pStyle w:val="42"/>
              <w:bidi w:val="0"/>
              <w:rPr>
                <w:rFonts w:hint="default"/>
                <w:color w:val="FF0000"/>
                <w:highlight w:val="none"/>
              </w:rPr>
            </w:pPr>
            <w:r>
              <w:rPr>
                <w:rFonts w:hint="eastAsia"/>
                <w:color w:val="FF0000"/>
                <w:highlight w:val="none"/>
                <w:lang w:val="en-US" w:eastAsia="zh-CN"/>
              </w:rPr>
              <w:t>0.08</w:t>
            </w:r>
          </w:p>
        </w:tc>
        <w:tc>
          <w:tcPr>
            <w:tcW w:w="1719" w:type="pct"/>
            <w:tcBorders>
              <w:tl2br w:val="nil"/>
              <w:tr2bl w:val="nil"/>
            </w:tcBorders>
            <w:shd w:val="clear" w:color="auto" w:fill="auto"/>
            <w:noWrap w:val="0"/>
            <w:vAlign w:val="center"/>
          </w:tcPr>
          <w:p w14:paraId="2AA91556">
            <w:pPr>
              <w:pStyle w:val="42"/>
              <w:bidi w:val="0"/>
              <w:rPr>
                <w:rFonts w:hint="default"/>
                <w:color w:val="FF0000"/>
                <w:highlight w:val="none"/>
              </w:rPr>
            </w:pPr>
            <w:r>
              <w:rPr>
                <w:rFonts w:hint="eastAsia"/>
                <w:color w:val="FF0000"/>
                <w:highlight w:val="none"/>
                <w:lang w:val="en-US" w:eastAsia="zh-CN"/>
              </w:rPr>
              <w:t>0.0007</w:t>
            </w:r>
          </w:p>
        </w:tc>
      </w:tr>
      <w:tr w14:paraId="628E12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exact"/>
        </w:trPr>
        <w:tc>
          <w:tcPr>
            <w:tcW w:w="1562" w:type="pct"/>
            <w:tcBorders>
              <w:tl2br w:val="nil"/>
              <w:tr2bl w:val="nil"/>
            </w:tcBorders>
            <w:shd w:val="clear" w:color="auto" w:fill="auto"/>
            <w:noWrap w:val="0"/>
            <w:vAlign w:val="center"/>
          </w:tcPr>
          <w:p w14:paraId="6C98156E">
            <w:pPr>
              <w:pStyle w:val="42"/>
              <w:bidi w:val="0"/>
              <w:rPr>
                <w:rFonts w:hint="default"/>
                <w:color w:val="00B050"/>
                <w:highlight w:val="none"/>
              </w:rPr>
            </w:pPr>
            <w:r>
              <w:rPr>
                <w:rFonts w:hint="eastAsia"/>
                <w:color w:val="00B050"/>
                <w:highlight w:val="none"/>
                <w:lang w:val="en-US" w:eastAsia="zh-CN"/>
              </w:rPr>
              <w:t>75</w:t>
            </w:r>
          </w:p>
        </w:tc>
        <w:tc>
          <w:tcPr>
            <w:tcW w:w="1717" w:type="pct"/>
            <w:tcBorders>
              <w:tl2br w:val="nil"/>
              <w:tr2bl w:val="nil"/>
            </w:tcBorders>
            <w:shd w:val="clear" w:color="auto" w:fill="auto"/>
            <w:noWrap w:val="0"/>
            <w:vAlign w:val="center"/>
          </w:tcPr>
          <w:p w14:paraId="2F3CFE6F">
            <w:pPr>
              <w:pStyle w:val="42"/>
              <w:bidi w:val="0"/>
              <w:rPr>
                <w:rFonts w:hint="default"/>
                <w:color w:val="FF0000"/>
                <w:highlight w:val="none"/>
              </w:rPr>
            </w:pPr>
            <w:r>
              <w:rPr>
                <w:rFonts w:hint="eastAsia"/>
                <w:color w:val="FF0000"/>
                <w:highlight w:val="none"/>
                <w:lang w:val="en-US" w:eastAsia="zh-CN"/>
              </w:rPr>
              <w:t>0.11</w:t>
            </w:r>
          </w:p>
        </w:tc>
        <w:tc>
          <w:tcPr>
            <w:tcW w:w="1719" w:type="pct"/>
            <w:tcBorders>
              <w:tl2br w:val="nil"/>
              <w:tr2bl w:val="nil"/>
            </w:tcBorders>
            <w:shd w:val="clear" w:color="auto" w:fill="auto"/>
            <w:noWrap w:val="0"/>
            <w:vAlign w:val="center"/>
          </w:tcPr>
          <w:p w14:paraId="6F16B12B">
            <w:pPr>
              <w:pStyle w:val="42"/>
              <w:bidi w:val="0"/>
              <w:rPr>
                <w:rFonts w:hint="default"/>
                <w:color w:val="FF0000"/>
                <w:highlight w:val="none"/>
              </w:rPr>
            </w:pPr>
            <w:r>
              <w:rPr>
                <w:rFonts w:hint="eastAsia"/>
                <w:color w:val="FF0000"/>
                <w:highlight w:val="none"/>
                <w:lang w:val="en-US" w:eastAsia="zh-CN"/>
              </w:rPr>
              <w:t>0.001</w:t>
            </w:r>
          </w:p>
        </w:tc>
      </w:tr>
      <w:tr w14:paraId="068DB4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exact"/>
        </w:trPr>
        <w:tc>
          <w:tcPr>
            <w:tcW w:w="1562" w:type="pct"/>
            <w:tcBorders>
              <w:tl2br w:val="nil"/>
              <w:tr2bl w:val="nil"/>
            </w:tcBorders>
            <w:shd w:val="clear" w:color="auto" w:fill="auto"/>
            <w:noWrap w:val="0"/>
            <w:vAlign w:val="center"/>
          </w:tcPr>
          <w:p w14:paraId="5054F694">
            <w:pPr>
              <w:pStyle w:val="42"/>
              <w:bidi w:val="0"/>
              <w:rPr>
                <w:rFonts w:hint="default"/>
                <w:color w:val="00B050"/>
                <w:highlight w:val="none"/>
              </w:rPr>
            </w:pPr>
            <w:r>
              <w:rPr>
                <w:rFonts w:hint="eastAsia"/>
                <w:color w:val="00B050"/>
                <w:highlight w:val="none"/>
                <w:lang w:val="en-US" w:eastAsia="zh-CN"/>
              </w:rPr>
              <w:t>100</w:t>
            </w:r>
          </w:p>
        </w:tc>
        <w:tc>
          <w:tcPr>
            <w:tcW w:w="1717" w:type="pct"/>
            <w:tcBorders>
              <w:tl2br w:val="nil"/>
              <w:tr2bl w:val="nil"/>
            </w:tcBorders>
            <w:shd w:val="clear" w:color="auto" w:fill="auto"/>
            <w:noWrap w:val="0"/>
            <w:vAlign w:val="center"/>
          </w:tcPr>
          <w:p w14:paraId="4C0D75F0">
            <w:pPr>
              <w:pStyle w:val="42"/>
              <w:bidi w:val="0"/>
              <w:rPr>
                <w:rFonts w:hint="default"/>
                <w:color w:val="FF0000"/>
                <w:highlight w:val="none"/>
              </w:rPr>
            </w:pPr>
            <w:r>
              <w:rPr>
                <w:rFonts w:hint="eastAsia"/>
                <w:color w:val="FF0000"/>
                <w:highlight w:val="none"/>
                <w:lang w:val="en-US" w:eastAsia="zh-CN"/>
              </w:rPr>
              <w:t>0.15</w:t>
            </w:r>
          </w:p>
        </w:tc>
        <w:tc>
          <w:tcPr>
            <w:tcW w:w="1719" w:type="pct"/>
            <w:tcBorders>
              <w:tl2br w:val="nil"/>
              <w:tr2bl w:val="nil"/>
            </w:tcBorders>
            <w:shd w:val="clear" w:color="auto" w:fill="auto"/>
            <w:noWrap w:val="0"/>
            <w:vAlign w:val="center"/>
          </w:tcPr>
          <w:p w14:paraId="199CE6A9">
            <w:pPr>
              <w:pStyle w:val="42"/>
              <w:bidi w:val="0"/>
              <w:rPr>
                <w:rFonts w:hint="default"/>
                <w:color w:val="FF0000"/>
                <w:highlight w:val="none"/>
              </w:rPr>
            </w:pPr>
            <w:r>
              <w:rPr>
                <w:rFonts w:hint="eastAsia"/>
                <w:color w:val="FF0000"/>
                <w:highlight w:val="none"/>
                <w:lang w:val="en-US" w:eastAsia="zh-CN"/>
              </w:rPr>
              <w:t>0.0014</w:t>
            </w:r>
          </w:p>
        </w:tc>
      </w:tr>
      <w:tr w14:paraId="0B48BA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exact"/>
        </w:trPr>
        <w:tc>
          <w:tcPr>
            <w:tcW w:w="1562" w:type="pct"/>
            <w:tcBorders>
              <w:tl2br w:val="nil"/>
              <w:tr2bl w:val="nil"/>
            </w:tcBorders>
            <w:shd w:val="clear" w:color="auto" w:fill="auto"/>
            <w:noWrap w:val="0"/>
            <w:vAlign w:val="center"/>
          </w:tcPr>
          <w:p w14:paraId="22BAEF53">
            <w:pPr>
              <w:pStyle w:val="42"/>
              <w:bidi w:val="0"/>
              <w:rPr>
                <w:rFonts w:hint="default"/>
                <w:color w:val="00B050"/>
                <w:highlight w:val="none"/>
              </w:rPr>
            </w:pPr>
            <w:r>
              <w:rPr>
                <w:rFonts w:hint="eastAsia"/>
                <w:color w:val="00B050"/>
                <w:highlight w:val="none"/>
                <w:lang w:val="en-US" w:eastAsia="zh-CN"/>
              </w:rPr>
              <w:t>125</w:t>
            </w:r>
          </w:p>
        </w:tc>
        <w:tc>
          <w:tcPr>
            <w:tcW w:w="1717" w:type="pct"/>
            <w:tcBorders>
              <w:tl2br w:val="nil"/>
              <w:tr2bl w:val="nil"/>
            </w:tcBorders>
            <w:shd w:val="clear" w:color="auto" w:fill="auto"/>
            <w:noWrap w:val="0"/>
            <w:vAlign w:val="center"/>
          </w:tcPr>
          <w:p w14:paraId="54A6A05F">
            <w:pPr>
              <w:pStyle w:val="42"/>
              <w:bidi w:val="0"/>
              <w:rPr>
                <w:rFonts w:hint="default"/>
                <w:color w:val="FF0000"/>
                <w:highlight w:val="none"/>
              </w:rPr>
            </w:pPr>
            <w:r>
              <w:rPr>
                <w:rFonts w:hint="eastAsia"/>
                <w:color w:val="FF0000"/>
                <w:highlight w:val="none"/>
                <w:lang w:val="en-US" w:eastAsia="zh-CN"/>
              </w:rPr>
              <w:t>0.16</w:t>
            </w:r>
          </w:p>
        </w:tc>
        <w:tc>
          <w:tcPr>
            <w:tcW w:w="1719" w:type="pct"/>
            <w:tcBorders>
              <w:tl2br w:val="nil"/>
              <w:tr2bl w:val="nil"/>
            </w:tcBorders>
            <w:shd w:val="clear" w:color="auto" w:fill="auto"/>
            <w:noWrap w:val="0"/>
            <w:vAlign w:val="center"/>
          </w:tcPr>
          <w:p w14:paraId="17CB85DA">
            <w:pPr>
              <w:pStyle w:val="42"/>
              <w:bidi w:val="0"/>
              <w:rPr>
                <w:rFonts w:hint="default"/>
                <w:color w:val="FF0000"/>
                <w:highlight w:val="none"/>
              </w:rPr>
            </w:pPr>
            <w:r>
              <w:rPr>
                <w:rFonts w:hint="eastAsia"/>
                <w:color w:val="FF0000"/>
                <w:highlight w:val="none"/>
                <w:lang w:val="en-US" w:eastAsia="zh-CN"/>
              </w:rPr>
              <w:t>0.0015</w:t>
            </w:r>
          </w:p>
        </w:tc>
      </w:tr>
      <w:tr w14:paraId="690B9E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exact"/>
        </w:trPr>
        <w:tc>
          <w:tcPr>
            <w:tcW w:w="1562" w:type="pct"/>
            <w:tcBorders>
              <w:tl2br w:val="nil"/>
              <w:tr2bl w:val="nil"/>
            </w:tcBorders>
            <w:shd w:val="clear" w:color="auto" w:fill="auto"/>
            <w:noWrap w:val="0"/>
            <w:vAlign w:val="center"/>
          </w:tcPr>
          <w:p w14:paraId="78358B25">
            <w:pPr>
              <w:pStyle w:val="42"/>
              <w:bidi w:val="0"/>
              <w:rPr>
                <w:rFonts w:hint="default"/>
                <w:color w:val="00B050"/>
                <w:highlight w:val="none"/>
              </w:rPr>
            </w:pPr>
            <w:r>
              <w:rPr>
                <w:rFonts w:hint="eastAsia"/>
                <w:color w:val="00B050"/>
                <w:highlight w:val="none"/>
                <w:lang w:val="en-US" w:eastAsia="zh-CN"/>
              </w:rPr>
              <w:t>150</w:t>
            </w:r>
          </w:p>
        </w:tc>
        <w:tc>
          <w:tcPr>
            <w:tcW w:w="1717" w:type="pct"/>
            <w:tcBorders>
              <w:tl2br w:val="nil"/>
              <w:tr2bl w:val="nil"/>
            </w:tcBorders>
            <w:shd w:val="clear" w:color="auto" w:fill="auto"/>
            <w:noWrap w:val="0"/>
            <w:vAlign w:val="center"/>
          </w:tcPr>
          <w:p w14:paraId="64BBB575">
            <w:pPr>
              <w:pStyle w:val="42"/>
              <w:bidi w:val="0"/>
              <w:rPr>
                <w:rFonts w:hint="default"/>
                <w:color w:val="FF0000"/>
                <w:highlight w:val="none"/>
              </w:rPr>
            </w:pPr>
            <w:r>
              <w:rPr>
                <w:rFonts w:hint="eastAsia"/>
                <w:color w:val="FF0000"/>
                <w:highlight w:val="none"/>
                <w:lang w:val="en-US" w:eastAsia="zh-CN"/>
              </w:rPr>
              <w:t>0.2</w:t>
            </w:r>
          </w:p>
        </w:tc>
        <w:tc>
          <w:tcPr>
            <w:tcW w:w="1719" w:type="pct"/>
            <w:tcBorders>
              <w:tl2br w:val="nil"/>
              <w:tr2bl w:val="nil"/>
            </w:tcBorders>
            <w:shd w:val="clear" w:color="auto" w:fill="auto"/>
            <w:noWrap w:val="0"/>
            <w:vAlign w:val="center"/>
          </w:tcPr>
          <w:p w14:paraId="1DFFC7A3">
            <w:pPr>
              <w:pStyle w:val="42"/>
              <w:bidi w:val="0"/>
              <w:rPr>
                <w:rFonts w:hint="default"/>
                <w:color w:val="FF0000"/>
                <w:highlight w:val="none"/>
              </w:rPr>
            </w:pPr>
            <w:r>
              <w:rPr>
                <w:rFonts w:hint="eastAsia"/>
                <w:color w:val="FF0000"/>
                <w:highlight w:val="none"/>
                <w:lang w:val="en-US" w:eastAsia="zh-CN"/>
              </w:rPr>
              <w:t>0.0018</w:t>
            </w:r>
          </w:p>
        </w:tc>
      </w:tr>
      <w:tr w14:paraId="075932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exact"/>
        </w:trPr>
        <w:tc>
          <w:tcPr>
            <w:tcW w:w="1562" w:type="pct"/>
            <w:tcBorders>
              <w:tl2br w:val="nil"/>
              <w:tr2bl w:val="nil"/>
            </w:tcBorders>
            <w:shd w:val="clear" w:color="auto" w:fill="auto"/>
            <w:noWrap w:val="0"/>
            <w:vAlign w:val="center"/>
          </w:tcPr>
          <w:p w14:paraId="3B511733">
            <w:pPr>
              <w:pStyle w:val="42"/>
              <w:bidi w:val="0"/>
              <w:rPr>
                <w:rFonts w:hint="default"/>
                <w:color w:val="00B050"/>
                <w:highlight w:val="none"/>
              </w:rPr>
            </w:pPr>
            <w:r>
              <w:rPr>
                <w:rFonts w:hint="eastAsia"/>
                <w:color w:val="00B050"/>
                <w:highlight w:val="none"/>
                <w:lang w:val="en-US" w:eastAsia="zh-CN"/>
              </w:rPr>
              <w:t>175</w:t>
            </w:r>
          </w:p>
        </w:tc>
        <w:tc>
          <w:tcPr>
            <w:tcW w:w="1717" w:type="pct"/>
            <w:tcBorders>
              <w:tl2br w:val="nil"/>
              <w:tr2bl w:val="nil"/>
            </w:tcBorders>
            <w:shd w:val="clear" w:color="auto" w:fill="auto"/>
            <w:noWrap w:val="0"/>
            <w:vAlign w:val="center"/>
          </w:tcPr>
          <w:p w14:paraId="73EED3FD">
            <w:pPr>
              <w:pStyle w:val="42"/>
              <w:bidi w:val="0"/>
              <w:rPr>
                <w:rFonts w:hint="default"/>
                <w:color w:val="FF0000"/>
                <w:highlight w:val="none"/>
              </w:rPr>
            </w:pPr>
            <w:r>
              <w:rPr>
                <w:rFonts w:hint="eastAsia"/>
                <w:color w:val="FF0000"/>
                <w:highlight w:val="none"/>
                <w:lang w:val="en-US" w:eastAsia="zh-CN"/>
              </w:rPr>
              <w:t>0.29</w:t>
            </w:r>
          </w:p>
        </w:tc>
        <w:tc>
          <w:tcPr>
            <w:tcW w:w="1719" w:type="pct"/>
            <w:tcBorders>
              <w:tl2br w:val="nil"/>
              <w:tr2bl w:val="nil"/>
            </w:tcBorders>
            <w:shd w:val="clear" w:color="auto" w:fill="auto"/>
            <w:noWrap w:val="0"/>
            <w:vAlign w:val="center"/>
          </w:tcPr>
          <w:p w14:paraId="5C35DC0A">
            <w:pPr>
              <w:pStyle w:val="42"/>
              <w:bidi w:val="0"/>
              <w:rPr>
                <w:rFonts w:hint="default"/>
                <w:color w:val="FF0000"/>
                <w:highlight w:val="none"/>
              </w:rPr>
            </w:pPr>
            <w:r>
              <w:rPr>
                <w:rFonts w:hint="eastAsia"/>
                <w:color w:val="FF0000"/>
                <w:highlight w:val="none"/>
                <w:lang w:val="en-US" w:eastAsia="zh-CN"/>
              </w:rPr>
              <w:t>0.0026</w:t>
            </w:r>
          </w:p>
        </w:tc>
      </w:tr>
      <w:tr w14:paraId="190A12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exact"/>
        </w:trPr>
        <w:tc>
          <w:tcPr>
            <w:tcW w:w="1562" w:type="pct"/>
            <w:tcBorders>
              <w:tl2br w:val="nil"/>
              <w:tr2bl w:val="nil"/>
            </w:tcBorders>
            <w:shd w:val="clear" w:color="auto" w:fill="auto"/>
            <w:noWrap w:val="0"/>
            <w:vAlign w:val="center"/>
          </w:tcPr>
          <w:p w14:paraId="5B5FDCA5">
            <w:pPr>
              <w:pStyle w:val="42"/>
              <w:bidi w:val="0"/>
              <w:rPr>
                <w:rFonts w:hint="default"/>
                <w:color w:val="00B050"/>
                <w:highlight w:val="none"/>
              </w:rPr>
            </w:pPr>
            <w:r>
              <w:rPr>
                <w:rFonts w:hint="eastAsia"/>
                <w:color w:val="00B050"/>
                <w:highlight w:val="none"/>
                <w:lang w:val="en-US" w:eastAsia="zh-CN"/>
              </w:rPr>
              <w:t>200</w:t>
            </w:r>
          </w:p>
        </w:tc>
        <w:tc>
          <w:tcPr>
            <w:tcW w:w="1717" w:type="pct"/>
            <w:tcBorders>
              <w:tl2br w:val="nil"/>
              <w:tr2bl w:val="nil"/>
            </w:tcBorders>
            <w:shd w:val="clear" w:color="auto" w:fill="auto"/>
            <w:noWrap w:val="0"/>
            <w:vAlign w:val="center"/>
          </w:tcPr>
          <w:p w14:paraId="100D88C9">
            <w:pPr>
              <w:pStyle w:val="42"/>
              <w:bidi w:val="0"/>
              <w:rPr>
                <w:rFonts w:hint="default"/>
                <w:color w:val="FF0000"/>
                <w:highlight w:val="none"/>
              </w:rPr>
            </w:pPr>
            <w:r>
              <w:rPr>
                <w:rFonts w:hint="eastAsia"/>
                <w:color w:val="FF0000"/>
                <w:highlight w:val="none"/>
                <w:lang w:val="en-US" w:eastAsia="zh-CN"/>
              </w:rPr>
              <w:t>0.32</w:t>
            </w:r>
          </w:p>
        </w:tc>
        <w:tc>
          <w:tcPr>
            <w:tcW w:w="1719" w:type="pct"/>
            <w:tcBorders>
              <w:tl2br w:val="nil"/>
              <w:tr2bl w:val="nil"/>
            </w:tcBorders>
            <w:shd w:val="clear" w:color="auto" w:fill="auto"/>
            <w:noWrap w:val="0"/>
            <w:vAlign w:val="center"/>
          </w:tcPr>
          <w:p w14:paraId="1DD3C51E">
            <w:pPr>
              <w:pStyle w:val="42"/>
              <w:bidi w:val="0"/>
              <w:rPr>
                <w:rFonts w:hint="default"/>
                <w:color w:val="FF0000"/>
                <w:highlight w:val="none"/>
              </w:rPr>
            </w:pPr>
            <w:r>
              <w:rPr>
                <w:rFonts w:hint="eastAsia"/>
                <w:color w:val="FF0000"/>
                <w:highlight w:val="none"/>
                <w:lang w:val="en-US" w:eastAsia="zh-CN"/>
              </w:rPr>
              <w:t>0.0029</w:t>
            </w:r>
          </w:p>
        </w:tc>
      </w:tr>
      <w:tr w14:paraId="1AA293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exact"/>
        </w:trPr>
        <w:tc>
          <w:tcPr>
            <w:tcW w:w="1562" w:type="pct"/>
            <w:tcBorders>
              <w:tl2br w:val="nil"/>
              <w:tr2bl w:val="nil"/>
            </w:tcBorders>
            <w:shd w:val="clear" w:color="auto" w:fill="auto"/>
            <w:noWrap w:val="0"/>
            <w:vAlign w:val="center"/>
          </w:tcPr>
          <w:p w14:paraId="00DE6E5A">
            <w:pPr>
              <w:pStyle w:val="42"/>
              <w:bidi w:val="0"/>
              <w:rPr>
                <w:rFonts w:hint="default"/>
                <w:color w:val="00B050"/>
                <w:highlight w:val="none"/>
              </w:rPr>
            </w:pPr>
            <w:r>
              <w:rPr>
                <w:rFonts w:hint="eastAsia"/>
                <w:color w:val="00B050"/>
                <w:highlight w:val="none"/>
                <w:lang w:val="en-US" w:eastAsia="zh-CN"/>
              </w:rPr>
              <w:t>224</w:t>
            </w:r>
          </w:p>
        </w:tc>
        <w:tc>
          <w:tcPr>
            <w:tcW w:w="1717" w:type="pct"/>
            <w:tcBorders>
              <w:tl2br w:val="nil"/>
              <w:tr2bl w:val="nil"/>
            </w:tcBorders>
            <w:shd w:val="clear" w:color="auto" w:fill="auto"/>
            <w:noWrap w:val="0"/>
            <w:vAlign w:val="center"/>
          </w:tcPr>
          <w:p w14:paraId="5BBBC724">
            <w:pPr>
              <w:pStyle w:val="42"/>
              <w:bidi w:val="0"/>
              <w:rPr>
                <w:rFonts w:hint="default"/>
                <w:color w:val="FF0000"/>
                <w:highlight w:val="none"/>
              </w:rPr>
            </w:pPr>
            <w:r>
              <w:rPr>
                <w:rFonts w:hint="eastAsia"/>
                <w:color w:val="FF0000"/>
                <w:highlight w:val="none"/>
                <w:lang w:val="en-US" w:eastAsia="zh-CN"/>
              </w:rPr>
              <w:t>0.33</w:t>
            </w:r>
          </w:p>
        </w:tc>
        <w:tc>
          <w:tcPr>
            <w:tcW w:w="1719" w:type="pct"/>
            <w:tcBorders>
              <w:tl2br w:val="nil"/>
              <w:tr2bl w:val="nil"/>
            </w:tcBorders>
            <w:shd w:val="clear" w:color="auto" w:fill="auto"/>
            <w:noWrap w:val="0"/>
            <w:vAlign w:val="center"/>
          </w:tcPr>
          <w:p w14:paraId="5923E3B8">
            <w:pPr>
              <w:pStyle w:val="42"/>
              <w:bidi w:val="0"/>
              <w:rPr>
                <w:rFonts w:hint="default"/>
                <w:color w:val="FF0000"/>
                <w:highlight w:val="none"/>
              </w:rPr>
            </w:pPr>
            <w:r>
              <w:rPr>
                <w:rFonts w:hint="eastAsia"/>
                <w:color w:val="FF0000"/>
                <w:highlight w:val="none"/>
                <w:lang w:val="en-US" w:eastAsia="zh-CN"/>
              </w:rPr>
              <w:t>0.003</w:t>
            </w:r>
          </w:p>
        </w:tc>
      </w:tr>
      <w:tr w14:paraId="2F2F76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exact"/>
        </w:trPr>
        <w:tc>
          <w:tcPr>
            <w:tcW w:w="1562" w:type="pct"/>
            <w:tcBorders>
              <w:tl2br w:val="nil"/>
              <w:tr2bl w:val="nil"/>
            </w:tcBorders>
            <w:shd w:val="clear" w:color="auto" w:fill="auto"/>
            <w:noWrap w:val="0"/>
            <w:vAlign w:val="center"/>
          </w:tcPr>
          <w:p w14:paraId="73872AB2">
            <w:pPr>
              <w:pStyle w:val="42"/>
              <w:bidi w:val="0"/>
              <w:rPr>
                <w:rFonts w:hint="default"/>
                <w:color w:val="00B050"/>
                <w:highlight w:val="none"/>
              </w:rPr>
            </w:pPr>
            <w:r>
              <w:rPr>
                <w:rFonts w:hint="eastAsia"/>
                <w:color w:val="00B050"/>
                <w:highlight w:val="none"/>
                <w:lang w:val="en-US" w:eastAsia="zh-CN"/>
              </w:rPr>
              <w:t>225</w:t>
            </w:r>
          </w:p>
        </w:tc>
        <w:tc>
          <w:tcPr>
            <w:tcW w:w="1717" w:type="pct"/>
            <w:tcBorders>
              <w:tl2br w:val="nil"/>
              <w:tr2bl w:val="nil"/>
            </w:tcBorders>
            <w:shd w:val="clear" w:color="auto" w:fill="auto"/>
            <w:noWrap w:val="0"/>
            <w:vAlign w:val="center"/>
          </w:tcPr>
          <w:p w14:paraId="517A134A">
            <w:pPr>
              <w:pStyle w:val="42"/>
              <w:bidi w:val="0"/>
              <w:rPr>
                <w:rFonts w:hint="default"/>
                <w:color w:val="FF0000"/>
                <w:highlight w:val="none"/>
              </w:rPr>
            </w:pPr>
            <w:r>
              <w:rPr>
                <w:rFonts w:hint="eastAsia"/>
                <w:color w:val="FF0000"/>
                <w:highlight w:val="none"/>
                <w:lang w:val="en-US" w:eastAsia="zh-CN"/>
              </w:rPr>
              <w:t>0.33</w:t>
            </w:r>
          </w:p>
        </w:tc>
        <w:tc>
          <w:tcPr>
            <w:tcW w:w="1719" w:type="pct"/>
            <w:tcBorders>
              <w:tl2br w:val="nil"/>
              <w:tr2bl w:val="nil"/>
            </w:tcBorders>
            <w:shd w:val="clear" w:color="auto" w:fill="auto"/>
            <w:noWrap w:val="0"/>
            <w:vAlign w:val="center"/>
          </w:tcPr>
          <w:p w14:paraId="2E47E8D1">
            <w:pPr>
              <w:pStyle w:val="42"/>
              <w:bidi w:val="0"/>
              <w:rPr>
                <w:rFonts w:hint="default"/>
                <w:color w:val="FF0000"/>
                <w:highlight w:val="none"/>
              </w:rPr>
            </w:pPr>
            <w:r>
              <w:rPr>
                <w:rFonts w:hint="eastAsia"/>
                <w:color w:val="FF0000"/>
                <w:highlight w:val="none"/>
                <w:lang w:val="en-US" w:eastAsia="zh-CN"/>
              </w:rPr>
              <w:t>0.003</w:t>
            </w:r>
          </w:p>
        </w:tc>
      </w:tr>
      <w:tr w14:paraId="4D7E4C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exact"/>
        </w:trPr>
        <w:tc>
          <w:tcPr>
            <w:tcW w:w="1562" w:type="pct"/>
            <w:tcBorders>
              <w:tl2br w:val="nil"/>
              <w:tr2bl w:val="nil"/>
            </w:tcBorders>
            <w:shd w:val="clear" w:color="auto" w:fill="auto"/>
            <w:noWrap w:val="0"/>
            <w:vAlign w:val="center"/>
          </w:tcPr>
          <w:p w14:paraId="448310EA">
            <w:pPr>
              <w:pStyle w:val="42"/>
              <w:bidi w:val="0"/>
              <w:rPr>
                <w:rFonts w:hint="default"/>
                <w:color w:val="00B050"/>
                <w:highlight w:val="none"/>
              </w:rPr>
            </w:pPr>
            <w:r>
              <w:rPr>
                <w:rFonts w:hint="eastAsia"/>
                <w:color w:val="00B050"/>
                <w:highlight w:val="none"/>
                <w:lang w:val="en-US" w:eastAsia="zh-CN"/>
              </w:rPr>
              <w:t>250</w:t>
            </w:r>
          </w:p>
        </w:tc>
        <w:tc>
          <w:tcPr>
            <w:tcW w:w="1717" w:type="pct"/>
            <w:tcBorders>
              <w:tl2br w:val="nil"/>
              <w:tr2bl w:val="nil"/>
            </w:tcBorders>
            <w:shd w:val="clear" w:color="auto" w:fill="auto"/>
            <w:noWrap w:val="0"/>
            <w:vAlign w:val="center"/>
          </w:tcPr>
          <w:p w14:paraId="160070A5">
            <w:pPr>
              <w:pStyle w:val="42"/>
              <w:bidi w:val="0"/>
              <w:rPr>
                <w:rFonts w:hint="default"/>
                <w:color w:val="FF0000"/>
                <w:highlight w:val="none"/>
              </w:rPr>
            </w:pPr>
            <w:r>
              <w:rPr>
                <w:rFonts w:hint="eastAsia"/>
                <w:color w:val="FF0000"/>
                <w:highlight w:val="none"/>
                <w:lang w:val="en-US" w:eastAsia="zh-CN"/>
              </w:rPr>
              <w:t>0.32</w:t>
            </w:r>
          </w:p>
        </w:tc>
        <w:tc>
          <w:tcPr>
            <w:tcW w:w="1719" w:type="pct"/>
            <w:tcBorders>
              <w:tl2br w:val="nil"/>
              <w:tr2bl w:val="nil"/>
            </w:tcBorders>
            <w:shd w:val="clear" w:color="auto" w:fill="auto"/>
            <w:noWrap w:val="0"/>
            <w:vAlign w:val="center"/>
          </w:tcPr>
          <w:p w14:paraId="50EB361F">
            <w:pPr>
              <w:pStyle w:val="42"/>
              <w:bidi w:val="0"/>
              <w:rPr>
                <w:rFonts w:hint="default"/>
                <w:color w:val="FF0000"/>
                <w:highlight w:val="none"/>
              </w:rPr>
            </w:pPr>
            <w:r>
              <w:rPr>
                <w:rFonts w:hint="eastAsia"/>
                <w:color w:val="FF0000"/>
                <w:highlight w:val="none"/>
                <w:lang w:val="en-US" w:eastAsia="zh-CN"/>
              </w:rPr>
              <w:t>0.0029</w:t>
            </w:r>
          </w:p>
        </w:tc>
      </w:tr>
      <w:tr w14:paraId="3D977C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exact"/>
        </w:trPr>
        <w:tc>
          <w:tcPr>
            <w:tcW w:w="1562" w:type="pct"/>
            <w:tcBorders>
              <w:tl2br w:val="nil"/>
              <w:tr2bl w:val="nil"/>
            </w:tcBorders>
            <w:shd w:val="clear" w:color="auto" w:fill="auto"/>
            <w:noWrap w:val="0"/>
            <w:vAlign w:val="center"/>
          </w:tcPr>
          <w:p w14:paraId="35B74821">
            <w:pPr>
              <w:pStyle w:val="42"/>
              <w:bidi w:val="0"/>
              <w:rPr>
                <w:rFonts w:hint="default"/>
                <w:color w:val="00B050"/>
                <w:highlight w:val="none"/>
              </w:rPr>
            </w:pPr>
            <w:r>
              <w:rPr>
                <w:rFonts w:hint="eastAsia"/>
                <w:color w:val="00B050"/>
                <w:highlight w:val="none"/>
                <w:lang w:val="en-US" w:eastAsia="zh-CN"/>
              </w:rPr>
              <w:t>300</w:t>
            </w:r>
          </w:p>
        </w:tc>
        <w:tc>
          <w:tcPr>
            <w:tcW w:w="1717" w:type="pct"/>
            <w:tcBorders>
              <w:tl2br w:val="nil"/>
              <w:tr2bl w:val="nil"/>
            </w:tcBorders>
            <w:shd w:val="clear" w:color="auto" w:fill="auto"/>
            <w:noWrap w:val="0"/>
            <w:vAlign w:val="center"/>
          </w:tcPr>
          <w:p w14:paraId="37E08838">
            <w:pPr>
              <w:pStyle w:val="42"/>
              <w:bidi w:val="0"/>
              <w:rPr>
                <w:rFonts w:hint="default"/>
                <w:color w:val="FF0000"/>
                <w:highlight w:val="none"/>
              </w:rPr>
            </w:pPr>
            <w:r>
              <w:rPr>
                <w:rFonts w:hint="eastAsia"/>
                <w:color w:val="FF0000"/>
                <w:highlight w:val="none"/>
                <w:lang w:val="en-US" w:eastAsia="zh-CN"/>
              </w:rPr>
              <w:t>0.29</w:t>
            </w:r>
          </w:p>
        </w:tc>
        <w:tc>
          <w:tcPr>
            <w:tcW w:w="1719" w:type="pct"/>
            <w:tcBorders>
              <w:tl2br w:val="nil"/>
              <w:tr2bl w:val="nil"/>
            </w:tcBorders>
            <w:shd w:val="clear" w:color="auto" w:fill="auto"/>
            <w:noWrap w:val="0"/>
            <w:vAlign w:val="center"/>
          </w:tcPr>
          <w:p w14:paraId="1A9EAB0C">
            <w:pPr>
              <w:pStyle w:val="42"/>
              <w:bidi w:val="0"/>
              <w:rPr>
                <w:rFonts w:hint="default"/>
                <w:color w:val="FF0000"/>
                <w:highlight w:val="none"/>
              </w:rPr>
            </w:pPr>
            <w:r>
              <w:rPr>
                <w:rFonts w:hint="eastAsia"/>
                <w:color w:val="FF0000"/>
                <w:highlight w:val="none"/>
                <w:lang w:val="en-US" w:eastAsia="zh-CN"/>
              </w:rPr>
              <w:t>0.0026</w:t>
            </w:r>
          </w:p>
        </w:tc>
      </w:tr>
      <w:tr w14:paraId="29E4E4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exact"/>
        </w:trPr>
        <w:tc>
          <w:tcPr>
            <w:tcW w:w="1562" w:type="pct"/>
            <w:tcBorders>
              <w:tl2br w:val="nil"/>
              <w:tr2bl w:val="nil"/>
            </w:tcBorders>
            <w:shd w:val="clear" w:color="auto" w:fill="auto"/>
            <w:noWrap w:val="0"/>
            <w:vAlign w:val="center"/>
          </w:tcPr>
          <w:p w14:paraId="7221A14E">
            <w:pPr>
              <w:pStyle w:val="42"/>
              <w:bidi w:val="0"/>
              <w:rPr>
                <w:rFonts w:hint="default"/>
                <w:color w:val="00B050"/>
                <w:highlight w:val="none"/>
              </w:rPr>
            </w:pPr>
            <w:r>
              <w:rPr>
                <w:rFonts w:hint="eastAsia"/>
                <w:color w:val="00B050"/>
                <w:highlight w:val="none"/>
                <w:lang w:val="en-US" w:eastAsia="zh-CN"/>
              </w:rPr>
              <w:t>400</w:t>
            </w:r>
          </w:p>
        </w:tc>
        <w:tc>
          <w:tcPr>
            <w:tcW w:w="1717" w:type="pct"/>
            <w:tcBorders>
              <w:tl2br w:val="nil"/>
              <w:tr2bl w:val="nil"/>
            </w:tcBorders>
            <w:shd w:val="clear" w:color="auto" w:fill="auto"/>
            <w:noWrap w:val="0"/>
            <w:vAlign w:val="center"/>
          </w:tcPr>
          <w:p w14:paraId="00915951">
            <w:pPr>
              <w:pStyle w:val="42"/>
              <w:bidi w:val="0"/>
              <w:rPr>
                <w:rFonts w:hint="default"/>
                <w:color w:val="FF0000"/>
                <w:highlight w:val="none"/>
              </w:rPr>
            </w:pPr>
            <w:r>
              <w:rPr>
                <w:rFonts w:hint="eastAsia"/>
                <w:color w:val="FF0000"/>
                <w:highlight w:val="none"/>
                <w:lang w:val="en-US" w:eastAsia="zh-CN"/>
              </w:rPr>
              <w:t>0.28</w:t>
            </w:r>
          </w:p>
        </w:tc>
        <w:tc>
          <w:tcPr>
            <w:tcW w:w="1719" w:type="pct"/>
            <w:tcBorders>
              <w:tl2br w:val="nil"/>
              <w:tr2bl w:val="nil"/>
            </w:tcBorders>
            <w:shd w:val="clear" w:color="auto" w:fill="auto"/>
            <w:noWrap w:val="0"/>
            <w:vAlign w:val="center"/>
          </w:tcPr>
          <w:p w14:paraId="685D3E3A">
            <w:pPr>
              <w:pStyle w:val="42"/>
              <w:bidi w:val="0"/>
              <w:rPr>
                <w:rFonts w:hint="default"/>
                <w:color w:val="FF0000"/>
                <w:highlight w:val="none"/>
              </w:rPr>
            </w:pPr>
            <w:r>
              <w:rPr>
                <w:rFonts w:hint="eastAsia"/>
                <w:color w:val="FF0000"/>
                <w:highlight w:val="none"/>
                <w:lang w:val="en-US" w:eastAsia="zh-CN"/>
              </w:rPr>
              <w:t>0.0025</w:t>
            </w:r>
          </w:p>
        </w:tc>
      </w:tr>
      <w:tr w14:paraId="76CC59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exact"/>
        </w:trPr>
        <w:tc>
          <w:tcPr>
            <w:tcW w:w="1562" w:type="pct"/>
            <w:tcBorders>
              <w:tl2br w:val="nil"/>
              <w:tr2bl w:val="nil"/>
            </w:tcBorders>
            <w:shd w:val="clear" w:color="auto" w:fill="auto"/>
            <w:noWrap w:val="0"/>
            <w:vAlign w:val="center"/>
          </w:tcPr>
          <w:p w14:paraId="612123C5">
            <w:pPr>
              <w:pStyle w:val="42"/>
              <w:bidi w:val="0"/>
              <w:rPr>
                <w:rFonts w:hint="default"/>
                <w:color w:val="00B050"/>
                <w:highlight w:val="none"/>
              </w:rPr>
            </w:pPr>
            <w:r>
              <w:rPr>
                <w:rFonts w:hint="eastAsia"/>
                <w:color w:val="00B050"/>
                <w:highlight w:val="none"/>
                <w:lang w:val="en-US" w:eastAsia="zh-CN"/>
              </w:rPr>
              <w:t>500</w:t>
            </w:r>
          </w:p>
        </w:tc>
        <w:tc>
          <w:tcPr>
            <w:tcW w:w="1717" w:type="pct"/>
            <w:tcBorders>
              <w:tl2br w:val="nil"/>
              <w:tr2bl w:val="nil"/>
            </w:tcBorders>
            <w:shd w:val="clear" w:color="auto" w:fill="auto"/>
            <w:noWrap w:val="0"/>
            <w:vAlign w:val="center"/>
          </w:tcPr>
          <w:p w14:paraId="75C206A3">
            <w:pPr>
              <w:pStyle w:val="42"/>
              <w:bidi w:val="0"/>
              <w:rPr>
                <w:rFonts w:hint="default"/>
                <w:color w:val="FF0000"/>
                <w:highlight w:val="none"/>
              </w:rPr>
            </w:pPr>
            <w:r>
              <w:rPr>
                <w:rFonts w:hint="eastAsia"/>
                <w:color w:val="FF0000"/>
                <w:highlight w:val="none"/>
                <w:lang w:val="en-US" w:eastAsia="zh-CN"/>
              </w:rPr>
              <w:t>0.24</w:t>
            </w:r>
          </w:p>
        </w:tc>
        <w:tc>
          <w:tcPr>
            <w:tcW w:w="1719" w:type="pct"/>
            <w:tcBorders>
              <w:tl2br w:val="nil"/>
              <w:tr2bl w:val="nil"/>
            </w:tcBorders>
            <w:shd w:val="clear" w:color="auto" w:fill="auto"/>
            <w:noWrap w:val="0"/>
            <w:vAlign w:val="center"/>
          </w:tcPr>
          <w:p w14:paraId="31A78E22">
            <w:pPr>
              <w:pStyle w:val="42"/>
              <w:bidi w:val="0"/>
              <w:rPr>
                <w:rFonts w:hint="default"/>
                <w:color w:val="FF0000"/>
                <w:highlight w:val="none"/>
              </w:rPr>
            </w:pPr>
            <w:r>
              <w:rPr>
                <w:rFonts w:hint="eastAsia"/>
                <w:color w:val="FF0000"/>
                <w:highlight w:val="none"/>
                <w:lang w:val="en-US" w:eastAsia="zh-CN"/>
              </w:rPr>
              <w:t>0.0022</w:t>
            </w:r>
          </w:p>
        </w:tc>
      </w:tr>
      <w:tr w14:paraId="7F82B1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exact"/>
        </w:trPr>
        <w:tc>
          <w:tcPr>
            <w:tcW w:w="1562" w:type="pct"/>
            <w:tcBorders>
              <w:tl2br w:val="nil"/>
              <w:tr2bl w:val="nil"/>
            </w:tcBorders>
            <w:shd w:val="clear" w:color="auto" w:fill="auto"/>
            <w:noWrap w:val="0"/>
            <w:vAlign w:val="center"/>
          </w:tcPr>
          <w:p w14:paraId="670C35FA">
            <w:pPr>
              <w:pStyle w:val="42"/>
              <w:bidi w:val="0"/>
              <w:rPr>
                <w:rFonts w:hint="default"/>
                <w:color w:val="00B050"/>
                <w:highlight w:val="none"/>
              </w:rPr>
            </w:pPr>
            <w:r>
              <w:rPr>
                <w:rFonts w:hint="eastAsia"/>
                <w:color w:val="00B050"/>
                <w:highlight w:val="none"/>
                <w:lang w:val="en-US" w:eastAsia="zh-CN"/>
              </w:rPr>
              <w:t>600</w:t>
            </w:r>
          </w:p>
        </w:tc>
        <w:tc>
          <w:tcPr>
            <w:tcW w:w="1717" w:type="pct"/>
            <w:tcBorders>
              <w:tl2br w:val="nil"/>
              <w:tr2bl w:val="nil"/>
            </w:tcBorders>
            <w:shd w:val="clear" w:color="auto" w:fill="auto"/>
            <w:noWrap w:val="0"/>
            <w:vAlign w:val="center"/>
          </w:tcPr>
          <w:p w14:paraId="00B3FCB0">
            <w:pPr>
              <w:pStyle w:val="42"/>
              <w:bidi w:val="0"/>
              <w:rPr>
                <w:rFonts w:hint="default"/>
                <w:color w:val="FF0000"/>
                <w:highlight w:val="none"/>
              </w:rPr>
            </w:pPr>
            <w:r>
              <w:rPr>
                <w:rFonts w:hint="eastAsia"/>
                <w:color w:val="FF0000"/>
                <w:highlight w:val="none"/>
                <w:lang w:val="en-US" w:eastAsia="zh-CN"/>
              </w:rPr>
              <w:t>0.21</w:t>
            </w:r>
          </w:p>
        </w:tc>
        <w:tc>
          <w:tcPr>
            <w:tcW w:w="1719" w:type="pct"/>
            <w:tcBorders>
              <w:tl2br w:val="nil"/>
              <w:tr2bl w:val="nil"/>
            </w:tcBorders>
            <w:shd w:val="clear" w:color="auto" w:fill="auto"/>
            <w:noWrap w:val="0"/>
            <w:vAlign w:val="center"/>
          </w:tcPr>
          <w:p w14:paraId="2473A0F0">
            <w:pPr>
              <w:pStyle w:val="42"/>
              <w:bidi w:val="0"/>
              <w:rPr>
                <w:rFonts w:hint="default"/>
                <w:color w:val="FF0000"/>
                <w:highlight w:val="none"/>
              </w:rPr>
            </w:pPr>
            <w:r>
              <w:rPr>
                <w:rFonts w:hint="eastAsia"/>
                <w:color w:val="FF0000"/>
                <w:highlight w:val="none"/>
                <w:lang w:val="en-US" w:eastAsia="zh-CN"/>
              </w:rPr>
              <w:t>0.0019</w:t>
            </w:r>
          </w:p>
        </w:tc>
      </w:tr>
      <w:tr w14:paraId="7D29CD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7" w:hRule="exact"/>
        </w:trPr>
        <w:tc>
          <w:tcPr>
            <w:tcW w:w="1562" w:type="pct"/>
            <w:tcBorders>
              <w:tl2br w:val="nil"/>
              <w:tr2bl w:val="nil"/>
            </w:tcBorders>
            <w:shd w:val="clear" w:color="auto" w:fill="auto"/>
            <w:noWrap w:val="0"/>
            <w:vAlign w:val="center"/>
          </w:tcPr>
          <w:p w14:paraId="2497B614">
            <w:pPr>
              <w:pStyle w:val="42"/>
              <w:bidi w:val="0"/>
              <w:rPr>
                <w:rFonts w:hint="default"/>
                <w:color w:val="00B050"/>
                <w:highlight w:val="none"/>
              </w:rPr>
            </w:pPr>
            <w:r>
              <w:rPr>
                <w:rFonts w:hint="eastAsia"/>
                <w:color w:val="00B050"/>
                <w:highlight w:val="none"/>
                <w:lang w:val="en-US" w:eastAsia="zh-CN"/>
              </w:rPr>
              <w:t>700</w:t>
            </w:r>
          </w:p>
        </w:tc>
        <w:tc>
          <w:tcPr>
            <w:tcW w:w="1717" w:type="pct"/>
            <w:tcBorders>
              <w:tl2br w:val="nil"/>
              <w:tr2bl w:val="nil"/>
            </w:tcBorders>
            <w:shd w:val="clear" w:color="auto" w:fill="auto"/>
            <w:noWrap w:val="0"/>
            <w:vAlign w:val="center"/>
          </w:tcPr>
          <w:p w14:paraId="5D4AE3E0">
            <w:pPr>
              <w:pStyle w:val="42"/>
              <w:bidi w:val="0"/>
              <w:rPr>
                <w:rFonts w:hint="default"/>
                <w:color w:val="FF0000"/>
                <w:highlight w:val="none"/>
              </w:rPr>
            </w:pPr>
            <w:r>
              <w:rPr>
                <w:rFonts w:hint="eastAsia"/>
                <w:color w:val="FF0000"/>
                <w:highlight w:val="none"/>
                <w:lang w:val="en-US" w:eastAsia="zh-CN"/>
              </w:rPr>
              <w:t>0.18</w:t>
            </w:r>
          </w:p>
        </w:tc>
        <w:tc>
          <w:tcPr>
            <w:tcW w:w="1719" w:type="pct"/>
            <w:tcBorders>
              <w:tl2br w:val="nil"/>
              <w:tr2bl w:val="nil"/>
            </w:tcBorders>
            <w:shd w:val="clear" w:color="auto" w:fill="auto"/>
            <w:noWrap w:val="0"/>
            <w:vAlign w:val="center"/>
          </w:tcPr>
          <w:p w14:paraId="662DDED3">
            <w:pPr>
              <w:pStyle w:val="42"/>
              <w:bidi w:val="0"/>
              <w:rPr>
                <w:rFonts w:hint="default"/>
                <w:color w:val="FF0000"/>
                <w:highlight w:val="none"/>
              </w:rPr>
            </w:pPr>
            <w:r>
              <w:rPr>
                <w:rFonts w:hint="eastAsia"/>
                <w:color w:val="FF0000"/>
                <w:highlight w:val="none"/>
                <w:lang w:val="en-US" w:eastAsia="zh-CN"/>
              </w:rPr>
              <w:t>0.0017</w:t>
            </w:r>
          </w:p>
        </w:tc>
      </w:tr>
      <w:tr w14:paraId="5979F9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77" w:hRule="exact"/>
        </w:trPr>
        <w:tc>
          <w:tcPr>
            <w:tcW w:w="1562" w:type="pct"/>
            <w:tcBorders>
              <w:tl2br w:val="nil"/>
              <w:tr2bl w:val="nil"/>
            </w:tcBorders>
            <w:shd w:val="clear" w:color="auto" w:fill="auto"/>
            <w:noWrap w:val="0"/>
            <w:vAlign w:val="center"/>
          </w:tcPr>
          <w:p w14:paraId="2B707229">
            <w:pPr>
              <w:pStyle w:val="42"/>
              <w:bidi w:val="0"/>
              <w:rPr>
                <w:rFonts w:hint="default"/>
                <w:color w:val="00B050"/>
                <w:highlight w:val="none"/>
                <w:lang w:val="en-US" w:eastAsia="zh-CN"/>
              </w:rPr>
            </w:pPr>
            <w:r>
              <w:rPr>
                <w:rFonts w:hint="eastAsia"/>
                <w:color w:val="00B050"/>
                <w:highlight w:val="none"/>
                <w:lang w:val="en-US" w:eastAsia="zh-CN"/>
              </w:rPr>
              <w:t>800</w:t>
            </w:r>
          </w:p>
        </w:tc>
        <w:tc>
          <w:tcPr>
            <w:tcW w:w="1717" w:type="pct"/>
            <w:tcBorders>
              <w:tl2br w:val="nil"/>
              <w:tr2bl w:val="nil"/>
            </w:tcBorders>
            <w:shd w:val="clear" w:color="auto" w:fill="auto"/>
            <w:noWrap w:val="0"/>
            <w:vAlign w:val="center"/>
          </w:tcPr>
          <w:p w14:paraId="799C2C96">
            <w:pPr>
              <w:pStyle w:val="42"/>
              <w:bidi w:val="0"/>
              <w:rPr>
                <w:rFonts w:hint="default"/>
                <w:color w:val="FF0000"/>
                <w:highlight w:val="none"/>
              </w:rPr>
            </w:pPr>
            <w:r>
              <w:rPr>
                <w:rFonts w:hint="eastAsia"/>
                <w:color w:val="FF0000"/>
                <w:highlight w:val="none"/>
                <w:lang w:val="en-US" w:eastAsia="zh-CN"/>
              </w:rPr>
              <w:t>0.17</w:t>
            </w:r>
          </w:p>
        </w:tc>
        <w:tc>
          <w:tcPr>
            <w:tcW w:w="1719" w:type="pct"/>
            <w:tcBorders>
              <w:tl2br w:val="nil"/>
              <w:tr2bl w:val="nil"/>
            </w:tcBorders>
            <w:shd w:val="clear" w:color="auto" w:fill="auto"/>
            <w:noWrap w:val="0"/>
            <w:vAlign w:val="center"/>
          </w:tcPr>
          <w:p w14:paraId="7328DD82">
            <w:pPr>
              <w:pStyle w:val="42"/>
              <w:bidi w:val="0"/>
              <w:rPr>
                <w:rFonts w:hint="default"/>
                <w:color w:val="FF0000"/>
                <w:highlight w:val="none"/>
              </w:rPr>
            </w:pPr>
            <w:r>
              <w:rPr>
                <w:rFonts w:hint="eastAsia"/>
                <w:color w:val="FF0000"/>
                <w:highlight w:val="none"/>
                <w:lang w:val="en-US" w:eastAsia="zh-CN"/>
              </w:rPr>
              <w:t>0.0015</w:t>
            </w:r>
          </w:p>
        </w:tc>
      </w:tr>
      <w:tr w14:paraId="4F9F88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77" w:hRule="exact"/>
        </w:trPr>
        <w:tc>
          <w:tcPr>
            <w:tcW w:w="1562" w:type="pct"/>
            <w:tcBorders>
              <w:tl2br w:val="nil"/>
              <w:tr2bl w:val="nil"/>
            </w:tcBorders>
            <w:shd w:val="clear" w:color="auto" w:fill="auto"/>
            <w:noWrap w:val="0"/>
            <w:vAlign w:val="center"/>
          </w:tcPr>
          <w:p w14:paraId="2B96192B">
            <w:pPr>
              <w:pStyle w:val="42"/>
              <w:bidi w:val="0"/>
              <w:rPr>
                <w:rFonts w:hint="default"/>
                <w:color w:val="00B050"/>
                <w:highlight w:val="none"/>
                <w:lang w:val="en-US" w:eastAsia="zh-CN"/>
              </w:rPr>
            </w:pPr>
            <w:r>
              <w:rPr>
                <w:rFonts w:hint="eastAsia"/>
                <w:color w:val="00B050"/>
                <w:highlight w:val="none"/>
                <w:lang w:val="en-US" w:eastAsia="zh-CN"/>
              </w:rPr>
              <w:t>900</w:t>
            </w:r>
          </w:p>
        </w:tc>
        <w:tc>
          <w:tcPr>
            <w:tcW w:w="1717" w:type="pct"/>
            <w:tcBorders>
              <w:tl2br w:val="nil"/>
              <w:tr2bl w:val="nil"/>
            </w:tcBorders>
            <w:shd w:val="clear" w:color="auto" w:fill="auto"/>
            <w:noWrap w:val="0"/>
            <w:vAlign w:val="center"/>
          </w:tcPr>
          <w:p w14:paraId="4EF37261">
            <w:pPr>
              <w:pStyle w:val="42"/>
              <w:bidi w:val="0"/>
              <w:rPr>
                <w:rFonts w:hint="default"/>
                <w:color w:val="FF0000"/>
                <w:highlight w:val="none"/>
                <w:lang w:val="en-US" w:eastAsia="zh-CN"/>
              </w:rPr>
            </w:pPr>
            <w:r>
              <w:rPr>
                <w:rFonts w:hint="eastAsia"/>
                <w:color w:val="FF0000"/>
                <w:highlight w:val="none"/>
                <w:lang w:val="en-US" w:eastAsia="zh-CN"/>
              </w:rPr>
              <w:t>0.16</w:t>
            </w:r>
          </w:p>
        </w:tc>
        <w:tc>
          <w:tcPr>
            <w:tcW w:w="1719" w:type="pct"/>
            <w:tcBorders>
              <w:tl2br w:val="nil"/>
              <w:tr2bl w:val="nil"/>
            </w:tcBorders>
            <w:shd w:val="clear" w:color="auto" w:fill="auto"/>
            <w:noWrap w:val="0"/>
            <w:vAlign w:val="center"/>
          </w:tcPr>
          <w:p w14:paraId="13220ED8">
            <w:pPr>
              <w:pStyle w:val="42"/>
              <w:bidi w:val="0"/>
              <w:rPr>
                <w:rFonts w:hint="default"/>
                <w:color w:val="FF0000"/>
                <w:highlight w:val="none"/>
                <w:lang w:val="en-US" w:eastAsia="zh-CN"/>
              </w:rPr>
            </w:pPr>
            <w:r>
              <w:rPr>
                <w:rFonts w:hint="eastAsia"/>
                <w:color w:val="FF0000"/>
                <w:highlight w:val="none"/>
                <w:lang w:val="en-US" w:eastAsia="zh-CN"/>
              </w:rPr>
              <w:t>0.0014</w:t>
            </w:r>
          </w:p>
        </w:tc>
      </w:tr>
      <w:tr w14:paraId="404E5E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7" w:hRule="exact"/>
        </w:trPr>
        <w:tc>
          <w:tcPr>
            <w:tcW w:w="1562" w:type="pct"/>
            <w:tcBorders>
              <w:tl2br w:val="nil"/>
              <w:tr2bl w:val="nil"/>
            </w:tcBorders>
            <w:shd w:val="clear" w:color="auto" w:fill="auto"/>
            <w:noWrap w:val="0"/>
            <w:vAlign w:val="center"/>
          </w:tcPr>
          <w:p w14:paraId="56038A01">
            <w:pPr>
              <w:pStyle w:val="42"/>
              <w:bidi w:val="0"/>
              <w:rPr>
                <w:rFonts w:hint="default"/>
                <w:color w:val="00B050"/>
                <w:highlight w:val="none"/>
                <w:lang w:val="en-US" w:eastAsia="zh-CN"/>
              </w:rPr>
            </w:pPr>
            <w:r>
              <w:rPr>
                <w:rFonts w:hint="eastAsia"/>
                <w:color w:val="00B050"/>
                <w:highlight w:val="none"/>
                <w:lang w:val="en-US" w:eastAsia="zh-CN"/>
              </w:rPr>
              <w:t>1000</w:t>
            </w:r>
          </w:p>
        </w:tc>
        <w:tc>
          <w:tcPr>
            <w:tcW w:w="1717" w:type="pct"/>
            <w:tcBorders>
              <w:tl2br w:val="nil"/>
              <w:tr2bl w:val="nil"/>
            </w:tcBorders>
            <w:shd w:val="clear" w:color="auto" w:fill="auto"/>
            <w:noWrap w:val="0"/>
            <w:vAlign w:val="center"/>
          </w:tcPr>
          <w:p w14:paraId="020DE0B6">
            <w:pPr>
              <w:pStyle w:val="42"/>
              <w:bidi w:val="0"/>
              <w:rPr>
                <w:rFonts w:hint="default"/>
                <w:color w:val="FF0000"/>
                <w:highlight w:val="none"/>
                <w:lang w:val="en-US" w:eastAsia="zh-CN"/>
              </w:rPr>
            </w:pPr>
            <w:r>
              <w:rPr>
                <w:rFonts w:hint="eastAsia"/>
                <w:color w:val="FF0000"/>
                <w:highlight w:val="none"/>
                <w:lang w:val="en-US" w:eastAsia="zh-CN"/>
              </w:rPr>
              <w:t>0.14</w:t>
            </w:r>
          </w:p>
        </w:tc>
        <w:tc>
          <w:tcPr>
            <w:tcW w:w="1719" w:type="pct"/>
            <w:tcBorders>
              <w:tl2br w:val="nil"/>
              <w:tr2bl w:val="nil"/>
            </w:tcBorders>
            <w:shd w:val="clear" w:color="auto" w:fill="auto"/>
            <w:noWrap w:val="0"/>
            <w:vAlign w:val="center"/>
          </w:tcPr>
          <w:p w14:paraId="4E06D571">
            <w:pPr>
              <w:pStyle w:val="42"/>
              <w:bidi w:val="0"/>
              <w:rPr>
                <w:rFonts w:hint="default"/>
                <w:color w:val="FF0000"/>
                <w:highlight w:val="none"/>
                <w:lang w:val="en-US" w:eastAsia="zh-CN"/>
              </w:rPr>
            </w:pPr>
            <w:r>
              <w:rPr>
                <w:rFonts w:hint="eastAsia"/>
                <w:color w:val="FF0000"/>
                <w:highlight w:val="none"/>
                <w:lang w:val="en-US" w:eastAsia="zh-CN"/>
              </w:rPr>
              <w:t>0.0013</w:t>
            </w:r>
          </w:p>
        </w:tc>
      </w:tr>
      <w:tr w14:paraId="3B8457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77" w:hRule="exact"/>
        </w:trPr>
        <w:tc>
          <w:tcPr>
            <w:tcW w:w="1562" w:type="pct"/>
            <w:tcBorders>
              <w:tl2br w:val="nil"/>
              <w:tr2bl w:val="nil"/>
            </w:tcBorders>
            <w:shd w:val="clear" w:color="auto" w:fill="auto"/>
            <w:noWrap w:val="0"/>
            <w:vAlign w:val="center"/>
          </w:tcPr>
          <w:p w14:paraId="44BED04F">
            <w:pPr>
              <w:pStyle w:val="42"/>
              <w:bidi w:val="0"/>
              <w:rPr>
                <w:rFonts w:hint="default"/>
                <w:color w:val="00B050"/>
                <w:highlight w:val="none"/>
                <w:lang w:val="en-US" w:eastAsia="zh-CN"/>
              </w:rPr>
            </w:pPr>
            <w:r>
              <w:rPr>
                <w:rFonts w:hint="eastAsia"/>
                <w:color w:val="00B050"/>
                <w:highlight w:val="none"/>
                <w:lang w:val="en-US" w:eastAsia="zh-CN"/>
              </w:rPr>
              <w:t>1500</w:t>
            </w:r>
          </w:p>
        </w:tc>
        <w:tc>
          <w:tcPr>
            <w:tcW w:w="1717" w:type="pct"/>
            <w:tcBorders>
              <w:tl2br w:val="nil"/>
              <w:tr2bl w:val="nil"/>
            </w:tcBorders>
            <w:shd w:val="clear" w:color="auto" w:fill="auto"/>
            <w:noWrap w:val="0"/>
            <w:vAlign w:val="center"/>
          </w:tcPr>
          <w:p w14:paraId="79BEBC79">
            <w:pPr>
              <w:pStyle w:val="42"/>
              <w:bidi w:val="0"/>
              <w:rPr>
                <w:rFonts w:hint="default"/>
                <w:color w:val="FF0000"/>
                <w:highlight w:val="none"/>
                <w:lang w:val="en-US" w:eastAsia="zh-CN"/>
              </w:rPr>
            </w:pPr>
            <w:r>
              <w:rPr>
                <w:rFonts w:hint="eastAsia"/>
                <w:color w:val="FF0000"/>
                <w:highlight w:val="none"/>
                <w:lang w:val="en-US" w:eastAsia="zh-CN"/>
              </w:rPr>
              <w:t>0.11</w:t>
            </w:r>
          </w:p>
        </w:tc>
        <w:tc>
          <w:tcPr>
            <w:tcW w:w="1719" w:type="pct"/>
            <w:tcBorders>
              <w:tl2br w:val="nil"/>
              <w:tr2bl w:val="nil"/>
            </w:tcBorders>
            <w:shd w:val="clear" w:color="auto" w:fill="auto"/>
            <w:noWrap w:val="0"/>
            <w:vAlign w:val="center"/>
          </w:tcPr>
          <w:p w14:paraId="1414C85E">
            <w:pPr>
              <w:pStyle w:val="42"/>
              <w:bidi w:val="0"/>
              <w:rPr>
                <w:rFonts w:hint="default"/>
                <w:color w:val="FF0000"/>
                <w:highlight w:val="none"/>
                <w:lang w:val="en-US" w:eastAsia="zh-CN"/>
              </w:rPr>
            </w:pPr>
            <w:r>
              <w:rPr>
                <w:rFonts w:hint="eastAsia"/>
                <w:color w:val="FF0000"/>
                <w:highlight w:val="none"/>
                <w:lang w:val="en-US" w:eastAsia="zh-CN"/>
              </w:rPr>
              <w:t>0.001</w:t>
            </w:r>
          </w:p>
        </w:tc>
      </w:tr>
      <w:tr w14:paraId="7F5403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77" w:hRule="exact"/>
        </w:trPr>
        <w:tc>
          <w:tcPr>
            <w:tcW w:w="1562" w:type="pct"/>
            <w:tcBorders>
              <w:tl2br w:val="nil"/>
              <w:tr2bl w:val="nil"/>
            </w:tcBorders>
            <w:shd w:val="clear" w:color="auto" w:fill="auto"/>
            <w:noWrap w:val="0"/>
            <w:vAlign w:val="center"/>
          </w:tcPr>
          <w:p w14:paraId="7F871005">
            <w:pPr>
              <w:pStyle w:val="42"/>
              <w:bidi w:val="0"/>
              <w:rPr>
                <w:rFonts w:hint="default"/>
                <w:color w:val="00B050"/>
                <w:highlight w:val="none"/>
                <w:lang w:val="en-US" w:eastAsia="zh-CN"/>
              </w:rPr>
            </w:pPr>
            <w:r>
              <w:rPr>
                <w:rFonts w:hint="eastAsia"/>
                <w:color w:val="00B050"/>
                <w:highlight w:val="none"/>
                <w:lang w:val="en-US" w:eastAsia="zh-CN"/>
              </w:rPr>
              <w:t>2000</w:t>
            </w:r>
          </w:p>
        </w:tc>
        <w:tc>
          <w:tcPr>
            <w:tcW w:w="1717" w:type="pct"/>
            <w:tcBorders>
              <w:tl2br w:val="nil"/>
              <w:tr2bl w:val="nil"/>
            </w:tcBorders>
            <w:shd w:val="clear" w:color="auto" w:fill="auto"/>
            <w:noWrap w:val="0"/>
            <w:vAlign w:val="center"/>
          </w:tcPr>
          <w:p w14:paraId="16062C45">
            <w:pPr>
              <w:pStyle w:val="42"/>
              <w:bidi w:val="0"/>
              <w:rPr>
                <w:rFonts w:hint="default"/>
                <w:color w:val="FF0000"/>
                <w:highlight w:val="none"/>
                <w:lang w:val="en-US" w:eastAsia="zh-CN"/>
              </w:rPr>
            </w:pPr>
            <w:r>
              <w:rPr>
                <w:rFonts w:hint="eastAsia"/>
                <w:color w:val="FF0000"/>
                <w:highlight w:val="none"/>
                <w:lang w:val="en-US" w:eastAsia="zh-CN"/>
              </w:rPr>
              <w:t>0.1</w:t>
            </w:r>
          </w:p>
        </w:tc>
        <w:tc>
          <w:tcPr>
            <w:tcW w:w="1719" w:type="pct"/>
            <w:tcBorders>
              <w:tl2br w:val="nil"/>
              <w:tr2bl w:val="nil"/>
            </w:tcBorders>
            <w:shd w:val="clear" w:color="auto" w:fill="auto"/>
            <w:noWrap w:val="0"/>
            <w:vAlign w:val="center"/>
          </w:tcPr>
          <w:p w14:paraId="799CEF56">
            <w:pPr>
              <w:pStyle w:val="42"/>
              <w:bidi w:val="0"/>
              <w:rPr>
                <w:rFonts w:hint="default"/>
                <w:color w:val="FF0000"/>
                <w:highlight w:val="none"/>
                <w:lang w:val="en-US" w:eastAsia="zh-CN"/>
              </w:rPr>
            </w:pPr>
            <w:r>
              <w:rPr>
                <w:rFonts w:hint="eastAsia"/>
                <w:color w:val="FF0000"/>
                <w:highlight w:val="none"/>
                <w:lang w:val="en-US" w:eastAsia="zh-CN"/>
              </w:rPr>
              <w:t>0.0009</w:t>
            </w:r>
          </w:p>
        </w:tc>
      </w:tr>
      <w:tr w14:paraId="484255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7" w:hRule="exact"/>
        </w:trPr>
        <w:tc>
          <w:tcPr>
            <w:tcW w:w="1562" w:type="pct"/>
            <w:tcBorders>
              <w:tl2br w:val="nil"/>
              <w:tr2bl w:val="nil"/>
            </w:tcBorders>
            <w:shd w:val="clear" w:color="auto" w:fill="auto"/>
            <w:noWrap w:val="0"/>
            <w:vAlign w:val="center"/>
          </w:tcPr>
          <w:p w14:paraId="5D8159A5">
            <w:pPr>
              <w:pStyle w:val="42"/>
              <w:bidi w:val="0"/>
              <w:rPr>
                <w:rFonts w:hint="eastAsia"/>
                <w:color w:val="00B050"/>
                <w:highlight w:val="none"/>
                <w:lang w:val="en-US" w:eastAsia="zh-CN"/>
              </w:rPr>
            </w:pPr>
            <w:r>
              <w:rPr>
                <w:rFonts w:hint="eastAsia"/>
                <w:color w:val="00B050"/>
                <w:highlight w:val="none"/>
                <w:lang w:val="en-US" w:eastAsia="zh-CN"/>
              </w:rPr>
              <w:t>2500</w:t>
            </w:r>
          </w:p>
        </w:tc>
        <w:tc>
          <w:tcPr>
            <w:tcW w:w="1717" w:type="pct"/>
            <w:tcBorders>
              <w:tl2br w:val="nil"/>
              <w:tr2bl w:val="nil"/>
            </w:tcBorders>
            <w:shd w:val="clear" w:color="auto" w:fill="auto"/>
            <w:noWrap w:val="0"/>
            <w:vAlign w:val="center"/>
          </w:tcPr>
          <w:p w14:paraId="51FF62B7">
            <w:pPr>
              <w:pStyle w:val="42"/>
              <w:bidi w:val="0"/>
              <w:rPr>
                <w:rFonts w:hint="eastAsia"/>
                <w:color w:val="FF0000"/>
                <w:highlight w:val="none"/>
                <w:lang w:val="en-US" w:eastAsia="zh-CN"/>
              </w:rPr>
            </w:pPr>
            <w:r>
              <w:rPr>
                <w:rFonts w:hint="eastAsia"/>
                <w:color w:val="FF0000"/>
                <w:highlight w:val="none"/>
                <w:lang w:val="en-US" w:eastAsia="zh-CN"/>
              </w:rPr>
              <w:t>0.08</w:t>
            </w:r>
          </w:p>
        </w:tc>
        <w:tc>
          <w:tcPr>
            <w:tcW w:w="1719" w:type="pct"/>
            <w:tcBorders>
              <w:tl2br w:val="nil"/>
              <w:tr2bl w:val="nil"/>
            </w:tcBorders>
            <w:shd w:val="clear" w:color="auto" w:fill="auto"/>
            <w:noWrap w:val="0"/>
            <w:vAlign w:val="center"/>
          </w:tcPr>
          <w:p w14:paraId="792728CA">
            <w:pPr>
              <w:pStyle w:val="42"/>
              <w:bidi w:val="0"/>
              <w:rPr>
                <w:rFonts w:hint="eastAsia"/>
                <w:color w:val="FF0000"/>
                <w:highlight w:val="none"/>
                <w:lang w:val="en-US" w:eastAsia="zh-CN"/>
              </w:rPr>
            </w:pPr>
            <w:r>
              <w:rPr>
                <w:rFonts w:hint="eastAsia"/>
                <w:color w:val="FF0000"/>
                <w:highlight w:val="none"/>
                <w:lang w:val="en-US" w:eastAsia="zh-CN"/>
              </w:rPr>
              <w:t>0.0007</w:t>
            </w:r>
          </w:p>
        </w:tc>
      </w:tr>
    </w:tbl>
    <w:p w14:paraId="09DC20CE">
      <w:pPr>
        <w:pStyle w:val="14"/>
        <w:kinsoku w:val="0"/>
        <w:overflowPunct w:val="0"/>
        <w:spacing w:before="6" w:beforeLines="0" w:afterLines="0"/>
        <w:ind w:left="0"/>
        <w:rPr>
          <w:rFonts w:hint="default" w:ascii="Times New Roman" w:hAnsi="Times New Roman" w:cs="Times New Roman"/>
          <w:b/>
          <w:color w:val="auto"/>
          <w:sz w:val="8"/>
          <w:szCs w:val="24"/>
          <w:highlight w:val="none"/>
        </w:rPr>
      </w:pPr>
    </w:p>
    <w:p w14:paraId="6FED7F5F">
      <w:pPr>
        <w:spacing w:beforeLines="0" w:afterLines="0"/>
        <w:rPr>
          <w:rFonts w:hint="default" w:ascii="Times New Roman" w:hAnsi="Times New Roman" w:cs="Times New Roman"/>
          <w:color w:val="auto"/>
          <w:sz w:val="24"/>
          <w:szCs w:val="24"/>
          <w:highlight w:val="none"/>
        </w:rPr>
      </w:pPr>
    </w:p>
    <w:p w14:paraId="678AC498">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表5.2-8    无组织面源采矿场废气排放</w:t>
      </w:r>
      <w:r>
        <w:rPr>
          <w:rFonts w:hint="default" w:ascii="Times New Roman" w:hAnsi="Times New Roman" w:cs="Times New Roman"/>
          <w:color w:val="auto"/>
          <w:highlight w:val="none"/>
        </w:rPr>
        <w:t>采用估算模式计算结果</w:t>
      </w:r>
    </w:p>
    <w:tbl>
      <w:tblPr>
        <w:tblStyle w:val="31"/>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300"/>
        <w:gridCol w:w="3582"/>
        <w:gridCol w:w="2482"/>
      </w:tblGrid>
      <w:tr w14:paraId="4FE6DE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9" w:hRule="exact"/>
        </w:trPr>
        <w:tc>
          <w:tcPr>
            <w:tcW w:w="1762" w:type="pct"/>
            <w:vMerge w:val="restar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B8FE725">
            <w:pPr>
              <w:pStyle w:val="42"/>
              <w:bidi w:val="0"/>
              <w:rPr>
                <w:rFonts w:hint="default"/>
                <w:color w:val="auto"/>
                <w:sz w:val="24"/>
                <w:szCs w:val="24"/>
                <w:highlight w:val="none"/>
              </w:rPr>
            </w:pPr>
            <w:r>
              <w:rPr>
                <w:rFonts w:hint="default"/>
                <w:color w:val="auto"/>
                <w:sz w:val="24"/>
                <w:szCs w:val="24"/>
                <w:highlight w:val="none"/>
              </w:rPr>
              <w:t>距源中心下风向距离</w:t>
            </w:r>
          </w:p>
          <w:p w14:paraId="20035B6C">
            <w:pPr>
              <w:pStyle w:val="42"/>
              <w:bidi w:val="0"/>
              <w:rPr>
                <w:rFonts w:hint="default"/>
                <w:color w:val="auto"/>
                <w:sz w:val="24"/>
                <w:szCs w:val="24"/>
                <w:highlight w:val="none"/>
              </w:rPr>
            </w:pPr>
            <w:r>
              <w:rPr>
                <w:rFonts w:hint="default"/>
                <w:color w:val="auto"/>
                <w:sz w:val="24"/>
                <w:szCs w:val="24"/>
                <w:highlight w:val="none"/>
              </w:rPr>
              <w:t>D/m</w:t>
            </w:r>
          </w:p>
        </w:tc>
        <w:tc>
          <w:tcPr>
            <w:tcW w:w="3237" w:type="pct"/>
            <w:gridSpan w:val="2"/>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2BB3A45">
            <w:pPr>
              <w:pStyle w:val="42"/>
              <w:bidi w:val="0"/>
              <w:rPr>
                <w:rFonts w:hint="default"/>
                <w:color w:val="auto"/>
                <w:sz w:val="24"/>
                <w:szCs w:val="24"/>
                <w:highlight w:val="none"/>
                <w:lang w:val="en-US" w:eastAsia="zh-CN"/>
              </w:rPr>
            </w:pPr>
            <w:r>
              <w:rPr>
                <w:rFonts w:hint="default"/>
                <w:color w:val="auto"/>
                <w:sz w:val="24"/>
                <w:szCs w:val="24"/>
                <w:highlight w:val="none"/>
                <w:lang w:val="en-US" w:eastAsia="zh-CN"/>
              </w:rPr>
              <w:t>TSP</w:t>
            </w:r>
          </w:p>
        </w:tc>
      </w:tr>
      <w:tr w14:paraId="334C74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1" w:hRule="exact"/>
        </w:trPr>
        <w:tc>
          <w:tcPr>
            <w:tcW w:w="1762" w:type="pct"/>
            <w:vMerge w:val="continue"/>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FDDF459">
            <w:pPr>
              <w:pStyle w:val="42"/>
              <w:bidi w:val="0"/>
              <w:rPr>
                <w:rFonts w:hint="default"/>
                <w:color w:val="auto"/>
                <w:sz w:val="24"/>
                <w:szCs w:val="24"/>
                <w:highlight w:val="none"/>
              </w:rPr>
            </w:pPr>
          </w:p>
        </w:tc>
        <w:tc>
          <w:tcPr>
            <w:tcW w:w="1912"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071CD78">
            <w:pPr>
              <w:pStyle w:val="42"/>
              <w:bidi w:val="0"/>
              <w:rPr>
                <w:rFonts w:hint="default"/>
                <w:color w:val="auto"/>
                <w:sz w:val="24"/>
                <w:szCs w:val="24"/>
                <w:highlight w:val="none"/>
              </w:rPr>
            </w:pPr>
            <w:r>
              <w:rPr>
                <w:rFonts w:hint="default"/>
                <w:color w:val="auto"/>
                <w:sz w:val="24"/>
                <w:szCs w:val="24"/>
                <w:highlight w:val="none"/>
              </w:rPr>
              <w:t>下风向预测浓度（</w:t>
            </w:r>
            <w:r>
              <w:rPr>
                <w:rFonts w:hint="eastAsia"/>
                <w:color w:val="auto"/>
                <w:sz w:val="24"/>
                <w:szCs w:val="24"/>
                <w:highlight w:val="none"/>
                <w:lang w:val="en-US" w:eastAsia="zh-CN"/>
              </w:rPr>
              <w:t>m</w:t>
            </w:r>
            <w:r>
              <w:rPr>
                <w:rFonts w:hint="default"/>
                <w:color w:val="auto"/>
                <w:sz w:val="24"/>
                <w:szCs w:val="24"/>
                <w:highlight w:val="none"/>
              </w:rPr>
              <w:t>g/m</w:t>
            </w:r>
            <w:r>
              <w:rPr>
                <w:rFonts w:hint="default"/>
                <w:color w:val="auto"/>
                <w:sz w:val="24"/>
                <w:szCs w:val="24"/>
                <w:highlight w:val="none"/>
                <w:vertAlign w:val="superscript"/>
              </w:rPr>
              <w:t>3</w:t>
            </w:r>
            <w:r>
              <w:rPr>
                <w:rFonts w:hint="default"/>
                <w:color w:val="auto"/>
                <w:sz w:val="24"/>
                <w:szCs w:val="24"/>
                <w:highlight w:val="none"/>
              </w:rPr>
              <w:t>）</w:t>
            </w:r>
          </w:p>
        </w:tc>
        <w:tc>
          <w:tcPr>
            <w:tcW w:w="132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F60221C">
            <w:pPr>
              <w:pStyle w:val="42"/>
              <w:bidi w:val="0"/>
              <w:rPr>
                <w:rFonts w:hint="default"/>
                <w:color w:val="auto"/>
                <w:sz w:val="24"/>
                <w:szCs w:val="24"/>
                <w:highlight w:val="none"/>
              </w:rPr>
            </w:pPr>
            <w:r>
              <w:rPr>
                <w:rFonts w:hint="default"/>
                <w:color w:val="auto"/>
                <w:sz w:val="24"/>
                <w:szCs w:val="24"/>
                <w:highlight w:val="none"/>
              </w:rPr>
              <w:t>浓度占标率</w:t>
            </w:r>
          </w:p>
          <w:p w14:paraId="230982B7">
            <w:pPr>
              <w:pStyle w:val="42"/>
              <w:bidi w:val="0"/>
              <w:rPr>
                <w:rFonts w:hint="default"/>
                <w:color w:val="auto"/>
                <w:sz w:val="24"/>
                <w:szCs w:val="24"/>
                <w:highlight w:val="none"/>
              </w:rPr>
            </w:pPr>
            <w:r>
              <w:rPr>
                <w:rFonts w:hint="default"/>
                <w:color w:val="auto"/>
                <w:sz w:val="24"/>
                <w:szCs w:val="24"/>
                <w:highlight w:val="none"/>
              </w:rPr>
              <w:t>（%）</w:t>
            </w:r>
          </w:p>
        </w:tc>
      </w:tr>
      <w:tr w14:paraId="203FBD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1" w:hRule="exact"/>
        </w:trPr>
        <w:tc>
          <w:tcPr>
            <w:tcW w:w="33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D7D5FCB">
            <w:pPr>
              <w:pStyle w:val="42"/>
              <w:bidi w:val="0"/>
              <w:rPr>
                <w:rFonts w:hint="default"/>
                <w:color w:val="auto"/>
                <w:sz w:val="24"/>
                <w:szCs w:val="24"/>
                <w:highlight w:val="none"/>
              </w:rPr>
            </w:pPr>
            <w:r>
              <w:rPr>
                <w:rFonts w:hint="eastAsia"/>
                <w:color w:val="auto"/>
                <w:sz w:val="24"/>
                <w:szCs w:val="24"/>
                <w:highlight w:val="none"/>
                <w:lang w:val="en-US" w:eastAsia="zh-CN"/>
              </w:rPr>
              <w:t>10</w:t>
            </w:r>
          </w:p>
        </w:tc>
        <w:tc>
          <w:tcPr>
            <w:tcW w:w="358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21052DF">
            <w:pPr>
              <w:pStyle w:val="42"/>
              <w:bidi w:val="0"/>
              <w:rPr>
                <w:rFonts w:hint="default"/>
                <w:color w:val="auto"/>
                <w:sz w:val="24"/>
                <w:szCs w:val="24"/>
                <w:highlight w:val="none"/>
              </w:rPr>
            </w:pPr>
            <w:r>
              <w:rPr>
                <w:rFonts w:hint="eastAsia"/>
                <w:color w:val="auto"/>
                <w:sz w:val="24"/>
                <w:szCs w:val="24"/>
                <w:highlight w:val="none"/>
                <w:lang w:val="en-US" w:eastAsia="zh-CN"/>
              </w:rPr>
              <w:t>0.038</w:t>
            </w:r>
          </w:p>
        </w:tc>
        <w:tc>
          <w:tcPr>
            <w:tcW w:w="248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998EE76">
            <w:pPr>
              <w:pStyle w:val="42"/>
              <w:bidi w:val="0"/>
              <w:rPr>
                <w:rFonts w:hint="default"/>
                <w:color w:val="auto"/>
                <w:sz w:val="24"/>
                <w:szCs w:val="24"/>
                <w:highlight w:val="none"/>
              </w:rPr>
            </w:pPr>
            <w:r>
              <w:rPr>
                <w:rFonts w:hint="eastAsia"/>
                <w:color w:val="auto"/>
                <w:sz w:val="24"/>
                <w:szCs w:val="24"/>
                <w:highlight w:val="none"/>
                <w:lang w:val="en-US" w:eastAsia="zh-CN"/>
              </w:rPr>
              <w:t>4.22</w:t>
            </w:r>
          </w:p>
        </w:tc>
      </w:tr>
      <w:tr w14:paraId="0FA5D8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1" w:hRule="exact"/>
        </w:trPr>
        <w:tc>
          <w:tcPr>
            <w:tcW w:w="33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528B803">
            <w:pPr>
              <w:pStyle w:val="42"/>
              <w:bidi w:val="0"/>
              <w:rPr>
                <w:rFonts w:hint="default"/>
                <w:color w:val="auto"/>
                <w:sz w:val="24"/>
                <w:szCs w:val="24"/>
                <w:highlight w:val="none"/>
              </w:rPr>
            </w:pPr>
            <w:r>
              <w:rPr>
                <w:rFonts w:hint="eastAsia"/>
                <w:color w:val="auto"/>
                <w:sz w:val="24"/>
                <w:szCs w:val="24"/>
                <w:highlight w:val="none"/>
                <w:lang w:val="en-US" w:eastAsia="zh-CN"/>
              </w:rPr>
              <w:t>25</w:t>
            </w:r>
          </w:p>
        </w:tc>
        <w:tc>
          <w:tcPr>
            <w:tcW w:w="358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6C7D5E4">
            <w:pPr>
              <w:pStyle w:val="42"/>
              <w:bidi w:val="0"/>
              <w:rPr>
                <w:rFonts w:hint="default"/>
                <w:color w:val="auto"/>
                <w:sz w:val="24"/>
                <w:szCs w:val="24"/>
                <w:highlight w:val="none"/>
              </w:rPr>
            </w:pPr>
            <w:r>
              <w:rPr>
                <w:rFonts w:hint="eastAsia"/>
                <w:color w:val="auto"/>
                <w:sz w:val="24"/>
                <w:szCs w:val="24"/>
                <w:highlight w:val="none"/>
                <w:lang w:val="en-US" w:eastAsia="zh-CN"/>
              </w:rPr>
              <w:t>0.0387</w:t>
            </w:r>
          </w:p>
        </w:tc>
        <w:tc>
          <w:tcPr>
            <w:tcW w:w="248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94044D3">
            <w:pPr>
              <w:pStyle w:val="42"/>
              <w:bidi w:val="0"/>
              <w:rPr>
                <w:rFonts w:hint="default"/>
                <w:color w:val="auto"/>
                <w:sz w:val="24"/>
                <w:szCs w:val="24"/>
                <w:highlight w:val="none"/>
              </w:rPr>
            </w:pPr>
            <w:r>
              <w:rPr>
                <w:rFonts w:hint="eastAsia"/>
                <w:color w:val="auto"/>
                <w:sz w:val="24"/>
                <w:szCs w:val="24"/>
                <w:highlight w:val="none"/>
                <w:lang w:val="en-US" w:eastAsia="zh-CN"/>
              </w:rPr>
              <w:t>4.29</w:t>
            </w:r>
          </w:p>
        </w:tc>
      </w:tr>
      <w:tr w14:paraId="1B4E25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1" w:hRule="exact"/>
        </w:trPr>
        <w:tc>
          <w:tcPr>
            <w:tcW w:w="33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4D79DDE">
            <w:pPr>
              <w:pStyle w:val="42"/>
              <w:bidi w:val="0"/>
              <w:rPr>
                <w:rFonts w:hint="default"/>
                <w:color w:val="auto"/>
                <w:sz w:val="24"/>
                <w:szCs w:val="24"/>
                <w:highlight w:val="none"/>
              </w:rPr>
            </w:pPr>
            <w:r>
              <w:rPr>
                <w:rFonts w:hint="eastAsia"/>
                <w:color w:val="auto"/>
                <w:sz w:val="24"/>
                <w:szCs w:val="24"/>
                <w:highlight w:val="none"/>
                <w:lang w:val="en-US" w:eastAsia="zh-CN"/>
              </w:rPr>
              <w:t>50</w:t>
            </w:r>
          </w:p>
        </w:tc>
        <w:tc>
          <w:tcPr>
            <w:tcW w:w="358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ED14D37">
            <w:pPr>
              <w:pStyle w:val="42"/>
              <w:bidi w:val="0"/>
              <w:rPr>
                <w:rFonts w:hint="default"/>
                <w:color w:val="auto"/>
                <w:sz w:val="24"/>
                <w:szCs w:val="24"/>
                <w:highlight w:val="none"/>
              </w:rPr>
            </w:pPr>
            <w:r>
              <w:rPr>
                <w:rFonts w:hint="eastAsia"/>
                <w:color w:val="auto"/>
                <w:sz w:val="24"/>
                <w:szCs w:val="24"/>
                <w:highlight w:val="none"/>
                <w:lang w:val="en-US" w:eastAsia="zh-CN"/>
              </w:rPr>
              <w:t>0.0398</w:t>
            </w:r>
          </w:p>
        </w:tc>
        <w:tc>
          <w:tcPr>
            <w:tcW w:w="248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0E23BD5">
            <w:pPr>
              <w:pStyle w:val="42"/>
              <w:bidi w:val="0"/>
              <w:rPr>
                <w:rFonts w:hint="default"/>
                <w:color w:val="auto"/>
                <w:sz w:val="24"/>
                <w:szCs w:val="24"/>
                <w:highlight w:val="none"/>
              </w:rPr>
            </w:pPr>
            <w:r>
              <w:rPr>
                <w:rFonts w:hint="eastAsia"/>
                <w:color w:val="auto"/>
                <w:sz w:val="24"/>
                <w:szCs w:val="24"/>
                <w:highlight w:val="none"/>
                <w:lang w:val="en-US" w:eastAsia="zh-CN"/>
              </w:rPr>
              <w:t>4.42</w:t>
            </w:r>
          </w:p>
        </w:tc>
      </w:tr>
      <w:tr w14:paraId="7B0019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33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D3BF070">
            <w:pPr>
              <w:pStyle w:val="42"/>
              <w:bidi w:val="0"/>
              <w:rPr>
                <w:rFonts w:hint="default"/>
                <w:color w:val="auto"/>
                <w:sz w:val="24"/>
                <w:szCs w:val="24"/>
                <w:highlight w:val="none"/>
              </w:rPr>
            </w:pPr>
            <w:r>
              <w:rPr>
                <w:rFonts w:hint="eastAsia"/>
                <w:color w:val="auto"/>
                <w:sz w:val="24"/>
                <w:szCs w:val="24"/>
                <w:highlight w:val="none"/>
                <w:lang w:val="en-US" w:eastAsia="zh-CN"/>
              </w:rPr>
              <w:t>75</w:t>
            </w:r>
          </w:p>
        </w:tc>
        <w:tc>
          <w:tcPr>
            <w:tcW w:w="358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3BE904E">
            <w:pPr>
              <w:pStyle w:val="42"/>
              <w:bidi w:val="0"/>
              <w:rPr>
                <w:rFonts w:hint="default"/>
                <w:color w:val="auto"/>
                <w:sz w:val="24"/>
                <w:szCs w:val="24"/>
                <w:highlight w:val="none"/>
              </w:rPr>
            </w:pPr>
            <w:r>
              <w:rPr>
                <w:rFonts w:hint="eastAsia"/>
                <w:color w:val="auto"/>
                <w:sz w:val="24"/>
                <w:szCs w:val="24"/>
                <w:highlight w:val="none"/>
                <w:lang w:val="en-US" w:eastAsia="zh-CN"/>
              </w:rPr>
              <w:t>0.0409</w:t>
            </w:r>
          </w:p>
        </w:tc>
        <w:tc>
          <w:tcPr>
            <w:tcW w:w="248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CD7B5CE">
            <w:pPr>
              <w:pStyle w:val="42"/>
              <w:bidi w:val="0"/>
              <w:rPr>
                <w:rFonts w:hint="default"/>
                <w:color w:val="auto"/>
                <w:sz w:val="24"/>
                <w:szCs w:val="24"/>
                <w:highlight w:val="none"/>
              </w:rPr>
            </w:pPr>
            <w:r>
              <w:rPr>
                <w:rFonts w:hint="eastAsia"/>
                <w:color w:val="auto"/>
                <w:sz w:val="24"/>
                <w:szCs w:val="24"/>
                <w:highlight w:val="none"/>
                <w:lang w:val="en-US" w:eastAsia="zh-CN"/>
              </w:rPr>
              <w:t>4.55</w:t>
            </w:r>
          </w:p>
        </w:tc>
      </w:tr>
      <w:tr w14:paraId="4CE959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33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FD0EC40">
            <w:pPr>
              <w:pStyle w:val="42"/>
              <w:bidi w:val="0"/>
              <w:rPr>
                <w:rFonts w:hint="default"/>
                <w:color w:val="auto"/>
                <w:sz w:val="24"/>
                <w:szCs w:val="24"/>
                <w:highlight w:val="none"/>
              </w:rPr>
            </w:pPr>
            <w:r>
              <w:rPr>
                <w:rFonts w:hint="eastAsia"/>
                <w:color w:val="auto"/>
                <w:sz w:val="24"/>
                <w:szCs w:val="24"/>
                <w:highlight w:val="none"/>
                <w:lang w:val="en-US" w:eastAsia="zh-CN"/>
              </w:rPr>
              <w:t>100</w:t>
            </w:r>
          </w:p>
        </w:tc>
        <w:tc>
          <w:tcPr>
            <w:tcW w:w="358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E33A4BB">
            <w:pPr>
              <w:pStyle w:val="42"/>
              <w:bidi w:val="0"/>
              <w:rPr>
                <w:rFonts w:hint="default"/>
                <w:color w:val="auto"/>
                <w:sz w:val="24"/>
                <w:szCs w:val="24"/>
                <w:highlight w:val="none"/>
              </w:rPr>
            </w:pPr>
            <w:r>
              <w:rPr>
                <w:rFonts w:hint="eastAsia"/>
                <w:color w:val="auto"/>
                <w:sz w:val="24"/>
                <w:szCs w:val="24"/>
                <w:highlight w:val="none"/>
                <w:lang w:val="en-US" w:eastAsia="zh-CN"/>
              </w:rPr>
              <w:t>0.0421</w:t>
            </w:r>
          </w:p>
        </w:tc>
        <w:tc>
          <w:tcPr>
            <w:tcW w:w="248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94541E8">
            <w:pPr>
              <w:pStyle w:val="42"/>
              <w:bidi w:val="0"/>
              <w:rPr>
                <w:rFonts w:hint="default"/>
                <w:color w:val="auto"/>
                <w:sz w:val="24"/>
                <w:szCs w:val="24"/>
                <w:highlight w:val="none"/>
              </w:rPr>
            </w:pPr>
            <w:r>
              <w:rPr>
                <w:rFonts w:hint="eastAsia"/>
                <w:color w:val="auto"/>
                <w:sz w:val="24"/>
                <w:szCs w:val="24"/>
                <w:highlight w:val="none"/>
                <w:lang w:val="en-US" w:eastAsia="zh-CN"/>
              </w:rPr>
              <w:t>4.67</w:t>
            </w:r>
          </w:p>
        </w:tc>
      </w:tr>
      <w:tr w14:paraId="2C959D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33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C983F9D">
            <w:pPr>
              <w:pStyle w:val="42"/>
              <w:bidi w:val="0"/>
              <w:rPr>
                <w:rFonts w:hint="default"/>
                <w:color w:val="auto"/>
                <w:sz w:val="24"/>
                <w:szCs w:val="24"/>
                <w:highlight w:val="none"/>
              </w:rPr>
            </w:pPr>
            <w:r>
              <w:rPr>
                <w:rFonts w:hint="eastAsia"/>
                <w:color w:val="auto"/>
                <w:sz w:val="24"/>
                <w:szCs w:val="24"/>
                <w:highlight w:val="none"/>
                <w:lang w:val="en-US" w:eastAsia="zh-CN"/>
              </w:rPr>
              <w:t>125</w:t>
            </w:r>
          </w:p>
        </w:tc>
        <w:tc>
          <w:tcPr>
            <w:tcW w:w="358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1A5DEDC">
            <w:pPr>
              <w:pStyle w:val="42"/>
              <w:bidi w:val="0"/>
              <w:rPr>
                <w:rFonts w:hint="default"/>
                <w:color w:val="auto"/>
                <w:sz w:val="24"/>
                <w:szCs w:val="24"/>
                <w:highlight w:val="none"/>
              </w:rPr>
            </w:pPr>
            <w:r>
              <w:rPr>
                <w:rFonts w:hint="eastAsia"/>
                <w:color w:val="auto"/>
                <w:sz w:val="24"/>
                <w:szCs w:val="24"/>
                <w:highlight w:val="none"/>
                <w:lang w:val="en-US" w:eastAsia="zh-CN"/>
              </w:rPr>
              <w:t>0.0432</w:t>
            </w:r>
          </w:p>
        </w:tc>
        <w:tc>
          <w:tcPr>
            <w:tcW w:w="248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BE68494">
            <w:pPr>
              <w:pStyle w:val="42"/>
              <w:bidi w:val="0"/>
              <w:rPr>
                <w:rFonts w:hint="default"/>
                <w:color w:val="auto"/>
                <w:sz w:val="24"/>
                <w:szCs w:val="24"/>
                <w:highlight w:val="none"/>
              </w:rPr>
            </w:pPr>
            <w:r>
              <w:rPr>
                <w:rFonts w:hint="eastAsia"/>
                <w:color w:val="auto"/>
                <w:sz w:val="24"/>
                <w:szCs w:val="24"/>
                <w:highlight w:val="none"/>
                <w:lang w:val="en-US" w:eastAsia="zh-CN"/>
              </w:rPr>
              <w:t>4.8</w:t>
            </w:r>
          </w:p>
        </w:tc>
      </w:tr>
      <w:tr w14:paraId="73D450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33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4C26B4F">
            <w:pPr>
              <w:pStyle w:val="42"/>
              <w:bidi w:val="0"/>
              <w:rPr>
                <w:rFonts w:hint="default"/>
                <w:color w:val="auto"/>
                <w:sz w:val="24"/>
                <w:szCs w:val="24"/>
                <w:highlight w:val="none"/>
              </w:rPr>
            </w:pPr>
            <w:r>
              <w:rPr>
                <w:rFonts w:hint="eastAsia"/>
                <w:color w:val="auto"/>
                <w:sz w:val="24"/>
                <w:szCs w:val="24"/>
                <w:highlight w:val="none"/>
                <w:lang w:val="en-US" w:eastAsia="zh-CN"/>
              </w:rPr>
              <w:t>150</w:t>
            </w:r>
          </w:p>
        </w:tc>
        <w:tc>
          <w:tcPr>
            <w:tcW w:w="358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CD231FB">
            <w:pPr>
              <w:pStyle w:val="42"/>
              <w:bidi w:val="0"/>
              <w:rPr>
                <w:rFonts w:hint="default"/>
                <w:color w:val="auto"/>
                <w:sz w:val="24"/>
                <w:szCs w:val="24"/>
                <w:highlight w:val="none"/>
              </w:rPr>
            </w:pPr>
            <w:r>
              <w:rPr>
                <w:rFonts w:hint="eastAsia"/>
                <w:color w:val="auto"/>
                <w:sz w:val="24"/>
                <w:szCs w:val="24"/>
                <w:highlight w:val="none"/>
                <w:lang w:val="en-US" w:eastAsia="zh-CN"/>
              </w:rPr>
              <w:t>0.0443</w:t>
            </w:r>
          </w:p>
        </w:tc>
        <w:tc>
          <w:tcPr>
            <w:tcW w:w="248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3BF1750">
            <w:pPr>
              <w:pStyle w:val="42"/>
              <w:bidi w:val="0"/>
              <w:rPr>
                <w:rFonts w:hint="default"/>
                <w:color w:val="auto"/>
                <w:sz w:val="24"/>
                <w:szCs w:val="24"/>
                <w:highlight w:val="none"/>
              </w:rPr>
            </w:pPr>
            <w:r>
              <w:rPr>
                <w:rFonts w:hint="eastAsia"/>
                <w:color w:val="auto"/>
                <w:sz w:val="24"/>
                <w:szCs w:val="24"/>
                <w:highlight w:val="none"/>
                <w:lang w:val="en-US" w:eastAsia="zh-CN"/>
              </w:rPr>
              <w:t>4.92</w:t>
            </w:r>
          </w:p>
        </w:tc>
      </w:tr>
      <w:tr w14:paraId="447C92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33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4CBC05A">
            <w:pPr>
              <w:pStyle w:val="42"/>
              <w:bidi w:val="0"/>
              <w:rPr>
                <w:rFonts w:hint="default"/>
                <w:color w:val="auto"/>
                <w:sz w:val="24"/>
                <w:szCs w:val="24"/>
                <w:highlight w:val="none"/>
              </w:rPr>
            </w:pPr>
            <w:r>
              <w:rPr>
                <w:rFonts w:hint="eastAsia"/>
                <w:color w:val="auto"/>
                <w:sz w:val="24"/>
                <w:szCs w:val="24"/>
                <w:highlight w:val="none"/>
                <w:lang w:val="en-US" w:eastAsia="zh-CN"/>
              </w:rPr>
              <w:t>175</w:t>
            </w:r>
          </w:p>
        </w:tc>
        <w:tc>
          <w:tcPr>
            <w:tcW w:w="358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B8577E1">
            <w:pPr>
              <w:pStyle w:val="42"/>
              <w:bidi w:val="0"/>
              <w:rPr>
                <w:rFonts w:hint="default"/>
                <w:color w:val="auto"/>
                <w:sz w:val="24"/>
                <w:szCs w:val="24"/>
                <w:highlight w:val="none"/>
              </w:rPr>
            </w:pPr>
            <w:r>
              <w:rPr>
                <w:rFonts w:hint="eastAsia"/>
                <w:color w:val="auto"/>
                <w:sz w:val="24"/>
                <w:szCs w:val="24"/>
                <w:highlight w:val="none"/>
                <w:lang w:val="en-US" w:eastAsia="zh-CN"/>
              </w:rPr>
              <w:t>0.0454</w:t>
            </w:r>
          </w:p>
        </w:tc>
        <w:tc>
          <w:tcPr>
            <w:tcW w:w="248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D0074A4">
            <w:pPr>
              <w:pStyle w:val="42"/>
              <w:bidi w:val="0"/>
              <w:rPr>
                <w:rFonts w:hint="default"/>
                <w:color w:val="auto"/>
                <w:sz w:val="24"/>
                <w:szCs w:val="24"/>
                <w:highlight w:val="none"/>
              </w:rPr>
            </w:pPr>
            <w:r>
              <w:rPr>
                <w:rFonts w:hint="eastAsia"/>
                <w:color w:val="auto"/>
                <w:sz w:val="24"/>
                <w:szCs w:val="24"/>
                <w:highlight w:val="none"/>
                <w:lang w:val="en-US" w:eastAsia="zh-CN"/>
              </w:rPr>
              <w:t>5.05</w:t>
            </w:r>
          </w:p>
        </w:tc>
      </w:tr>
      <w:tr w14:paraId="35D40B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33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4FDD0CE">
            <w:pPr>
              <w:pStyle w:val="42"/>
              <w:bidi w:val="0"/>
              <w:rPr>
                <w:rFonts w:hint="default"/>
                <w:color w:val="auto"/>
                <w:sz w:val="24"/>
                <w:szCs w:val="24"/>
                <w:highlight w:val="none"/>
              </w:rPr>
            </w:pPr>
            <w:r>
              <w:rPr>
                <w:rFonts w:hint="eastAsia"/>
                <w:color w:val="auto"/>
                <w:sz w:val="24"/>
                <w:szCs w:val="24"/>
                <w:highlight w:val="none"/>
                <w:lang w:val="en-US" w:eastAsia="zh-CN"/>
              </w:rPr>
              <w:t>200</w:t>
            </w:r>
          </w:p>
        </w:tc>
        <w:tc>
          <w:tcPr>
            <w:tcW w:w="358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972BCC0">
            <w:pPr>
              <w:pStyle w:val="42"/>
              <w:bidi w:val="0"/>
              <w:rPr>
                <w:rFonts w:hint="default"/>
                <w:color w:val="auto"/>
                <w:sz w:val="24"/>
                <w:szCs w:val="24"/>
                <w:highlight w:val="none"/>
              </w:rPr>
            </w:pPr>
            <w:r>
              <w:rPr>
                <w:rFonts w:hint="eastAsia"/>
                <w:color w:val="auto"/>
                <w:sz w:val="24"/>
                <w:szCs w:val="24"/>
                <w:highlight w:val="none"/>
                <w:lang w:val="en-US" w:eastAsia="zh-CN"/>
              </w:rPr>
              <w:t>0.0465</w:t>
            </w:r>
          </w:p>
        </w:tc>
        <w:tc>
          <w:tcPr>
            <w:tcW w:w="248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7A1C1A6">
            <w:pPr>
              <w:pStyle w:val="42"/>
              <w:bidi w:val="0"/>
              <w:rPr>
                <w:rFonts w:hint="default"/>
                <w:color w:val="auto"/>
                <w:sz w:val="24"/>
                <w:szCs w:val="24"/>
                <w:highlight w:val="none"/>
              </w:rPr>
            </w:pPr>
            <w:r>
              <w:rPr>
                <w:rFonts w:hint="eastAsia"/>
                <w:color w:val="auto"/>
                <w:sz w:val="24"/>
                <w:szCs w:val="24"/>
                <w:highlight w:val="none"/>
                <w:lang w:val="en-US" w:eastAsia="zh-CN"/>
              </w:rPr>
              <w:t>5.17</w:t>
            </w:r>
          </w:p>
        </w:tc>
      </w:tr>
      <w:tr w14:paraId="21A074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33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8BA7DEC">
            <w:pPr>
              <w:pStyle w:val="42"/>
              <w:bidi w:val="0"/>
              <w:rPr>
                <w:rFonts w:hint="default"/>
                <w:color w:val="auto"/>
                <w:sz w:val="24"/>
                <w:szCs w:val="24"/>
                <w:highlight w:val="none"/>
              </w:rPr>
            </w:pPr>
            <w:r>
              <w:rPr>
                <w:rFonts w:hint="eastAsia"/>
                <w:color w:val="auto"/>
                <w:sz w:val="24"/>
                <w:szCs w:val="24"/>
                <w:highlight w:val="none"/>
                <w:lang w:val="en-US" w:eastAsia="zh-CN"/>
              </w:rPr>
              <w:t>300</w:t>
            </w:r>
          </w:p>
        </w:tc>
        <w:tc>
          <w:tcPr>
            <w:tcW w:w="358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52F9416">
            <w:pPr>
              <w:pStyle w:val="42"/>
              <w:bidi w:val="0"/>
              <w:rPr>
                <w:rFonts w:hint="default"/>
                <w:color w:val="auto"/>
                <w:sz w:val="24"/>
                <w:szCs w:val="24"/>
                <w:highlight w:val="none"/>
              </w:rPr>
            </w:pPr>
            <w:r>
              <w:rPr>
                <w:rFonts w:hint="eastAsia"/>
                <w:color w:val="auto"/>
                <w:sz w:val="24"/>
                <w:szCs w:val="24"/>
                <w:highlight w:val="none"/>
                <w:lang w:val="en-US" w:eastAsia="zh-CN"/>
              </w:rPr>
              <w:t>0.0509</w:t>
            </w:r>
          </w:p>
        </w:tc>
        <w:tc>
          <w:tcPr>
            <w:tcW w:w="248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BB15B5C">
            <w:pPr>
              <w:pStyle w:val="42"/>
              <w:bidi w:val="0"/>
              <w:rPr>
                <w:rFonts w:hint="default"/>
                <w:color w:val="auto"/>
                <w:sz w:val="24"/>
                <w:szCs w:val="24"/>
                <w:highlight w:val="none"/>
              </w:rPr>
            </w:pPr>
            <w:r>
              <w:rPr>
                <w:rFonts w:hint="eastAsia"/>
                <w:color w:val="auto"/>
                <w:sz w:val="24"/>
                <w:szCs w:val="24"/>
                <w:highlight w:val="none"/>
                <w:lang w:val="en-US" w:eastAsia="zh-CN"/>
              </w:rPr>
              <w:t>5.66</w:t>
            </w:r>
          </w:p>
        </w:tc>
      </w:tr>
      <w:tr w14:paraId="0C5717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33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654B26A">
            <w:pPr>
              <w:pStyle w:val="42"/>
              <w:bidi w:val="0"/>
              <w:rPr>
                <w:rFonts w:hint="default"/>
                <w:color w:val="auto"/>
                <w:sz w:val="24"/>
                <w:szCs w:val="24"/>
                <w:highlight w:val="none"/>
              </w:rPr>
            </w:pPr>
            <w:r>
              <w:rPr>
                <w:rFonts w:hint="eastAsia"/>
                <w:color w:val="auto"/>
                <w:sz w:val="24"/>
                <w:szCs w:val="24"/>
                <w:highlight w:val="none"/>
                <w:lang w:val="en-US" w:eastAsia="zh-CN"/>
              </w:rPr>
              <w:t>400</w:t>
            </w:r>
          </w:p>
        </w:tc>
        <w:tc>
          <w:tcPr>
            <w:tcW w:w="358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DCAA4E8">
            <w:pPr>
              <w:pStyle w:val="42"/>
              <w:bidi w:val="0"/>
              <w:rPr>
                <w:rFonts w:hint="default"/>
                <w:color w:val="auto"/>
                <w:sz w:val="24"/>
                <w:szCs w:val="24"/>
                <w:highlight w:val="none"/>
              </w:rPr>
            </w:pPr>
            <w:r>
              <w:rPr>
                <w:rFonts w:hint="eastAsia"/>
                <w:color w:val="auto"/>
                <w:sz w:val="24"/>
                <w:szCs w:val="24"/>
                <w:highlight w:val="none"/>
                <w:lang w:val="en-US" w:eastAsia="zh-CN"/>
              </w:rPr>
              <w:t>0.0552</w:t>
            </w:r>
          </w:p>
        </w:tc>
        <w:tc>
          <w:tcPr>
            <w:tcW w:w="248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8D05524">
            <w:pPr>
              <w:pStyle w:val="42"/>
              <w:bidi w:val="0"/>
              <w:rPr>
                <w:rFonts w:hint="default"/>
                <w:color w:val="auto"/>
                <w:sz w:val="24"/>
                <w:szCs w:val="24"/>
                <w:highlight w:val="none"/>
              </w:rPr>
            </w:pPr>
            <w:r>
              <w:rPr>
                <w:rFonts w:hint="eastAsia"/>
                <w:color w:val="auto"/>
                <w:sz w:val="24"/>
                <w:szCs w:val="24"/>
                <w:highlight w:val="none"/>
                <w:lang w:val="en-US" w:eastAsia="zh-CN"/>
              </w:rPr>
              <w:t>6.14</w:t>
            </w:r>
          </w:p>
        </w:tc>
      </w:tr>
      <w:tr w14:paraId="45DC0F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33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AA646B1">
            <w:pPr>
              <w:pStyle w:val="42"/>
              <w:bidi w:val="0"/>
              <w:rPr>
                <w:rFonts w:hint="default"/>
                <w:color w:val="auto"/>
                <w:sz w:val="24"/>
                <w:szCs w:val="24"/>
                <w:highlight w:val="none"/>
              </w:rPr>
            </w:pPr>
            <w:r>
              <w:rPr>
                <w:rFonts w:hint="eastAsia"/>
                <w:color w:val="auto"/>
                <w:sz w:val="24"/>
                <w:szCs w:val="24"/>
                <w:highlight w:val="none"/>
                <w:lang w:val="en-US" w:eastAsia="zh-CN"/>
              </w:rPr>
              <w:t>500</w:t>
            </w:r>
          </w:p>
        </w:tc>
        <w:tc>
          <w:tcPr>
            <w:tcW w:w="358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25F18C5">
            <w:pPr>
              <w:pStyle w:val="42"/>
              <w:bidi w:val="0"/>
              <w:rPr>
                <w:rFonts w:hint="default"/>
                <w:color w:val="auto"/>
                <w:sz w:val="24"/>
                <w:szCs w:val="24"/>
                <w:highlight w:val="none"/>
              </w:rPr>
            </w:pPr>
            <w:r>
              <w:rPr>
                <w:rFonts w:hint="eastAsia"/>
                <w:color w:val="auto"/>
                <w:sz w:val="24"/>
                <w:szCs w:val="24"/>
                <w:highlight w:val="none"/>
                <w:lang w:val="en-US" w:eastAsia="zh-CN"/>
              </w:rPr>
              <w:t>0.0595</w:t>
            </w:r>
          </w:p>
        </w:tc>
        <w:tc>
          <w:tcPr>
            <w:tcW w:w="248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92DE7C3">
            <w:pPr>
              <w:pStyle w:val="42"/>
              <w:bidi w:val="0"/>
              <w:rPr>
                <w:rFonts w:hint="default"/>
                <w:color w:val="auto"/>
                <w:sz w:val="24"/>
                <w:szCs w:val="24"/>
                <w:highlight w:val="none"/>
              </w:rPr>
            </w:pPr>
            <w:r>
              <w:rPr>
                <w:rFonts w:hint="eastAsia"/>
                <w:color w:val="auto"/>
                <w:sz w:val="24"/>
                <w:szCs w:val="24"/>
                <w:highlight w:val="none"/>
                <w:lang w:val="en-US" w:eastAsia="zh-CN"/>
              </w:rPr>
              <w:t>6.61</w:t>
            </w:r>
          </w:p>
        </w:tc>
      </w:tr>
      <w:tr w14:paraId="2A2AF7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33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AB43DF1">
            <w:pPr>
              <w:pStyle w:val="42"/>
              <w:bidi w:val="0"/>
              <w:rPr>
                <w:rFonts w:hint="default"/>
                <w:color w:val="auto"/>
                <w:sz w:val="24"/>
                <w:szCs w:val="24"/>
                <w:highlight w:val="none"/>
              </w:rPr>
            </w:pPr>
            <w:r>
              <w:rPr>
                <w:rFonts w:hint="eastAsia"/>
                <w:color w:val="auto"/>
                <w:sz w:val="24"/>
                <w:szCs w:val="24"/>
                <w:highlight w:val="none"/>
                <w:lang w:val="en-US" w:eastAsia="zh-CN"/>
              </w:rPr>
              <w:t>600</w:t>
            </w:r>
          </w:p>
        </w:tc>
        <w:tc>
          <w:tcPr>
            <w:tcW w:w="358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738D293">
            <w:pPr>
              <w:pStyle w:val="42"/>
              <w:bidi w:val="0"/>
              <w:rPr>
                <w:rFonts w:hint="default"/>
                <w:color w:val="auto"/>
                <w:sz w:val="24"/>
                <w:szCs w:val="24"/>
                <w:highlight w:val="none"/>
              </w:rPr>
            </w:pPr>
            <w:r>
              <w:rPr>
                <w:rFonts w:hint="eastAsia"/>
                <w:color w:val="auto"/>
                <w:sz w:val="24"/>
                <w:szCs w:val="24"/>
                <w:highlight w:val="none"/>
                <w:lang w:val="en-US" w:eastAsia="zh-CN"/>
              </w:rPr>
              <w:t>0.0636</w:t>
            </w:r>
          </w:p>
        </w:tc>
        <w:tc>
          <w:tcPr>
            <w:tcW w:w="248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E6A8800">
            <w:pPr>
              <w:pStyle w:val="42"/>
              <w:bidi w:val="0"/>
              <w:rPr>
                <w:rFonts w:hint="default"/>
                <w:color w:val="auto"/>
                <w:sz w:val="24"/>
                <w:szCs w:val="24"/>
                <w:highlight w:val="none"/>
              </w:rPr>
            </w:pPr>
            <w:r>
              <w:rPr>
                <w:rFonts w:hint="eastAsia"/>
                <w:color w:val="auto"/>
                <w:sz w:val="24"/>
                <w:szCs w:val="24"/>
                <w:highlight w:val="none"/>
                <w:lang w:val="en-US" w:eastAsia="zh-CN"/>
              </w:rPr>
              <w:t>7.07</w:t>
            </w:r>
          </w:p>
        </w:tc>
      </w:tr>
      <w:tr w14:paraId="2C5895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33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1C6DA08">
            <w:pPr>
              <w:pStyle w:val="42"/>
              <w:bidi w:val="0"/>
              <w:rPr>
                <w:rFonts w:hint="default"/>
                <w:color w:val="auto"/>
                <w:sz w:val="24"/>
                <w:szCs w:val="24"/>
                <w:highlight w:val="none"/>
              </w:rPr>
            </w:pPr>
            <w:r>
              <w:rPr>
                <w:rFonts w:hint="eastAsia"/>
                <w:color w:val="auto"/>
                <w:sz w:val="24"/>
                <w:szCs w:val="24"/>
                <w:highlight w:val="none"/>
                <w:lang w:val="en-US" w:eastAsia="zh-CN"/>
              </w:rPr>
              <w:t>700</w:t>
            </w:r>
          </w:p>
        </w:tc>
        <w:tc>
          <w:tcPr>
            <w:tcW w:w="358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0B21785">
            <w:pPr>
              <w:pStyle w:val="42"/>
              <w:bidi w:val="0"/>
              <w:rPr>
                <w:rFonts w:hint="default"/>
                <w:color w:val="auto"/>
                <w:sz w:val="24"/>
                <w:szCs w:val="24"/>
                <w:highlight w:val="none"/>
              </w:rPr>
            </w:pPr>
            <w:r>
              <w:rPr>
                <w:rFonts w:hint="eastAsia"/>
                <w:color w:val="auto"/>
                <w:sz w:val="24"/>
                <w:szCs w:val="24"/>
                <w:highlight w:val="none"/>
                <w:lang w:val="en-US" w:eastAsia="zh-CN"/>
              </w:rPr>
              <w:t>0.0676</w:t>
            </w:r>
          </w:p>
        </w:tc>
        <w:tc>
          <w:tcPr>
            <w:tcW w:w="248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0165EC7">
            <w:pPr>
              <w:pStyle w:val="42"/>
              <w:bidi w:val="0"/>
              <w:rPr>
                <w:rFonts w:hint="default"/>
                <w:color w:val="auto"/>
                <w:sz w:val="24"/>
                <w:szCs w:val="24"/>
                <w:highlight w:val="none"/>
              </w:rPr>
            </w:pPr>
            <w:r>
              <w:rPr>
                <w:rFonts w:hint="eastAsia"/>
                <w:color w:val="auto"/>
                <w:sz w:val="24"/>
                <w:szCs w:val="24"/>
                <w:highlight w:val="none"/>
                <w:lang w:val="en-US" w:eastAsia="zh-CN"/>
              </w:rPr>
              <w:t>7.52</w:t>
            </w:r>
          </w:p>
        </w:tc>
      </w:tr>
      <w:tr w14:paraId="481BC2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33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51A8965">
            <w:pPr>
              <w:pStyle w:val="42"/>
              <w:bidi w:val="0"/>
              <w:rPr>
                <w:rFonts w:hint="default"/>
                <w:color w:val="auto"/>
                <w:sz w:val="24"/>
                <w:szCs w:val="24"/>
                <w:highlight w:val="none"/>
              </w:rPr>
            </w:pPr>
            <w:r>
              <w:rPr>
                <w:rFonts w:hint="eastAsia"/>
                <w:color w:val="auto"/>
                <w:sz w:val="24"/>
                <w:szCs w:val="24"/>
                <w:highlight w:val="none"/>
                <w:lang w:val="en-US" w:eastAsia="zh-CN"/>
              </w:rPr>
              <w:t>800</w:t>
            </w:r>
          </w:p>
        </w:tc>
        <w:tc>
          <w:tcPr>
            <w:tcW w:w="358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A2E4657">
            <w:pPr>
              <w:pStyle w:val="42"/>
              <w:bidi w:val="0"/>
              <w:rPr>
                <w:rFonts w:hint="default"/>
                <w:color w:val="auto"/>
                <w:sz w:val="24"/>
                <w:szCs w:val="24"/>
                <w:highlight w:val="none"/>
              </w:rPr>
            </w:pPr>
            <w:r>
              <w:rPr>
                <w:rFonts w:hint="eastAsia"/>
                <w:color w:val="auto"/>
                <w:sz w:val="24"/>
                <w:szCs w:val="24"/>
                <w:highlight w:val="none"/>
                <w:lang w:val="en-US" w:eastAsia="zh-CN"/>
              </w:rPr>
              <w:t>0.0716</w:t>
            </w:r>
          </w:p>
        </w:tc>
        <w:tc>
          <w:tcPr>
            <w:tcW w:w="248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FC6E1B5">
            <w:pPr>
              <w:pStyle w:val="42"/>
              <w:bidi w:val="0"/>
              <w:rPr>
                <w:rFonts w:hint="default"/>
                <w:color w:val="auto"/>
                <w:sz w:val="24"/>
                <w:szCs w:val="24"/>
                <w:highlight w:val="none"/>
              </w:rPr>
            </w:pPr>
            <w:r>
              <w:rPr>
                <w:rFonts w:hint="eastAsia"/>
                <w:color w:val="auto"/>
                <w:sz w:val="24"/>
                <w:szCs w:val="24"/>
                <w:highlight w:val="none"/>
                <w:lang w:val="en-US" w:eastAsia="zh-CN"/>
              </w:rPr>
              <w:t>7.96</w:t>
            </w:r>
          </w:p>
        </w:tc>
      </w:tr>
      <w:tr w14:paraId="50B3BF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33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9AB9379">
            <w:pPr>
              <w:pStyle w:val="42"/>
              <w:bidi w:val="0"/>
              <w:rPr>
                <w:rFonts w:hint="default"/>
                <w:color w:val="auto"/>
                <w:sz w:val="24"/>
                <w:szCs w:val="24"/>
                <w:highlight w:val="none"/>
              </w:rPr>
            </w:pPr>
            <w:r>
              <w:rPr>
                <w:rFonts w:hint="eastAsia"/>
                <w:color w:val="auto"/>
                <w:sz w:val="24"/>
                <w:szCs w:val="24"/>
                <w:highlight w:val="none"/>
                <w:lang w:val="en-US" w:eastAsia="zh-CN"/>
              </w:rPr>
              <w:t>825</w:t>
            </w:r>
          </w:p>
        </w:tc>
        <w:tc>
          <w:tcPr>
            <w:tcW w:w="358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194642C">
            <w:pPr>
              <w:pStyle w:val="42"/>
              <w:bidi w:val="0"/>
              <w:rPr>
                <w:rFonts w:hint="default"/>
                <w:color w:val="auto"/>
                <w:sz w:val="24"/>
                <w:szCs w:val="24"/>
                <w:highlight w:val="none"/>
              </w:rPr>
            </w:pPr>
            <w:r>
              <w:rPr>
                <w:rFonts w:hint="eastAsia"/>
                <w:color w:val="auto"/>
                <w:sz w:val="24"/>
                <w:szCs w:val="24"/>
                <w:highlight w:val="none"/>
                <w:lang w:val="en-US" w:eastAsia="zh-CN"/>
              </w:rPr>
              <w:t>0.0726</w:t>
            </w:r>
          </w:p>
        </w:tc>
        <w:tc>
          <w:tcPr>
            <w:tcW w:w="248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8C9C346">
            <w:pPr>
              <w:pStyle w:val="42"/>
              <w:bidi w:val="0"/>
              <w:rPr>
                <w:rFonts w:hint="default"/>
                <w:color w:val="auto"/>
                <w:sz w:val="24"/>
                <w:szCs w:val="24"/>
                <w:highlight w:val="none"/>
              </w:rPr>
            </w:pPr>
            <w:r>
              <w:rPr>
                <w:rFonts w:hint="eastAsia"/>
                <w:color w:val="auto"/>
                <w:sz w:val="24"/>
                <w:szCs w:val="24"/>
                <w:highlight w:val="none"/>
                <w:lang w:val="en-US" w:eastAsia="zh-CN"/>
              </w:rPr>
              <w:t>8.07</w:t>
            </w:r>
          </w:p>
        </w:tc>
      </w:tr>
      <w:tr w14:paraId="7678CC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7" w:hRule="exact"/>
        </w:trPr>
        <w:tc>
          <w:tcPr>
            <w:tcW w:w="33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251E98D">
            <w:pPr>
              <w:pStyle w:val="42"/>
              <w:bidi w:val="0"/>
              <w:rPr>
                <w:rFonts w:hint="default"/>
                <w:color w:val="auto"/>
                <w:sz w:val="24"/>
                <w:szCs w:val="24"/>
                <w:highlight w:val="none"/>
              </w:rPr>
            </w:pPr>
            <w:r>
              <w:rPr>
                <w:rFonts w:hint="eastAsia"/>
                <w:color w:val="auto"/>
                <w:sz w:val="24"/>
                <w:szCs w:val="24"/>
                <w:highlight w:val="none"/>
                <w:lang w:val="en-US" w:eastAsia="zh-CN"/>
              </w:rPr>
              <w:t>850</w:t>
            </w:r>
          </w:p>
        </w:tc>
        <w:tc>
          <w:tcPr>
            <w:tcW w:w="358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F2F3920">
            <w:pPr>
              <w:pStyle w:val="42"/>
              <w:bidi w:val="0"/>
              <w:rPr>
                <w:rFonts w:hint="default"/>
                <w:color w:val="auto"/>
                <w:sz w:val="24"/>
                <w:szCs w:val="24"/>
                <w:highlight w:val="none"/>
              </w:rPr>
            </w:pPr>
            <w:r>
              <w:rPr>
                <w:rFonts w:hint="eastAsia"/>
                <w:color w:val="auto"/>
                <w:sz w:val="24"/>
                <w:szCs w:val="24"/>
                <w:highlight w:val="none"/>
                <w:lang w:val="en-US" w:eastAsia="zh-CN"/>
              </w:rPr>
              <w:t>0.0732</w:t>
            </w:r>
          </w:p>
        </w:tc>
        <w:tc>
          <w:tcPr>
            <w:tcW w:w="248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8CFA1AC">
            <w:pPr>
              <w:pStyle w:val="42"/>
              <w:bidi w:val="0"/>
              <w:rPr>
                <w:rFonts w:hint="default"/>
                <w:color w:val="auto"/>
                <w:sz w:val="24"/>
                <w:szCs w:val="24"/>
                <w:highlight w:val="none"/>
              </w:rPr>
            </w:pPr>
            <w:r>
              <w:rPr>
                <w:rFonts w:hint="eastAsia"/>
                <w:color w:val="auto"/>
                <w:sz w:val="24"/>
                <w:szCs w:val="24"/>
                <w:highlight w:val="none"/>
                <w:lang w:val="en-US" w:eastAsia="zh-CN"/>
              </w:rPr>
              <w:t>8.13</w:t>
            </w:r>
          </w:p>
        </w:tc>
      </w:tr>
      <w:tr w14:paraId="761DD4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7" w:hRule="exact"/>
        </w:trPr>
        <w:tc>
          <w:tcPr>
            <w:tcW w:w="33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09B8325">
            <w:pPr>
              <w:pStyle w:val="42"/>
              <w:bidi w:val="0"/>
              <w:rPr>
                <w:rFonts w:hint="default"/>
                <w:color w:val="auto"/>
                <w:sz w:val="24"/>
                <w:szCs w:val="24"/>
                <w:highlight w:val="none"/>
                <w:lang w:val="en-US" w:eastAsia="zh-CN"/>
              </w:rPr>
            </w:pPr>
            <w:r>
              <w:rPr>
                <w:rFonts w:hint="eastAsia"/>
                <w:color w:val="auto"/>
                <w:sz w:val="24"/>
                <w:szCs w:val="24"/>
                <w:highlight w:val="none"/>
                <w:lang w:val="en-US" w:eastAsia="zh-CN"/>
              </w:rPr>
              <w:t>875</w:t>
            </w:r>
          </w:p>
        </w:tc>
        <w:tc>
          <w:tcPr>
            <w:tcW w:w="358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23A91B1">
            <w:pPr>
              <w:pStyle w:val="42"/>
              <w:bidi w:val="0"/>
              <w:rPr>
                <w:rFonts w:hint="default"/>
                <w:color w:val="auto"/>
                <w:sz w:val="24"/>
                <w:szCs w:val="24"/>
                <w:highlight w:val="none"/>
              </w:rPr>
            </w:pPr>
            <w:r>
              <w:rPr>
                <w:rFonts w:hint="eastAsia"/>
                <w:color w:val="auto"/>
                <w:sz w:val="24"/>
                <w:szCs w:val="24"/>
                <w:highlight w:val="none"/>
                <w:lang w:val="en-US" w:eastAsia="zh-CN"/>
              </w:rPr>
              <w:t>0.0733</w:t>
            </w:r>
          </w:p>
        </w:tc>
        <w:tc>
          <w:tcPr>
            <w:tcW w:w="248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11CCE60">
            <w:pPr>
              <w:pStyle w:val="42"/>
              <w:bidi w:val="0"/>
              <w:rPr>
                <w:rFonts w:hint="default"/>
                <w:color w:val="auto"/>
                <w:sz w:val="24"/>
                <w:szCs w:val="24"/>
                <w:highlight w:val="none"/>
              </w:rPr>
            </w:pPr>
            <w:r>
              <w:rPr>
                <w:rFonts w:hint="eastAsia"/>
                <w:color w:val="auto"/>
                <w:sz w:val="24"/>
                <w:szCs w:val="24"/>
                <w:highlight w:val="none"/>
                <w:lang w:val="en-US" w:eastAsia="zh-CN"/>
              </w:rPr>
              <w:t>8.15</w:t>
            </w:r>
          </w:p>
        </w:tc>
      </w:tr>
      <w:tr w14:paraId="76B7B4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7" w:hRule="exact"/>
        </w:trPr>
        <w:tc>
          <w:tcPr>
            <w:tcW w:w="33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9BE8604">
            <w:pPr>
              <w:pStyle w:val="42"/>
              <w:bidi w:val="0"/>
              <w:rPr>
                <w:rFonts w:hint="default"/>
                <w:color w:val="auto"/>
                <w:sz w:val="24"/>
                <w:szCs w:val="24"/>
                <w:highlight w:val="none"/>
                <w:lang w:val="en-US" w:eastAsia="zh-CN"/>
              </w:rPr>
            </w:pPr>
            <w:r>
              <w:rPr>
                <w:rFonts w:hint="eastAsia"/>
                <w:color w:val="auto"/>
                <w:sz w:val="24"/>
                <w:szCs w:val="24"/>
                <w:highlight w:val="none"/>
                <w:lang w:val="en-US" w:eastAsia="zh-CN"/>
              </w:rPr>
              <w:t>888</w:t>
            </w:r>
          </w:p>
        </w:tc>
        <w:tc>
          <w:tcPr>
            <w:tcW w:w="358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4D25F0E">
            <w:pPr>
              <w:pStyle w:val="42"/>
              <w:bidi w:val="0"/>
              <w:rPr>
                <w:rFonts w:hint="default"/>
                <w:color w:val="auto"/>
                <w:sz w:val="24"/>
                <w:szCs w:val="24"/>
                <w:highlight w:val="none"/>
                <w:lang w:val="en-US" w:eastAsia="zh-CN"/>
              </w:rPr>
            </w:pPr>
            <w:r>
              <w:rPr>
                <w:rFonts w:hint="eastAsia"/>
                <w:color w:val="auto"/>
                <w:sz w:val="24"/>
                <w:szCs w:val="24"/>
                <w:highlight w:val="none"/>
                <w:lang w:val="en-US" w:eastAsia="zh-CN"/>
              </w:rPr>
              <w:t>0.0736</w:t>
            </w:r>
          </w:p>
        </w:tc>
        <w:tc>
          <w:tcPr>
            <w:tcW w:w="248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BCE9C62">
            <w:pPr>
              <w:pStyle w:val="42"/>
              <w:bidi w:val="0"/>
              <w:rPr>
                <w:rFonts w:hint="default"/>
                <w:color w:val="auto"/>
                <w:sz w:val="24"/>
                <w:szCs w:val="24"/>
                <w:highlight w:val="none"/>
                <w:lang w:val="en-US" w:eastAsia="zh-CN"/>
              </w:rPr>
            </w:pPr>
            <w:r>
              <w:rPr>
                <w:rFonts w:hint="eastAsia"/>
                <w:color w:val="auto"/>
                <w:sz w:val="24"/>
                <w:szCs w:val="24"/>
                <w:highlight w:val="none"/>
                <w:lang w:val="en-US" w:eastAsia="zh-CN"/>
              </w:rPr>
              <w:t>8.17</w:t>
            </w:r>
          </w:p>
        </w:tc>
      </w:tr>
      <w:tr w14:paraId="6A19BC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7" w:hRule="exact"/>
        </w:trPr>
        <w:tc>
          <w:tcPr>
            <w:tcW w:w="33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BAB8791">
            <w:pPr>
              <w:pStyle w:val="42"/>
              <w:bidi w:val="0"/>
              <w:rPr>
                <w:rFonts w:hint="default"/>
                <w:color w:val="auto"/>
                <w:sz w:val="24"/>
                <w:szCs w:val="24"/>
                <w:highlight w:val="none"/>
                <w:lang w:val="en-US" w:eastAsia="zh-CN"/>
              </w:rPr>
            </w:pPr>
            <w:r>
              <w:rPr>
                <w:rFonts w:hint="eastAsia"/>
                <w:color w:val="auto"/>
                <w:sz w:val="24"/>
                <w:szCs w:val="24"/>
                <w:highlight w:val="none"/>
                <w:lang w:val="en-US" w:eastAsia="zh-CN"/>
              </w:rPr>
              <w:t>900</w:t>
            </w:r>
          </w:p>
        </w:tc>
        <w:tc>
          <w:tcPr>
            <w:tcW w:w="358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2CFE359">
            <w:pPr>
              <w:pStyle w:val="42"/>
              <w:bidi w:val="0"/>
              <w:rPr>
                <w:rFonts w:hint="default"/>
                <w:color w:val="auto"/>
                <w:sz w:val="24"/>
                <w:szCs w:val="24"/>
                <w:highlight w:val="none"/>
                <w:lang w:val="en-US" w:eastAsia="zh-CN"/>
              </w:rPr>
            </w:pPr>
            <w:r>
              <w:rPr>
                <w:rFonts w:hint="eastAsia"/>
                <w:color w:val="auto"/>
                <w:sz w:val="24"/>
                <w:szCs w:val="24"/>
                <w:highlight w:val="none"/>
                <w:lang w:val="en-US" w:eastAsia="zh-CN"/>
              </w:rPr>
              <w:t>0.0734</w:t>
            </w:r>
          </w:p>
        </w:tc>
        <w:tc>
          <w:tcPr>
            <w:tcW w:w="248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351C04A">
            <w:pPr>
              <w:pStyle w:val="42"/>
              <w:bidi w:val="0"/>
              <w:rPr>
                <w:rFonts w:hint="default"/>
                <w:color w:val="auto"/>
                <w:sz w:val="24"/>
                <w:szCs w:val="24"/>
                <w:highlight w:val="none"/>
                <w:lang w:val="en-US" w:eastAsia="zh-CN"/>
              </w:rPr>
            </w:pPr>
            <w:r>
              <w:rPr>
                <w:rFonts w:hint="eastAsia"/>
                <w:color w:val="auto"/>
                <w:sz w:val="24"/>
                <w:szCs w:val="24"/>
                <w:highlight w:val="none"/>
                <w:lang w:val="en-US" w:eastAsia="zh-CN"/>
              </w:rPr>
              <w:t>8.15</w:t>
            </w:r>
          </w:p>
        </w:tc>
      </w:tr>
      <w:tr w14:paraId="32C801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7" w:hRule="exact"/>
        </w:trPr>
        <w:tc>
          <w:tcPr>
            <w:tcW w:w="33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33580EF">
            <w:pPr>
              <w:pStyle w:val="42"/>
              <w:bidi w:val="0"/>
              <w:rPr>
                <w:rFonts w:hint="default"/>
                <w:color w:val="auto"/>
                <w:sz w:val="24"/>
                <w:szCs w:val="24"/>
                <w:highlight w:val="none"/>
                <w:lang w:val="en-US" w:eastAsia="zh-CN"/>
              </w:rPr>
            </w:pPr>
            <w:r>
              <w:rPr>
                <w:rFonts w:hint="eastAsia"/>
                <w:color w:val="auto"/>
                <w:sz w:val="24"/>
                <w:szCs w:val="24"/>
                <w:highlight w:val="none"/>
                <w:lang w:val="en-US" w:eastAsia="zh-CN"/>
              </w:rPr>
              <w:t>1000</w:t>
            </w:r>
          </w:p>
        </w:tc>
        <w:tc>
          <w:tcPr>
            <w:tcW w:w="358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BC2DD07">
            <w:pPr>
              <w:pStyle w:val="42"/>
              <w:bidi w:val="0"/>
              <w:rPr>
                <w:rFonts w:hint="default"/>
                <w:color w:val="auto"/>
                <w:sz w:val="24"/>
                <w:szCs w:val="24"/>
                <w:highlight w:val="none"/>
                <w:lang w:val="en-US" w:eastAsia="zh-CN"/>
              </w:rPr>
            </w:pPr>
            <w:r>
              <w:rPr>
                <w:rFonts w:hint="eastAsia"/>
                <w:color w:val="auto"/>
                <w:sz w:val="24"/>
                <w:szCs w:val="24"/>
                <w:highlight w:val="none"/>
                <w:lang w:val="en-US" w:eastAsia="zh-CN"/>
              </w:rPr>
              <w:t>0.0721</w:t>
            </w:r>
          </w:p>
        </w:tc>
        <w:tc>
          <w:tcPr>
            <w:tcW w:w="248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A2C27EA">
            <w:pPr>
              <w:pStyle w:val="42"/>
              <w:bidi w:val="0"/>
              <w:rPr>
                <w:rFonts w:hint="default"/>
                <w:color w:val="auto"/>
                <w:sz w:val="24"/>
                <w:szCs w:val="24"/>
                <w:highlight w:val="none"/>
                <w:lang w:val="en-US" w:eastAsia="zh-CN"/>
              </w:rPr>
            </w:pPr>
            <w:r>
              <w:rPr>
                <w:rFonts w:hint="eastAsia"/>
                <w:color w:val="auto"/>
                <w:sz w:val="24"/>
                <w:szCs w:val="24"/>
                <w:highlight w:val="none"/>
                <w:lang w:val="en-US" w:eastAsia="zh-CN"/>
              </w:rPr>
              <w:t>8.01</w:t>
            </w:r>
          </w:p>
        </w:tc>
      </w:tr>
      <w:tr w14:paraId="3345E0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7" w:hRule="exact"/>
        </w:trPr>
        <w:tc>
          <w:tcPr>
            <w:tcW w:w="33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2D5A86B">
            <w:pPr>
              <w:pStyle w:val="42"/>
              <w:bidi w:val="0"/>
              <w:rPr>
                <w:rFonts w:hint="eastAsia"/>
                <w:color w:val="auto"/>
                <w:sz w:val="24"/>
                <w:szCs w:val="24"/>
                <w:highlight w:val="none"/>
                <w:lang w:val="en-US" w:eastAsia="zh-CN"/>
              </w:rPr>
            </w:pPr>
            <w:r>
              <w:rPr>
                <w:rFonts w:hint="eastAsia"/>
                <w:color w:val="auto"/>
                <w:sz w:val="24"/>
                <w:szCs w:val="24"/>
                <w:highlight w:val="none"/>
                <w:lang w:val="en-US" w:eastAsia="zh-CN"/>
              </w:rPr>
              <w:t>1500</w:t>
            </w:r>
          </w:p>
        </w:tc>
        <w:tc>
          <w:tcPr>
            <w:tcW w:w="358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ED6AA66">
            <w:pPr>
              <w:pStyle w:val="42"/>
              <w:bidi w:val="0"/>
              <w:rPr>
                <w:rFonts w:hint="eastAsia"/>
                <w:color w:val="auto"/>
                <w:sz w:val="24"/>
                <w:szCs w:val="24"/>
                <w:highlight w:val="none"/>
                <w:lang w:val="en-US" w:eastAsia="zh-CN"/>
              </w:rPr>
            </w:pPr>
            <w:r>
              <w:rPr>
                <w:rFonts w:hint="eastAsia"/>
                <w:color w:val="auto"/>
                <w:sz w:val="24"/>
                <w:szCs w:val="24"/>
                <w:highlight w:val="none"/>
                <w:lang w:val="en-US" w:eastAsia="zh-CN"/>
              </w:rPr>
              <w:t>0.0665</w:t>
            </w:r>
          </w:p>
        </w:tc>
        <w:tc>
          <w:tcPr>
            <w:tcW w:w="248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2EAC35C">
            <w:pPr>
              <w:pStyle w:val="42"/>
              <w:bidi w:val="0"/>
              <w:rPr>
                <w:rFonts w:hint="eastAsia"/>
                <w:color w:val="auto"/>
                <w:sz w:val="24"/>
                <w:szCs w:val="24"/>
                <w:highlight w:val="none"/>
                <w:lang w:val="en-US" w:eastAsia="zh-CN"/>
              </w:rPr>
            </w:pPr>
            <w:r>
              <w:rPr>
                <w:rFonts w:hint="eastAsia"/>
                <w:color w:val="auto"/>
                <w:sz w:val="24"/>
                <w:szCs w:val="24"/>
                <w:highlight w:val="none"/>
                <w:lang w:val="en-US" w:eastAsia="zh-CN"/>
              </w:rPr>
              <w:t>7.39</w:t>
            </w:r>
          </w:p>
        </w:tc>
      </w:tr>
      <w:tr w14:paraId="2F8835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7" w:hRule="exact"/>
        </w:trPr>
        <w:tc>
          <w:tcPr>
            <w:tcW w:w="33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27F1A5D">
            <w:pPr>
              <w:pStyle w:val="42"/>
              <w:bidi w:val="0"/>
              <w:rPr>
                <w:rFonts w:hint="eastAsia"/>
                <w:color w:val="auto"/>
                <w:sz w:val="24"/>
                <w:szCs w:val="24"/>
                <w:highlight w:val="none"/>
                <w:lang w:val="en-US" w:eastAsia="zh-CN"/>
              </w:rPr>
            </w:pPr>
            <w:r>
              <w:rPr>
                <w:rFonts w:hint="eastAsia"/>
                <w:color w:val="auto"/>
                <w:sz w:val="24"/>
                <w:szCs w:val="24"/>
                <w:highlight w:val="none"/>
                <w:lang w:val="en-US" w:eastAsia="zh-CN"/>
              </w:rPr>
              <w:t>2000</w:t>
            </w:r>
          </w:p>
        </w:tc>
        <w:tc>
          <w:tcPr>
            <w:tcW w:w="358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2901A3F">
            <w:pPr>
              <w:pStyle w:val="42"/>
              <w:bidi w:val="0"/>
              <w:rPr>
                <w:rFonts w:hint="eastAsia"/>
                <w:color w:val="auto"/>
                <w:sz w:val="24"/>
                <w:szCs w:val="24"/>
                <w:highlight w:val="none"/>
                <w:lang w:val="en-US" w:eastAsia="zh-CN"/>
              </w:rPr>
            </w:pPr>
            <w:r>
              <w:rPr>
                <w:rFonts w:hint="eastAsia"/>
                <w:color w:val="auto"/>
                <w:sz w:val="24"/>
                <w:szCs w:val="24"/>
                <w:highlight w:val="none"/>
                <w:lang w:val="en-US" w:eastAsia="zh-CN"/>
              </w:rPr>
              <w:t>0.0599</w:t>
            </w:r>
          </w:p>
        </w:tc>
        <w:tc>
          <w:tcPr>
            <w:tcW w:w="248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043C67D">
            <w:pPr>
              <w:pStyle w:val="42"/>
              <w:bidi w:val="0"/>
              <w:rPr>
                <w:rFonts w:hint="eastAsia"/>
                <w:color w:val="auto"/>
                <w:sz w:val="24"/>
                <w:szCs w:val="24"/>
                <w:highlight w:val="none"/>
                <w:lang w:val="en-US" w:eastAsia="zh-CN"/>
              </w:rPr>
            </w:pPr>
            <w:r>
              <w:rPr>
                <w:rFonts w:hint="eastAsia"/>
                <w:color w:val="auto"/>
                <w:sz w:val="24"/>
                <w:szCs w:val="24"/>
                <w:highlight w:val="none"/>
                <w:lang w:val="en-US" w:eastAsia="zh-CN"/>
              </w:rPr>
              <w:t>6.66</w:t>
            </w:r>
          </w:p>
        </w:tc>
      </w:tr>
      <w:tr w14:paraId="13D25D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7" w:hRule="exact"/>
        </w:trPr>
        <w:tc>
          <w:tcPr>
            <w:tcW w:w="33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B796113">
            <w:pPr>
              <w:pStyle w:val="42"/>
              <w:bidi w:val="0"/>
              <w:rPr>
                <w:rFonts w:hint="eastAsia"/>
                <w:color w:val="auto"/>
                <w:sz w:val="24"/>
                <w:szCs w:val="24"/>
                <w:highlight w:val="none"/>
                <w:lang w:val="en-US" w:eastAsia="zh-CN"/>
              </w:rPr>
            </w:pPr>
            <w:r>
              <w:rPr>
                <w:rFonts w:hint="eastAsia"/>
                <w:color w:val="auto"/>
                <w:sz w:val="24"/>
                <w:szCs w:val="24"/>
                <w:highlight w:val="none"/>
                <w:lang w:val="en-US" w:eastAsia="zh-CN"/>
              </w:rPr>
              <w:t>2500</w:t>
            </w:r>
          </w:p>
        </w:tc>
        <w:tc>
          <w:tcPr>
            <w:tcW w:w="358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87C90EE">
            <w:pPr>
              <w:pStyle w:val="42"/>
              <w:bidi w:val="0"/>
              <w:rPr>
                <w:rFonts w:hint="eastAsia"/>
                <w:color w:val="auto"/>
                <w:sz w:val="24"/>
                <w:szCs w:val="24"/>
                <w:highlight w:val="none"/>
                <w:lang w:val="en-US" w:eastAsia="zh-CN"/>
              </w:rPr>
            </w:pPr>
            <w:r>
              <w:rPr>
                <w:rFonts w:hint="eastAsia"/>
                <w:color w:val="auto"/>
                <w:sz w:val="24"/>
                <w:szCs w:val="24"/>
                <w:highlight w:val="none"/>
                <w:lang w:val="en-US" w:eastAsia="zh-CN"/>
              </w:rPr>
              <w:t>0.0589</w:t>
            </w:r>
          </w:p>
        </w:tc>
        <w:tc>
          <w:tcPr>
            <w:tcW w:w="248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BF3863A">
            <w:pPr>
              <w:pStyle w:val="42"/>
              <w:bidi w:val="0"/>
              <w:rPr>
                <w:rFonts w:hint="eastAsia"/>
                <w:color w:val="auto"/>
                <w:sz w:val="24"/>
                <w:szCs w:val="24"/>
                <w:highlight w:val="none"/>
                <w:lang w:val="en-US" w:eastAsia="zh-CN"/>
              </w:rPr>
            </w:pPr>
            <w:r>
              <w:rPr>
                <w:rFonts w:hint="eastAsia"/>
                <w:color w:val="auto"/>
                <w:sz w:val="24"/>
                <w:szCs w:val="24"/>
                <w:highlight w:val="none"/>
                <w:lang w:val="en-US" w:eastAsia="zh-CN"/>
              </w:rPr>
              <w:t>6.54</w:t>
            </w:r>
          </w:p>
        </w:tc>
      </w:tr>
    </w:tbl>
    <w:p w14:paraId="30ACD5C5">
      <w:pPr>
        <w:pStyle w:val="45"/>
        <w:bidi w:val="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表5.2-9    无组织面源表土堆场废气排放</w:t>
      </w:r>
      <w:r>
        <w:rPr>
          <w:rFonts w:hint="default" w:ascii="Times New Roman" w:hAnsi="Times New Roman" w:cs="Times New Roman"/>
          <w:color w:val="auto"/>
          <w:sz w:val="24"/>
          <w:szCs w:val="24"/>
          <w:highlight w:val="none"/>
        </w:rPr>
        <w:t>采用估算模式计算结果</w:t>
      </w:r>
    </w:p>
    <w:tbl>
      <w:tblPr>
        <w:tblStyle w:val="31"/>
        <w:tblW w:w="4999"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911"/>
        <w:gridCol w:w="3121"/>
        <w:gridCol w:w="2332"/>
      </w:tblGrid>
      <w:tr w14:paraId="6F0E24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9" w:hRule="exact"/>
          <w:jc w:val="center"/>
        </w:trPr>
        <w:tc>
          <w:tcPr>
            <w:tcW w:w="2088" w:type="pct"/>
            <w:vMerge w:val="restar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761AF31">
            <w:pPr>
              <w:pStyle w:val="42"/>
              <w:bidi w:val="0"/>
              <w:rPr>
                <w:rFonts w:hint="default"/>
                <w:color w:val="auto"/>
                <w:sz w:val="24"/>
                <w:szCs w:val="24"/>
                <w:highlight w:val="none"/>
              </w:rPr>
            </w:pPr>
            <w:r>
              <w:rPr>
                <w:rFonts w:hint="default"/>
                <w:color w:val="auto"/>
                <w:sz w:val="24"/>
                <w:szCs w:val="24"/>
                <w:highlight w:val="none"/>
              </w:rPr>
              <w:t>距源中心下风向距离</w:t>
            </w:r>
          </w:p>
          <w:p w14:paraId="1CA104D5">
            <w:pPr>
              <w:pStyle w:val="42"/>
              <w:bidi w:val="0"/>
              <w:rPr>
                <w:rFonts w:hint="default"/>
                <w:color w:val="auto"/>
                <w:sz w:val="24"/>
                <w:szCs w:val="24"/>
                <w:highlight w:val="none"/>
              </w:rPr>
            </w:pPr>
            <w:r>
              <w:rPr>
                <w:rFonts w:hint="default"/>
                <w:color w:val="auto"/>
                <w:sz w:val="24"/>
                <w:szCs w:val="24"/>
                <w:highlight w:val="none"/>
              </w:rPr>
              <w:t>D/m</w:t>
            </w:r>
          </w:p>
        </w:tc>
        <w:tc>
          <w:tcPr>
            <w:tcW w:w="2911" w:type="pct"/>
            <w:gridSpan w:val="2"/>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3297B8A">
            <w:pPr>
              <w:pStyle w:val="42"/>
              <w:bidi w:val="0"/>
              <w:rPr>
                <w:rFonts w:hint="default"/>
                <w:color w:val="auto"/>
                <w:sz w:val="24"/>
                <w:szCs w:val="24"/>
                <w:highlight w:val="none"/>
                <w:lang w:val="en-US" w:eastAsia="zh-CN"/>
              </w:rPr>
            </w:pPr>
            <w:r>
              <w:rPr>
                <w:rFonts w:hint="default"/>
                <w:color w:val="auto"/>
                <w:sz w:val="24"/>
                <w:szCs w:val="24"/>
                <w:highlight w:val="none"/>
                <w:lang w:val="en-US" w:eastAsia="zh-CN"/>
              </w:rPr>
              <w:t>TSP</w:t>
            </w:r>
          </w:p>
        </w:tc>
      </w:tr>
      <w:tr w14:paraId="6BB101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exact"/>
          <w:jc w:val="center"/>
        </w:trPr>
        <w:tc>
          <w:tcPr>
            <w:tcW w:w="2088" w:type="pct"/>
            <w:vMerge w:val="continue"/>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12DD76A">
            <w:pPr>
              <w:pStyle w:val="42"/>
              <w:bidi w:val="0"/>
              <w:rPr>
                <w:rFonts w:hint="default"/>
                <w:color w:val="auto"/>
                <w:sz w:val="24"/>
                <w:szCs w:val="24"/>
                <w:highlight w:val="none"/>
              </w:rPr>
            </w:pPr>
          </w:p>
        </w:tc>
        <w:tc>
          <w:tcPr>
            <w:tcW w:w="1666"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F3C141D">
            <w:pPr>
              <w:pStyle w:val="42"/>
              <w:bidi w:val="0"/>
              <w:rPr>
                <w:rFonts w:hint="default"/>
                <w:color w:val="auto"/>
                <w:sz w:val="24"/>
                <w:szCs w:val="24"/>
                <w:highlight w:val="none"/>
              </w:rPr>
            </w:pPr>
            <w:r>
              <w:rPr>
                <w:rFonts w:hint="default"/>
                <w:color w:val="auto"/>
                <w:sz w:val="24"/>
                <w:szCs w:val="24"/>
                <w:highlight w:val="none"/>
              </w:rPr>
              <w:t>下风向预测浓度（</w:t>
            </w:r>
            <w:r>
              <w:rPr>
                <w:rFonts w:hint="default"/>
                <w:color w:val="auto"/>
                <w:sz w:val="24"/>
                <w:szCs w:val="24"/>
                <w:highlight w:val="none"/>
                <w:lang w:val="en-US" w:eastAsia="zh-CN"/>
              </w:rPr>
              <w:t>m</w:t>
            </w:r>
            <w:r>
              <w:rPr>
                <w:rFonts w:hint="default"/>
                <w:color w:val="auto"/>
                <w:sz w:val="24"/>
                <w:szCs w:val="24"/>
                <w:highlight w:val="none"/>
              </w:rPr>
              <w:t>g/m</w:t>
            </w:r>
            <w:r>
              <w:rPr>
                <w:rFonts w:hint="default"/>
                <w:color w:val="auto"/>
                <w:sz w:val="24"/>
                <w:szCs w:val="24"/>
                <w:highlight w:val="none"/>
                <w:vertAlign w:val="superscript"/>
              </w:rPr>
              <w:t>3</w:t>
            </w:r>
            <w:r>
              <w:rPr>
                <w:rFonts w:hint="default"/>
                <w:color w:val="auto"/>
                <w:sz w:val="24"/>
                <w:szCs w:val="24"/>
                <w:highlight w:val="none"/>
              </w:rPr>
              <w:t>）</w:t>
            </w:r>
          </w:p>
        </w:tc>
        <w:tc>
          <w:tcPr>
            <w:tcW w:w="124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579FCF4">
            <w:pPr>
              <w:pStyle w:val="42"/>
              <w:bidi w:val="0"/>
              <w:rPr>
                <w:rFonts w:hint="default"/>
                <w:color w:val="auto"/>
                <w:sz w:val="24"/>
                <w:szCs w:val="24"/>
                <w:highlight w:val="none"/>
              </w:rPr>
            </w:pPr>
            <w:r>
              <w:rPr>
                <w:rFonts w:hint="default"/>
                <w:color w:val="auto"/>
                <w:sz w:val="24"/>
                <w:szCs w:val="24"/>
                <w:highlight w:val="none"/>
              </w:rPr>
              <w:t>浓度占标率（%）</w:t>
            </w:r>
          </w:p>
        </w:tc>
      </w:tr>
      <w:tr w14:paraId="52E0B9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1" w:hRule="exact"/>
          <w:jc w:val="center"/>
        </w:trPr>
        <w:tc>
          <w:tcPr>
            <w:tcW w:w="2088"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089FE91">
            <w:pPr>
              <w:pStyle w:val="42"/>
              <w:bidi w:val="0"/>
              <w:rPr>
                <w:rFonts w:hint="default"/>
                <w:color w:val="auto"/>
                <w:sz w:val="24"/>
                <w:szCs w:val="24"/>
                <w:highlight w:val="none"/>
              </w:rPr>
            </w:pPr>
            <w:r>
              <w:rPr>
                <w:rFonts w:hint="eastAsia"/>
                <w:color w:val="auto"/>
                <w:sz w:val="24"/>
                <w:szCs w:val="24"/>
                <w:highlight w:val="none"/>
                <w:lang w:val="en-US" w:eastAsia="zh-CN"/>
              </w:rPr>
              <w:t>10</w:t>
            </w:r>
          </w:p>
        </w:tc>
        <w:tc>
          <w:tcPr>
            <w:tcW w:w="1666"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E23CB1E">
            <w:pPr>
              <w:pStyle w:val="42"/>
              <w:bidi w:val="0"/>
              <w:rPr>
                <w:rFonts w:hint="default"/>
                <w:color w:val="auto"/>
                <w:sz w:val="24"/>
                <w:szCs w:val="24"/>
                <w:highlight w:val="none"/>
              </w:rPr>
            </w:pPr>
            <w:r>
              <w:rPr>
                <w:rFonts w:hint="eastAsia"/>
                <w:color w:val="auto"/>
                <w:sz w:val="24"/>
                <w:szCs w:val="24"/>
                <w:highlight w:val="none"/>
                <w:lang w:val="en-US" w:eastAsia="zh-CN"/>
              </w:rPr>
              <w:t>0.0104</w:t>
            </w:r>
          </w:p>
        </w:tc>
        <w:tc>
          <w:tcPr>
            <w:tcW w:w="124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A171B04">
            <w:pPr>
              <w:pStyle w:val="42"/>
              <w:bidi w:val="0"/>
              <w:rPr>
                <w:rFonts w:hint="default"/>
                <w:color w:val="auto"/>
                <w:sz w:val="24"/>
                <w:szCs w:val="24"/>
                <w:highlight w:val="none"/>
              </w:rPr>
            </w:pPr>
            <w:r>
              <w:rPr>
                <w:rFonts w:hint="eastAsia"/>
                <w:color w:val="auto"/>
                <w:sz w:val="24"/>
                <w:szCs w:val="24"/>
                <w:highlight w:val="none"/>
                <w:lang w:val="en-US" w:eastAsia="zh-CN"/>
              </w:rPr>
              <w:t>1.15</w:t>
            </w:r>
          </w:p>
        </w:tc>
      </w:tr>
      <w:tr w14:paraId="60EDDE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1" w:hRule="exact"/>
          <w:jc w:val="center"/>
        </w:trPr>
        <w:tc>
          <w:tcPr>
            <w:tcW w:w="2088"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F04CA69">
            <w:pPr>
              <w:pStyle w:val="42"/>
              <w:bidi w:val="0"/>
              <w:rPr>
                <w:rFonts w:hint="default"/>
                <w:color w:val="auto"/>
                <w:sz w:val="24"/>
                <w:szCs w:val="24"/>
                <w:highlight w:val="none"/>
              </w:rPr>
            </w:pPr>
            <w:r>
              <w:rPr>
                <w:rFonts w:hint="eastAsia"/>
                <w:color w:val="auto"/>
                <w:sz w:val="24"/>
                <w:szCs w:val="24"/>
                <w:highlight w:val="none"/>
                <w:lang w:val="en-US" w:eastAsia="zh-CN"/>
              </w:rPr>
              <w:t>25</w:t>
            </w:r>
          </w:p>
        </w:tc>
        <w:tc>
          <w:tcPr>
            <w:tcW w:w="1666"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CB6C7D9">
            <w:pPr>
              <w:pStyle w:val="42"/>
              <w:bidi w:val="0"/>
              <w:rPr>
                <w:rFonts w:hint="default"/>
                <w:color w:val="auto"/>
                <w:sz w:val="24"/>
                <w:szCs w:val="24"/>
                <w:highlight w:val="none"/>
              </w:rPr>
            </w:pPr>
            <w:r>
              <w:rPr>
                <w:rFonts w:hint="eastAsia"/>
                <w:color w:val="auto"/>
                <w:sz w:val="24"/>
                <w:szCs w:val="24"/>
                <w:highlight w:val="none"/>
                <w:lang w:val="en-US" w:eastAsia="zh-CN"/>
              </w:rPr>
              <w:t>0.0122</w:t>
            </w:r>
          </w:p>
        </w:tc>
        <w:tc>
          <w:tcPr>
            <w:tcW w:w="124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5BC535A">
            <w:pPr>
              <w:pStyle w:val="42"/>
              <w:bidi w:val="0"/>
              <w:rPr>
                <w:rFonts w:hint="default"/>
                <w:color w:val="auto"/>
                <w:sz w:val="24"/>
                <w:szCs w:val="24"/>
                <w:highlight w:val="none"/>
              </w:rPr>
            </w:pPr>
            <w:r>
              <w:rPr>
                <w:rFonts w:hint="eastAsia"/>
                <w:color w:val="auto"/>
                <w:sz w:val="24"/>
                <w:szCs w:val="24"/>
                <w:highlight w:val="none"/>
                <w:lang w:val="en-US" w:eastAsia="zh-CN"/>
              </w:rPr>
              <w:t>1.36</w:t>
            </w:r>
          </w:p>
        </w:tc>
      </w:tr>
      <w:tr w14:paraId="61C073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1" w:hRule="exact"/>
          <w:jc w:val="center"/>
        </w:trPr>
        <w:tc>
          <w:tcPr>
            <w:tcW w:w="2088"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916355E">
            <w:pPr>
              <w:pStyle w:val="42"/>
              <w:bidi w:val="0"/>
              <w:rPr>
                <w:rFonts w:hint="default"/>
                <w:color w:val="auto"/>
                <w:sz w:val="24"/>
                <w:szCs w:val="24"/>
                <w:highlight w:val="none"/>
              </w:rPr>
            </w:pPr>
            <w:r>
              <w:rPr>
                <w:rFonts w:hint="eastAsia"/>
                <w:color w:val="auto"/>
                <w:sz w:val="24"/>
                <w:szCs w:val="24"/>
                <w:highlight w:val="none"/>
                <w:lang w:val="en-US" w:eastAsia="zh-CN"/>
              </w:rPr>
              <w:t>50</w:t>
            </w:r>
          </w:p>
        </w:tc>
        <w:tc>
          <w:tcPr>
            <w:tcW w:w="1666"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B106BE3">
            <w:pPr>
              <w:pStyle w:val="42"/>
              <w:bidi w:val="0"/>
              <w:rPr>
                <w:rFonts w:hint="default"/>
                <w:color w:val="auto"/>
                <w:sz w:val="24"/>
                <w:szCs w:val="24"/>
                <w:highlight w:val="none"/>
              </w:rPr>
            </w:pPr>
            <w:r>
              <w:rPr>
                <w:rFonts w:hint="eastAsia"/>
                <w:color w:val="auto"/>
                <w:sz w:val="24"/>
                <w:szCs w:val="24"/>
                <w:highlight w:val="none"/>
                <w:lang w:val="en-US" w:eastAsia="zh-CN"/>
              </w:rPr>
              <w:t>0.0151</w:t>
            </w:r>
          </w:p>
        </w:tc>
        <w:tc>
          <w:tcPr>
            <w:tcW w:w="124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03AE064">
            <w:pPr>
              <w:pStyle w:val="42"/>
              <w:bidi w:val="0"/>
              <w:rPr>
                <w:rFonts w:hint="default"/>
                <w:color w:val="auto"/>
                <w:sz w:val="24"/>
                <w:szCs w:val="24"/>
                <w:highlight w:val="none"/>
              </w:rPr>
            </w:pPr>
            <w:r>
              <w:rPr>
                <w:rFonts w:hint="eastAsia"/>
                <w:color w:val="auto"/>
                <w:sz w:val="24"/>
                <w:szCs w:val="24"/>
                <w:highlight w:val="none"/>
                <w:lang w:val="en-US" w:eastAsia="zh-CN"/>
              </w:rPr>
              <w:t>1.68</w:t>
            </w:r>
          </w:p>
        </w:tc>
      </w:tr>
      <w:tr w14:paraId="430EBE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2088"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7EA9F64">
            <w:pPr>
              <w:pStyle w:val="42"/>
              <w:bidi w:val="0"/>
              <w:rPr>
                <w:rFonts w:hint="default"/>
                <w:color w:val="auto"/>
                <w:sz w:val="24"/>
                <w:szCs w:val="24"/>
                <w:highlight w:val="none"/>
              </w:rPr>
            </w:pPr>
            <w:r>
              <w:rPr>
                <w:rFonts w:hint="eastAsia"/>
                <w:color w:val="auto"/>
                <w:sz w:val="24"/>
                <w:szCs w:val="24"/>
                <w:highlight w:val="none"/>
                <w:lang w:val="en-US" w:eastAsia="zh-CN"/>
              </w:rPr>
              <w:t>75</w:t>
            </w:r>
          </w:p>
        </w:tc>
        <w:tc>
          <w:tcPr>
            <w:tcW w:w="1666"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AC41751">
            <w:pPr>
              <w:pStyle w:val="42"/>
              <w:bidi w:val="0"/>
              <w:rPr>
                <w:rFonts w:hint="default"/>
                <w:color w:val="auto"/>
                <w:sz w:val="24"/>
                <w:szCs w:val="24"/>
                <w:highlight w:val="none"/>
              </w:rPr>
            </w:pPr>
            <w:r>
              <w:rPr>
                <w:rFonts w:hint="eastAsia"/>
                <w:color w:val="auto"/>
                <w:sz w:val="24"/>
                <w:szCs w:val="24"/>
                <w:highlight w:val="none"/>
                <w:lang w:val="en-US" w:eastAsia="zh-CN"/>
              </w:rPr>
              <w:t>0.0178</w:t>
            </w:r>
          </w:p>
        </w:tc>
        <w:tc>
          <w:tcPr>
            <w:tcW w:w="124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DAF3D9B">
            <w:pPr>
              <w:pStyle w:val="42"/>
              <w:bidi w:val="0"/>
              <w:rPr>
                <w:rFonts w:hint="default"/>
                <w:color w:val="auto"/>
                <w:sz w:val="24"/>
                <w:szCs w:val="24"/>
                <w:highlight w:val="none"/>
              </w:rPr>
            </w:pPr>
            <w:r>
              <w:rPr>
                <w:rFonts w:hint="eastAsia"/>
                <w:color w:val="auto"/>
                <w:sz w:val="24"/>
                <w:szCs w:val="24"/>
                <w:highlight w:val="none"/>
                <w:lang w:val="en-US" w:eastAsia="zh-CN"/>
              </w:rPr>
              <w:t>1.97</w:t>
            </w:r>
          </w:p>
        </w:tc>
      </w:tr>
      <w:tr w14:paraId="329C2D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2088"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9724C7F">
            <w:pPr>
              <w:pStyle w:val="42"/>
              <w:bidi w:val="0"/>
              <w:rPr>
                <w:rFonts w:hint="default"/>
                <w:color w:val="auto"/>
                <w:sz w:val="24"/>
                <w:szCs w:val="24"/>
                <w:highlight w:val="none"/>
              </w:rPr>
            </w:pPr>
            <w:r>
              <w:rPr>
                <w:rFonts w:hint="eastAsia"/>
                <w:color w:val="auto"/>
                <w:sz w:val="24"/>
                <w:szCs w:val="24"/>
                <w:highlight w:val="none"/>
                <w:lang w:val="en-US" w:eastAsia="zh-CN"/>
              </w:rPr>
              <w:t>100</w:t>
            </w:r>
          </w:p>
        </w:tc>
        <w:tc>
          <w:tcPr>
            <w:tcW w:w="1666"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06AD6C9">
            <w:pPr>
              <w:pStyle w:val="42"/>
              <w:bidi w:val="0"/>
              <w:rPr>
                <w:rFonts w:hint="default"/>
                <w:color w:val="auto"/>
                <w:sz w:val="24"/>
                <w:szCs w:val="24"/>
                <w:highlight w:val="none"/>
              </w:rPr>
            </w:pPr>
            <w:r>
              <w:rPr>
                <w:rFonts w:hint="eastAsia"/>
                <w:color w:val="auto"/>
                <w:sz w:val="24"/>
                <w:szCs w:val="24"/>
                <w:highlight w:val="none"/>
                <w:lang w:val="en-US" w:eastAsia="zh-CN"/>
              </w:rPr>
              <w:t>0.0203</w:t>
            </w:r>
          </w:p>
        </w:tc>
        <w:tc>
          <w:tcPr>
            <w:tcW w:w="124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6FF5BDA">
            <w:pPr>
              <w:pStyle w:val="42"/>
              <w:bidi w:val="0"/>
              <w:rPr>
                <w:rFonts w:hint="default"/>
                <w:color w:val="auto"/>
                <w:sz w:val="24"/>
                <w:szCs w:val="24"/>
                <w:highlight w:val="none"/>
              </w:rPr>
            </w:pPr>
            <w:r>
              <w:rPr>
                <w:rFonts w:hint="eastAsia"/>
                <w:color w:val="auto"/>
                <w:sz w:val="24"/>
                <w:szCs w:val="24"/>
                <w:highlight w:val="none"/>
                <w:lang w:val="en-US" w:eastAsia="zh-CN"/>
              </w:rPr>
              <w:t>2.25</w:t>
            </w:r>
          </w:p>
        </w:tc>
      </w:tr>
      <w:tr w14:paraId="4FC13F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2088"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719EF81">
            <w:pPr>
              <w:pStyle w:val="42"/>
              <w:bidi w:val="0"/>
              <w:rPr>
                <w:rFonts w:hint="default"/>
                <w:color w:val="auto"/>
                <w:sz w:val="24"/>
                <w:szCs w:val="24"/>
                <w:highlight w:val="none"/>
                <w:lang w:val="en-US" w:eastAsia="zh-CN"/>
              </w:rPr>
            </w:pPr>
            <w:r>
              <w:rPr>
                <w:rFonts w:hint="eastAsia"/>
                <w:color w:val="auto"/>
                <w:sz w:val="24"/>
                <w:szCs w:val="24"/>
                <w:highlight w:val="none"/>
                <w:lang w:val="en-US" w:eastAsia="zh-CN"/>
              </w:rPr>
              <w:t>125</w:t>
            </w:r>
          </w:p>
        </w:tc>
        <w:tc>
          <w:tcPr>
            <w:tcW w:w="1666"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F846632">
            <w:pPr>
              <w:pStyle w:val="42"/>
              <w:bidi w:val="0"/>
              <w:rPr>
                <w:rFonts w:hint="default"/>
                <w:color w:val="auto"/>
                <w:sz w:val="24"/>
                <w:szCs w:val="24"/>
                <w:highlight w:val="none"/>
                <w:lang w:val="en-US" w:eastAsia="zh-CN"/>
              </w:rPr>
            </w:pPr>
            <w:r>
              <w:rPr>
                <w:rFonts w:hint="eastAsia"/>
                <w:color w:val="auto"/>
                <w:sz w:val="24"/>
                <w:szCs w:val="24"/>
                <w:highlight w:val="none"/>
                <w:lang w:val="en-US" w:eastAsia="zh-CN"/>
              </w:rPr>
              <w:t>0.0215</w:t>
            </w:r>
          </w:p>
        </w:tc>
        <w:tc>
          <w:tcPr>
            <w:tcW w:w="124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4101947">
            <w:pPr>
              <w:pStyle w:val="42"/>
              <w:bidi w:val="0"/>
              <w:rPr>
                <w:rFonts w:hint="default"/>
                <w:color w:val="auto"/>
                <w:sz w:val="24"/>
                <w:szCs w:val="24"/>
                <w:highlight w:val="none"/>
                <w:lang w:val="en-US" w:eastAsia="zh-CN"/>
              </w:rPr>
            </w:pPr>
            <w:r>
              <w:rPr>
                <w:rFonts w:hint="eastAsia"/>
                <w:color w:val="auto"/>
                <w:sz w:val="24"/>
                <w:szCs w:val="24"/>
                <w:highlight w:val="none"/>
                <w:lang w:val="en-US" w:eastAsia="zh-CN"/>
              </w:rPr>
              <w:t>2.39</w:t>
            </w:r>
          </w:p>
        </w:tc>
      </w:tr>
      <w:tr w14:paraId="47C2BB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2088"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BD2149E">
            <w:pPr>
              <w:pStyle w:val="42"/>
              <w:bidi w:val="0"/>
              <w:rPr>
                <w:rFonts w:hint="default"/>
                <w:color w:val="auto"/>
                <w:sz w:val="24"/>
                <w:szCs w:val="24"/>
                <w:highlight w:val="none"/>
              </w:rPr>
            </w:pPr>
            <w:r>
              <w:rPr>
                <w:rFonts w:hint="eastAsia"/>
                <w:color w:val="auto"/>
                <w:sz w:val="24"/>
                <w:szCs w:val="24"/>
                <w:highlight w:val="none"/>
                <w:lang w:val="en-US" w:eastAsia="zh-CN"/>
              </w:rPr>
              <w:t>141</w:t>
            </w:r>
          </w:p>
        </w:tc>
        <w:tc>
          <w:tcPr>
            <w:tcW w:w="1666"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D149A57">
            <w:pPr>
              <w:pStyle w:val="42"/>
              <w:bidi w:val="0"/>
              <w:rPr>
                <w:rFonts w:hint="default"/>
                <w:color w:val="auto"/>
                <w:sz w:val="24"/>
                <w:szCs w:val="24"/>
                <w:highlight w:val="none"/>
              </w:rPr>
            </w:pPr>
            <w:r>
              <w:rPr>
                <w:rFonts w:hint="eastAsia"/>
                <w:color w:val="auto"/>
                <w:sz w:val="24"/>
                <w:szCs w:val="24"/>
                <w:highlight w:val="none"/>
                <w:lang w:val="en-US" w:eastAsia="zh-CN"/>
              </w:rPr>
              <w:t>0.0218</w:t>
            </w:r>
          </w:p>
        </w:tc>
        <w:tc>
          <w:tcPr>
            <w:tcW w:w="124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A671025">
            <w:pPr>
              <w:pStyle w:val="42"/>
              <w:bidi w:val="0"/>
              <w:rPr>
                <w:rFonts w:hint="default"/>
                <w:color w:val="auto"/>
                <w:sz w:val="24"/>
                <w:szCs w:val="24"/>
                <w:highlight w:val="none"/>
              </w:rPr>
            </w:pPr>
            <w:r>
              <w:rPr>
                <w:rFonts w:hint="eastAsia"/>
                <w:color w:val="auto"/>
                <w:sz w:val="24"/>
                <w:szCs w:val="24"/>
                <w:highlight w:val="none"/>
                <w:lang w:val="en-US" w:eastAsia="zh-CN"/>
              </w:rPr>
              <w:t>2.43</w:t>
            </w:r>
          </w:p>
        </w:tc>
      </w:tr>
      <w:tr w14:paraId="34FBEA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2088"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B6DCB4A">
            <w:pPr>
              <w:pStyle w:val="42"/>
              <w:bidi w:val="0"/>
              <w:rPr>
                <w:rFonts w:hint="default"/>
                <w:color w:val="auto"/>
                <w:sz w:val="24"/>
                <w:szCs w:val="24"/>
                <w:highlight w:val="none"/>
              </w:rPr>
            </w:pPr>
            <w:r>
              <w:rPr>
                <w:rFonts w:hint="eastAsia"/>
                <w:color w:val="auto"/>
                <w:sz w:val="24"/>
                <w:szCs w:val="24"/>
                <w:highlight w:val="none"/>
                <w:lang w:val="en-US" w:eastAsia="zh-CN"/>
              </w:rPr>
              <w:t>150</w:t>
            </w:r>
          </w:p>
        </w:tc>
        <w:tc>
          <w:tcPr>
            <w:tcW w:w="1666"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18E1AAB">
            <w:pPr>
              <w:pStyle w:val="42"/>
              <w:bidi w:val="0"/>
              <w:rPr>
                <w:rFonts w:hint="default"/>
                <w:color w:val="auto"/>
                <w:sz w:val="24"/>
                <w:szCs w:val="24"/>
                <w:highlight w:val="none"/>
              </w:rPr>
            </w:pPr>
            <w:r>
              <w:rPr>
                <w:rFonts w:hint="eastAsia"/>
                <w:color w:val="auto"/>
                <w:sz w:val="24"/>
                <w:szCs w:val="24"/>
                <w:highlight w:val="none"/>
                <w:lang w:val="en-US" w:eastAsia="zh-CN"/>
              </w:rPr>
              <w:t>0.0217</w:t>
            </w:r>
          </w:p>
        </w:tc>
        <w:tc>
          <w:tcPr>
            <w:tcW w:w="124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1AF08FD">
            <w:pPr>
              <w:pStyle w:val="42"/>
              <w:bidi w:val="0"/>
              <w:rPr>
                <w:rFonts w:hint="default"/>
                <w:color w:val="auto"/>
                <w:sz w:val="24"/>
                <w:szCs w:val="24"/>
                <w:highlight w:val="none"/>
              </w:rPr>
            </w:pPr>
            <w:r>
              <w:rPr>
                <w:rFonts w:hint="eastAsia"/>
                <w:color w:val="auto"/>
                <w:sz w:val="24"/>
                <w:szCs w:val="24"/>
                <w:highlight w:val="none"/>
                <w:lang w:val="en-US" w:eastAsia="zh-CN"/>
              </w:rPr>
              <w:t>2.41</w:t>
            </w:r>
          </w:p>
        </w:tc>
      </w:tr>
      <w:tr w14:paraId="5840A7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2088"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BCE32E2">
            <w:pPr>
              <w:pStyle w:val="42"/>
              <w:bidi w:val="0"/>
              <w:rPr>
                <w:rFonts w:hint="default"/>
                <w:color w:val="auto"/>
                <w:sz w:val="24"/>
                <w:szCs w:val="24"/>
                <w:highlight w:val="none"/>
              </w:rPr>
            </w:pPr>
            <w:r>
              <w:rPr>
                <w:rFonts w:hint="eastAsia"/>
                <w:color w:val="auto"/>
                <w:sz w:val="24"/>
                <w:szCs w:val="24"/>
                <w:highlight w:val="none"/>
                <w:lang w:val="en-US" w:eastAsia="zh-CN"/>
              </w:rPr>
              <w:t>175</w:t>
            </w:r>
          </w:p>
        </w:tc>
        <w:tc>
          <w:tcPr>
            <w:tcW w:w="1666"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CF326FB">
            <w:pPr>
              <w:pStyle w:val="42"/>
              <w:bidi w:val="0"/>
              <w:rPr>
                <w:rFonts w:hint="default"/>
                <w:color w:val="auto"/>
                <w:sz w:val="24"/>
                <w:szCs w:val="24"/>
                <w:highlight w:val="none"/>
              </w:rPr>
            </w:pPr>
            <w:r>
              <w:rPr>
                <w:rFonts w:hint="eastAsia"/>
                <w:color w:val="auto"/>
                <w:sz w:val="24"/>
                <w:szCs w:val="24"/>
                <w:highlight w:val="none"/>
                <w:lang w:val="en-US" w:eastAsia="zh-CN"/>
              </w:rPr>
              <w:t>0.0207</w:t>
            </w:r>
          </w:p>
        </w:tc>
        <w:tc>
          <w:tcPr>
            <w:tcW w:w="124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54B0A5D">
            <w:pPr>
              <w:pStyle w:val="42"/>
              <w:bidi w:val="0"/>
              <w:rPr>
                <w:rFonts w:hint="default"/>
                <w:color w:val="auto"/>
                <w:sz w:val="24"/>
                <w:szCs w:val="24"/>
                <w:highlight w:val="none"/>
              </w:rPr>
            </w:pPr>
            <w:r>
              <w:rPr>
                <w:rFonts w:hint="eastAsia"/>
                <w:color w:val="auto"/>
                <w:sz w:val="24"/>
                <w:szCs w:val="24"/>
                <w:highlight w:val="none"/>
                <w:lang w:val="en-US" w:eastAsia="zh-CN"/>
              </w:rPr>
              <w:t>2.3</w:t>
            </w:r>
          </w:p>
        </w:tc>
      </w:tr>
      <w:tr w14:paraId="165A1C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2088"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D01F0DD">
            <w:pPr>
              <w:pStyle w:val="42"/>
              <w:bidi w:val="0"/>
              <w:rPr>
                <w:rFonts w:hint="default"/>
                <w:color w:val="auto"/>
                <w:sz w:val="24"/>
                <w:szCs w:val="24"/>
                <w:highlight w:val="none"/>
              </w:rPr>
            </w:pPr>
            <w:r>
              <w:rPr>
                <w:rFonts w:hint="eastAsia"/>
                <w:color w:val="auto"/>
                <w:sz w:val="24"/>
                <w:szCs w:val="24"/>
                <w:highlight w:val="none"/>
                <w:lang w:val="en-US" w:eastAsia="zh-CN"/>
              </w:rPr>
              <w:t>200</w:t>
            </w:r>
          </w:p>
        </w:tc>
        <w:tc>
          <w:tcPr>
            <w:tcW w:w="1666"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D0AA497">
            <w:pPr>
              <w:pStyle w:val="42"/>
              <w:bidi w:val="0"/>
              <w:rPr>
                <w:rFonts w:hint="default"/>
                <w:color w:val="auto"/>
                <w:sz w:val="24"/>
                <w:szCs w:val="24"/>
                <w:highlight w:val="none"/>
              </w:rPr>
            </w:pPr>
            <w:r>
              <w:rPr>
                <w:rFonts w:hint="eastAsia"/>
                <w:color w:val="auto"/>
                <w:sz w:val="24"/>
                <w:szCs w:val="24"/>
                <w:highlight w:val="none"/>
                <w:lang w:val="en-US" w:eastAsia="zh-CN"/>
              </w:rPr>
              <w:t>0.0193</w:t>
            </w:r>
          </w:p>
        </w:tc>
        <w:tc>
          <w:tcPr>
            <w:tcW w:w="124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EB6D55C">
            <w:pPr>
              <w:pStyle w:val="42"/>
              <w:bidi w:val="0"/>
              <w:rPr>
                <w:rFonts w:hint="default"/>
                <w:color w:val="auto"/>
                <w:sz w:val="24"/>
                <w:szCs w:val="24"/>
                <w:highlight w:val="none"/>
              </w:rPr>
            </w:pPr>
            <w:r>
              <w:rPr>
                <w:rFonts w:hint="eastAsia"/>
                <w:color w:val="auto"/>
                <w:sz w:val="24"/>
                <w:szCs w:val="24"/>
                <w:highlight w:val="none"/>
                <w:lang w:val="en-US" w:eastAsia="zh-CN"/>
              </w:rPr>
              <w:t>2.15</w:t>
            </w:r>
          </w:p>
        </w:tc>
      </w:tr>
      <w:tr w14:paraId="2717E4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2088"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D87AE00">
            <w:pPr>
              <w:pStyle w:val="42"/>
              <w:bidi w:val="0"/>
              <w:rPr>
                <w:rFonts w:hint="default"/>
                <w:color w:val="auto"/>
                <w:sz w:val="24"/>
                <w:szCs w:val="24"/>
                <w:highlight w:val="none"/>
              </w:rPr>
            </w:pPr>
            <w:r>
              <w:rPr>
                <w:rFonts w:hint="eastAsia"/>
                <w:color w:val="auto"/>
                <w:sz w:val="24"/>
                <w:szCs w:val="24"/>
                <w:highlight w:val="none"/>
                <w:lang w:val="en-US" w:eastAsia="zh-CN"/>
              </w:rPr>
              <w:t>300</w:t>
            </w:r>
          </w:p>
        </w:tc>
        <w:tc>
          <w:tcPr>
            <w:tcW w:w="1666"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D6709C7">
            <w:pPr>
              <w:pStyle w:val="42"/>
              <w:bidi w:val="0"/>
              <w:rPr>
                <w:rFonts w:hint="default"/>
                <w:color w:val="auto"/>
                <w:sz w:val="24"/>
                <w:szCs w:val="24"/>
                <w:highlight w:val="none"/>
              </w:rPr>
            </w:pPr>
            <w:r>
              <w:rPr>
                <w:rFonts w:hint="eastAsia"/>
                <w:color w:val="auto"/>
                <w:sz w:val="24"/>
                <w:szCs w:val="24"/>
                <w:highlight w:val="none"/>
                <w:lang w:val="en-US" w:eastAsia="zh-CN"/>
              </w:rPr>
              <w:t>0.0151</w:t>
            </w:r>
          </w:p>
        </w:tc>
        <w:tc>
          <w:tcPr>
            <w:tcW w:w="124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7118912">
            <w:pPr>
              <w:pStyle w:val="42"/>
              <w:bidi w:val="0"/>
              <w:rPr>
                <w:rFonts w:hint="default"/>
                <w:color w:val="auto"/>
                <w:sz w:val="24"/>
                <w:szCs w:val="24"/>
                <w:highlight w:val="none"/>
              </w:rPr>
            </w:pPr>
            <w:r>
              <w:rPr>
                <w:rFonts w:hint="eastAsia"/>
                <w:color w:val="auto"/>
                <w:sz w:val="24"/>
                <w:szCs w:val="24"/>
                <w:highlight w:val="none"/>
                <w:lang w:val="en-US" w:eastAsia="zh-CN"/>
              </w:rPr>
              <w:t>1.67</w:t>
            </w:r>
          </w:p>
        </w:tc>
      </w:tr>
      <w:tr w14:paraId="071D59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2088"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F1E8DD4">
            <w:pPr>
              <w:pStyle w:val="42"/>
              <w:bidi w:val="0"/>
              <w:rPr>
                <w:rFonts w:hint="default"/>
                <w:color w:val="auto"/>
                <w:sz w:val="24"/>
                <w:szCs w:val="24"/>
                <w:highlight w:val="none"/>
              </w:rPr>
            </w:pPr>
            <w:r>
              <w:rPr>
                <w:rFonts w:hint="eastAsia"/>
                <w:color w:val="auto"/>
                <w:sz w:val="24"/>
                <w:szCs w:val="24"/>
                <w:highlight w:val="none"/>
                <w:lang w:val="en-US" w:eastAsia="zh-CN"/>
              </w:rPr>
              <w:t>400</w:t>
            </w:r>
          </w:p>
        </w:tc>
        <w:tc>
          <w:tcPr>
            <w:tcW w:w="1666"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95D6BA6">
            <w:pPr>
              <w:pStyle w:val="42"/>
              <w:bidi w:val="0"/>
              <w:rPr>
                <w:rFonts w:hint="default"/>
                <w:color w:val="auto"/>
                <w:sz w:val="24"/>
                <w:szCs w:val="24"/>
                <w:highlight w:val="none"/>
              </w:rPr>
            </w:pPr>
            <w:r>
              <w:rPr>
                <w:rFonts w:hint="eastAsia"/>
                <w:color w:val="auto"/>
                <w:sz w:val="24"/>
                <w:szCs w:val="24"/>
                <w:highlight w:val="none"/>
                <w:lang w:val="en-US" w:eastAsia="zh-CN"/>
              </w:rPr>
              <w:t>0.0126</w:t>
            </w:r>
          </w:p>
        </w:tc>
        <w:tc>
          <w:tcPr>
            <w:tcW w:w="124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D8F0805">
            <w:pPr>
              <w:pStyle w:val="42"/>
              <w:bidi w:val="0"/>
              <w:rPr>
                <w:rFonts w:hint="default"/>
                <w:color w:val="auto"/>
                <w:sz w:val="24"/>
                <w:szCs w:val="24"/>
                <w:highlight w:val="none"/>
              </w:rPr>
            </w:pPr>
            <w:r>
              <w:rPr>
                <w:rFonts w:hint="eastAsia"/>
                <w:color w:val="auto"/>
                <w:sz w:val="24"/>
                <w:szCs w:val="24"/>
                <w:highlight w:val="none"/>
                <w:lang w:val="en-US" w:eastAsia="zh-CN"/>
              </w:rPr>
              <w:t>1.4</w:t>
            </w:r>
          </w:p>
        </w:tc>
      </w:tr>
      <w:tr w14:paraId="43F687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2088"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D59FFB0">
            <w:pPr>
              <w:pStyle w:val="42"/>
              <w:bidi w:val="0"/>
              <w:rPr>
                <w:rFonts w:hint="default"/>
                <w:color w:val="auto"/>
                <w:sz w:val="24"/>
                <w:szCs w:val="24"/>
                <w:highlight w:val="none"/>
              </w:rPr>
            </w:pPr>
            <w:r>
              <w:rPr>
                <w:rFonts w:hint="eastAsia"/>
                <w:color w:val="auto"/>
                <w:sz w:val="24"/>
                <w:szCs w:val="24"/>
                <w:highlight w:val="none"/>
                <w:lang w:val="en-US" w:eastAsia="zh-CN"/>
              </w:rPr>
              <w:t>500</w:t>
            </w:r>
          </w:p>
        </w:tc>
        <w:tc>
          <w:tcPr>
            <w:tcW w:w="1666"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7C9D453">
            <w:pPr>
              <w:pStyle w:val="42"/>
              <w:bidi w:val="0"/>
              <w:rPr>
                <w:rFonts w:hint="default"/>
                <w:color w:val="auto"/>
                <w:sz w:val="24"/>
                <w:szCs w:val="24"/>
                <w:highlight w:val="none"/>
              </w:rPr>
            </w:pPr>
            <w:r>
              <w:rPr>
                <w:rFonts w:hint="eastAsia"/>
                <w:color w:val="auto"/>
                <w:sz w:val="24"/>
                <w:szCs w:val="24"/>
                <w:highlight w:val="none"/>
                <w:lang w:val="en-US" w:eastAsia="zh-CN"/>
              </w:rPr>
              <w:t>0.0109</w:t>
            </w:r>
          </w:p>
        </w:tc>
        <w:tc>
          <w:tcPr>
            <w:tcW w:w="124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932C802">
            <w:pPr>
              <w:pStyle w:val="42"/>
              <w:bidi w:val="0"/>
              <w:rPr>
                <w:rFonts w:hint="default"/>
                <w:color w:val="auto"/>
                <w:sz w:val="24"/>
                <w:szCs w:val="24"/>
                <w:highlight w:val="none"/>
              </w:rPr>
            </w:pPr>
            <w:r>
              <w:rPr>
                <w:rFonts w:hint="eastAsia"/>
                <w:color w:val="auto"/>
                <w:sz w:val="24"/>
                <w:szCs w:val="24"/>
                <w:highlight w:val="none"/>
                <w:lang w:val="en-US" w:eastAsia="zh-CN"/>
              </w:rPr>
              <w:t>1.21</w:t>
            </w:r>
          </w:p>
        </w:tc>
      </w:tr>
      <w:tr w14:paraId="611E49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2088"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9BD09D1">
            <w:pPr>
              <w:pStyle w:val="42"/>
              <w:bidi w:val="0"/>
              <w:rPr>
                <w:rFonts w:hint="default"/>
                <w:color w:val="auto"/>
                <w:sz w:val="24"/>
                <w:szCs w:val="24"/>
                <w:highlight w:val="none"/>
              </w:rPr>
            </w:pPr>
            <w:r>
              <w:rPr>
                <w:rFonts w:hint="eastAsia"/>
                <w:color w:val="auto"/>
                <w:sz w:val="24"/>
                <w:szCs w:val="24"/>
                <w:highlight w:val="none"/>
                <w:lang w:val="en-US" w:eastAsia="zh-CN"/>
              </w:rPr>
              <w:t>600</w:t>
            </w:r>
          </w:p>
        </w:tc>
        <w:tc>
          <w:tcPr>
            <w:tcW w:w="1666"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53D272A">
            <w:pPr>
              <w:pStyle w:val="42"/>
              <w:bidi w:val="0"/>
              <w:rPr>
                <w:rFonts w:hint="default"/>
                <w:color w:val="auto"/>
                <w:sz w:val="24"/>
                <w:szCs w:val="24"/>
                <w:highlight w:val="none"/>
              </w:rPr>
            </w:pPr>
            <w:r>
              <w:rPr>
                <w:rFonts w:hint="eastAsia"/>
                <w:color w:val="auto"/>
                <w:sz w:val="24"/>
                <w:szCs w:val="24"/>
                <w:highlight w:val="none"/>
                <w:lang w:val="en-US" w:eastAsia="zh-CN"/>
              </w:rPr>
              <w:t>0.0097</w:t>
            </w:r>
          </w:p>
        </w:tc>
        <w:tc>
          <w:tcPr>
            <w:tcW w:w="124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966DF48">
            <w:pPr>
              <w:pStyle w:val="42"/>
              <w:bidi w:val="0"/>
              <w:rPr>
                <w:rFonts w:hint="default"/>
                <w:color w:val="auto"/>
                <w:sz w:val="24"/>
                <w:szCs w:val="24"/>
                <w:highlight w:val="none"/>
              </w:rPr>
            </w:pPr>
            <w:r>
              <w:rPr>
                <w:rFonts w:hint="eastAsia"/>
                <w:color w:val="auto"/>
                <w:sz w:val="24"/>
                <w:szCs w:val="24"/>
                <w:highlight w:val="none"/>
                <w:lang w:val="en-US" w:eastAsia="zh-CN"/>
              </w:rPr>
              <w:t>1.08</w:t>
            </w:r>
          </w:p>
        </w:tc>
      </w:tr>
      <w:tr w14:paraId="308785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2088"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809914A">
            <w:pPr>
              <w:pStyle w:val="42"/>
              <w:bidi w:val="0"/>
              <w:rPr>
                <w:rFonts w:hint="default"/>
                <w:color w:val="auto"/>
                <w:sz w:val="24"/>
                <w:szCs w:val="24"/>
                <w:highlight w:val="none"/>
              </w:rPr>
            </w:pPr>
            <w:r>
              <w:rPr>
                <w:rFonts w:hint="eastAsia"/>
                <w:color w:val="auto"/>
                <w:sz w:val="24"/>
                <w:szCs w:val="24"/>
                <w:highlight w:val="none"/>
                <w:lang w:val="en-US" w:eastAsia="zh-CN"/>
              </w:rPr>
              <w:t>700</w:t>
            </w:r>
          </w:p>
        </w:tc>
        <w:tc>
          <w:tcPr>
            <w:tcW w:w="1666"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7A52ACD">
            <w:pPr>
              <w:pStyle w:val="42"/>
              <w:bidi w:val="0"/>
              <w:rPr>
                <w:rFonts w:hint="default"/>
                <w:color w:val="auto"/>
                <w:sz w:val="24"/>
                <w:szCs w:val="24"/>
                <w:highlight w:val="none"/>
              </w:rPr>
            </w:pPr>
            <w:r>
              <w:rPr>
                <w:rFonts w:hint="eastAsia"/>
                <w:color w:val="auto"/>
                <w:sz w:val="24"/>
                <w:szCs w:val="24"/>
                <w:highlight w:val="none"/>
                <w:lang w:val="en-US" w:eastAsia="zh-CN"/>
              </w:rPr>
              <w:t>0.009</w:t>
            </w:r>
          </w:p>
        </w:tc>
        <w:tc>
          <w:tcPr>
            <w:tcW w:w="124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B090BBA">
            <w:pPr>
              <w:pStyle w:val="42"/>
              <w:bidi w:val="0"/>
              <w:rPr>
                <w:rFonts w:hint="default"/>
                <w:color w:val="auto"/>
                <w:sz w:val="24"/>
                <w:szCs w:val="24"/>
                <w:highlight w:val="none"/>
              </w:rPr>
            </w:pPr>
            <w:r>
              <w:rPr>
                <w:rFonts w:hint="eastAsia"/>
                <w:color w:val="auto"/>
                <w:sz w:val="24"/>
                <w:szCs w:val="24"/>
                <w:highlight w:val="none"/>
                <w:lang w:val="en-US" w:eastAsia="zh-CN"/>
              </w:rPr>
              <w:t>1</w:t>
            </w:r>
          </w:p>
        </w:tc>
      </w:tr>
      <w:tr w14:paraId="3EDC42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2088"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9C4D3D0">
            <w:pPr>
              <w:pStyle w:val="42"/>
              <w:bidi w:val="0"/>
              <w:rPr>
                <w:rFonts w:hint="default"/>
                <w:color w:val="auto"/>
                <w:sz w:val="24"/>
                <w:szCs w:val="24"/>
                <w:highlight w:val="none"/>
              </w:rPr>
            </w:pPr>
            <w:r>
              <w:rPr>
                <w:rFonts w:hint="eastAsia"/>
                <w:color w:val="auto"/>
                <w:sz w:val="24"/>
                <w:szCs w:val="24"/>
                <w:highlight w:val="none"/>
                <w:lang w:val="en-US" w:eastAsia="zh-CN"/>
              </w:rPr>
              <w:t>800</w:t>
            </w:r>
          </w:p>
        </w:tc>
        <w:tc>
          <w:tcPr>
            <w:tcW w:w="1666"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3707913">
            <w:pPr>
              <w:pStyle w:val="42"/>
              <w:bidi w:val="0"/>
              <w:rPr>
                <w:rFonts w:hint="default"/>
                <w:color w:val="auto"/>
                <w:sz w:val="24"/>
                <w:szCs w:val="24"/>
                <w:highlight w:val="none"/>
              </w:rPr>
            </w:pPr>
            <w:r>
              <w:rPr>
                <w:rFonts w:hint="eastAsia"/>
                <w:color w:val="auto"/>
                <w:sz w:val="24"/>
                <w:szCs w:val="24"/>
                <w:highlight w:val="none"/>
                <w:lang w:val="en-US" w:eastAsia="zh-CN"/>
              </w:rPr>
              <w:t>0.0082</w:t>
            </w:r>
          </w:p>
        </w:tc>
        <w:tc>
          <w:tcPr>
            <w:tcW w:w="124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E470428">
            <w:pPr>
              <w:pStyle w:val="42"/>
              <w:bidi w:val="0"/>
              <w:rPr>
                <w:rFonts w:hint="default"/>
                <w:color w:val="auto"/>
                <w:sz w:val="24"/>
                <w:szCs w:val="24"/>
                <w:highlight w:val="none"/>
              </w:rPr>
            </w:pPr>
            <w:r>
              <w:rPr>
                <w:rFonts w:hint="eastAsia"/>
                <w:color w:val="auto"/>
                <w:sz w:val="24"/>
                <w:szCs w:val="24"/>
                <w:highlight w:val="none"/>
                <w:lang w:val="en-US" w:eastAsia="zh-CN"/>
              </w:rPr>
              <w:t>0.91</w:t>
            </w:r>
          </w:p>
        </w:tc>
      </w:tr>
      <w:tr w14:paraId="1C92D2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2088"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F032F7B">
            <w:pPr>
              <w:pStyle w:val="42"/>
              <w:bidi w:val="0"/>
              <w:rPr>
                <w:rFonts w:hint="default"/>
                <w:color w:val="auto"/>
                <w:sz w:val="24"/>
                <w:szCs w:val="24"/>
                <w:highlight w:val="none"/>
              </w:rPr>
            </w:pPr>
            <w:r>
              <w:rPr>
                <w:rFonts w:hint="eastAsia"/>
                <w:color w:val="auto"/>
                <w:sz w:val="24"/>
                <w:szCs w:val="24"/>
                <w:highlight w:val="none"/>
                <w:lang w:val="en-US" w:eastAsia="zh-CN"/>
              </w:rPr>
              <w:t>900</w:t>
            </w:r>
          </w:p>
        </w:tc>
        <w:tc>
          <w:tcPr>
            <w:tcW w:w="1666"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83A7DF8">
            <w:pPr>
              <w:pStyle w:val="42"/>
              <w:bidi w:val="0"/>
              <w:rPr>
                <w:rFonts w:hint="default"/>
                <w:color w:val="auto"/>
                <w:sz w:val="24"/>
                <w:szCs w:val="24"/>
                <w:highlight w:val="none"/>
              </w:rPr>
            </w:pPr>
            <w:r>
              <w:rPr>
                <w:rFonts w:hint="eastAsia"/>
                <w:color w:val="auto"/>
                <w:sz w:val="24"/>
                <w:szCs w:val="24"/>
                <w:highlight w:val="none"/>
                <w:lang w:val="en-US" w:eastAsia="zh-CN"/>
              </w:rPr>
              <w:t>0.0075</w:t>
            </w:r>
          </w:p>
        </w:tc>
        <w:tc>
          <w:tcPr>
            <w:tcW w:w="124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818F488">
            <w:pPr>
              <w:pStyle w:val="42"/>
              <w:bidi w:val="0"/>
              <w:rPr>
                <w:rFonts w:hint="default"/>
                <w:color w:val="auto"/>
                <w:sz w:val="24"/>
                <w:szCs w:val="24"/>
                <w:highlight w:val="none"/>
              </w:rPr>
            </w:pPr>
            <w:r>
              <w:rPr>
                <w:rFonts w:hint="eastAsia"/>
                <w:color w:val="auto"/>
                <w:sz w:val="24"/>
                <w:szCs w:val="24"/>
                <w:highlight w:val="none"/>
                <w:lang w:val="en-US" w:eastAsia="zh-CN"/>
              </w:rPr>
              <w:t>0.84</w:t>
            </w:r>
          </w:p>
        </w:tc>
      </w:tr>
      <w:tr w14:paraId="25AD04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7" w:hRule="exact"/>
          <w:jc w:val="center"/>
        </w:trPr>
        <w:tc>
          <w:tcPr>
            <w:tcW w:w="2088"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44F3B6B">
            <w:pPr>
              <w:pStyle w:val="42"/>
              <w:bidi w:val="0"/>
              <w:rPr>
                <w:rFonts w:hint="default"/>
                <w:color w:val="auto"/>
                <w:sz w:val="24"/>
                <w:szCs w:val="24"/>
                <w:highlight w:val="none"/>
              </w:rPr>
            </w:pPr>
            <w:r>
              <w:rPr>
                <w:rFonts w:hint="eastAsia"/>
                <w:color w:val="auto"/>
                <w:sz w:val="24"/>
                <w:szCs w:val="24"/>
                <w:highlight w:val="none"/>
                <w:lang w:val="en-US" w:eastAsia="zh-CN"/>
              </w:rPr>
              <w:t>1000</w:t>
            </w:r>
          </w:p>
        </w:tc>
        <w:tc>
          <w:tcPr>
            <w:tcW w:w="1666"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928085E">
            <w:pPr>
              <w:pStyle w:val="42"/>
              <w:bidi w:val="0"/>
              <w:rPr>
                <w:rFonts w:hint="default"/>
                <w:color w:val="auto"/>
                <w:sz w:val="24"/>
                <w:szCs w:val="24"/>
                <w:highlight w:val="none"/>
              </w:rPr>
            </w:pPr>
            <w:r>
              <w:rPr>
                <w:rFonts w:hint="eastAsia"/>
                <w:color w:val="auto"/>
                <w:sz w:val="24"/>
                <w:szCs w:val="24"/>
                <w:highlight w:val="none"/>
                <w:lang w:val="en-US" w:eastAsia="zh-CN"/>
              </w:rPr>
              <w:t>0.007</w:t>
            </w:r>
          </w:p>
        </w:tc>
        <w:tc>
          <w:tcPr>
            <w:tcW w:w="124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0FB79B2">
            <w:pPr>
              <w:pStyle w:val="42"/>
              <w:bidi w:val="0"/>
              <w:rPr>
                <w:rFonts w:hint="default"/>
                <w:color w:val="auto"/>
                <w:sz w:val="24"/>
                <w:szCs w:val="24"/>
                <w:highlight w:val="none"/>
              </w:rPr>
            </w:pPr>
            <w:r>
              <w:rPr>
                <w:rFonts w:hint="eastAsia"/>
                <w:color w:val="auto"/>
                <w:sz w:val="24"/>
                <w:szCs w:val="24"/>
                <w:highlight w:val="none"/>
                <w:lang w:val="en-US" w:eastAsia="zh-CN"/>
              </w:rPr>
              <w:t>0.78</w:t>
            </w:r>
          </w:p>
        </w:tc>
      </w:tr>
      <w:tr w14:paraId="467EA9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7" w:hRule="exact"/>
          <w:jc w:val="center"/>
        </w:trPr>
        <w:tc>
          <w:tcPr>
            <w:tcW w:w="2088"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001928B">
            <w:pPr>
              <w:pStyle w:val="42"/>
              <w:bidi w:val="0"/>
              <w:rPr>
                <w:rFonts w:hint="eastAsia"/>
                <w:color w:val="auto"/>
                <w:sz w:val="24"/>
                <w:szCs w:val="24"/>
                <w:highlight w:val="none"/>
                <w:lang w:val="en-US" w:eastAsia="zh-CN"/>
              </w:rPr>
            </w:pPr>
            <w:r>
              <w:rPr>
                <w:rFonts w:hint="eastAsia"/>
                <w:color w:val="auto"/>
                <w:sz w:val="24"/>
                <w:szCs w:val="24"/>
                <w:highlight w:val="none"/>
                <w:lang w:val="en-US" w:eastAsia="zh-CN"/>
              </w:rPr>
              <w:t>1500</w:t>
            </w:r>
          </w:p>
        </w:tc>
        <w:tc>
          <w:tcPr>
            <w:tcW w:w="1666"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1EBB2AB">
            <w:pPr>
              <w:pStyle w:val="42"/>
              <w:bidi w:val="0"/>
              <w:rPr>
                <w:rFonts w:hint="eastAsia"/>
                <w:color w:val="auto"/>
                <w:sz w:val="24"/>
                <w:szCs w:val="24"/>
                <w:highlight w:val="none"/>
                <w:lang w:val="en-US" w:eastAsia="zh-CN"/>
              </w:rPr>
            </w:pPr>
            <w:r>
              <w:rPr>
                <w:rFonts w:hint="eastAsia"/>
                <w:color w:val="auto"/>
                <w:sz w:val="24"/>
                <w:szCs w:val="24"/>
                <w:highlight w:val="none"/>
                <w:lang w:val="en-US" w:eastAsia="zh-CN"/>
              </w:rPr>
              <w:t>0.0057</w:t>
            </w:r>
          </w:p>
        </w:tc>
        <w:tc>
          <w:tcPr>
            <w:tcW w:w="124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5E5D324">
            <w:pPr>
              <w:pStyle w:val="42"/>
              <w:bidi w:val="0"/>
              <w:rPr>
                <w:rFonts w:hint="eastAsia"/>
                <w:color w:val="auto"/>
                <w:sz w:val="24"/>
                <w:szCs w:val="24"/>
                <w:highlight w:val="none"/>
                <w:lang w:val="en-US" w:eastAsia="zh-CN"/>
              </w:rPr>
            </w:pPr>
            <w:r>
              <w:rPr>
                <w:rFonts w:hint="eastAsia"/>
                <w:color w:val="auto"/>
                <w:sz w:val="24"/>
                <w:szCs w:val="24"/>
                <w:highlight w:val="none"/>
                <w:lang w:val="en-US" w:eastAsia="zh-CN"/>
              </w:rPr>
              <w:t>0.63</w:t>
            </w:r>
          </w:p>
        </w:tc>
      </w:tr>
      <w:tr w14:paraId="3C708D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7" w:hRule="exact"/>
          <w:jc w:val="center"/>
        </w:trPr>
        <w:tc>
          <w:tcPr>
            <w:tcW w:w="2088"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74CCD57">
            <w:pPr>
              <w:pStyle w:val="42"/>
              <w:bidi w:val="0"/>
              <w:rPr>
                <w:rFonts w:hint="eastAsia"/>
                <w:color w:val="auto"/>
                <w:sz w:val="24"/>
                <w:szCs w:val="24"/>
                <w:highlight w:val="none"/>
                <w:lang w:val="en-US" w:eastAsia="zh-CN"/>
              </w:rPr>
            </w:pPr>
            <w:r>
              <w:rPr>
                <w:rFonts w:hint="eastAsia"/>
                <w:color w:val="auto"/>
                <w:sz w:val="24"/>
                <w:szCs w:val="24"/>
                <w:highlight w:val="none"/>
                <w:lang w:val="en-US" w:eastAsia="zh-CN"/>
              </w:rPr>
              <w:t>2000</w:t>
            </w:r>
          </w:p>
        </w:tc>
        <w:tc>
          <w:tcPr>
            <w:tcW w:w="1666"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BED1070">
            <w:pPr>
              <w:pStyle w:val="42"/>
              <w:bidi w:val="0"/>
              <w:rPr>
                <w:rFonts w:hint="eastAsia"/>
                <w:color w:val="auto"/>
                <w:sz w:val="24"/>
                <w:szCs w:val="24"/>
                <w:highlight w:val="none"/>
                <w:lang w:val="en-US" w:eastAsia="zh-CN"/>
              </w:rPr>
            </w:pPr>
            <w:r>
              <w:rPr>
                <w:rFonts w:hint="eastAsia"/>
                <w:color w:val="auto"/>
                <w:sz w:val="24"/>
                <w:szCs w:val="24"/>
                <w:highlight w:val="none"/>
                <w:lang w:val="en-US" w:eastAsia="zh-CN"/>
              </w:rPr>
              <w:t>0.0051</w:t>
            </w:r>
          </w:p>
        </w:tc>
        <w:tc>
          <w:tcPr>
            <w:tcW w:w="124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BDAA660">
            <w:pPr>
              <w:pStyle w:val="42"/>
              <w:bidi w:val="0"/>
              <w:rPr>
                <w:rFonts w:hint="eastAsia"/>
                <w:color w:val="auto"/>
                <w:sz w:val="24"/>
                <w:szCs w:val="24"/>
                <w:highlight w:val="none"/>
                <w:lang w:val="en-US" w:eastAsia="zh-CN"/>
              </w:rPr>
            </w:pPr>
            <w:r>
              <w:rPr>
                <w:rFonts w:hint="eastAsia"/>
                <w:color w:val="auto"/>
                <w:sz w:val="24"/>
                <w:szCs w:val="24"/>
                <w:highlight w:val="none"/>
                <w:lang w:val="en-US" w:eastAsia="zh-CN"/>
              </w:rPr>
              <w:t>0.57</w:t>
            </w:r>
          </w:p>
        </w:tc>
      </w:tr>
      <w:tr w14:paraId="7FD7FC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7" w:hRule="exact"/>
          <w:jc w:val="center"/>
        </w:trPr>
        <w:tc>
          <w:tcPr>
            <w:tcW w:w="2088"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BA6A449">
            <w:pPr>
              <w:pStyle w:val="42"/>
              <w:bidi w:val="0"/>
              <w:rPr>
                <w:rFonts w:hint="eastAsia"/>
                <w:color w:val="auto"/>
                <w:sz w:val="24"/>
                <w:szCs w:val="24"/>
                <w:highlight w:val="none"/>
                <w:lang w:val="en-US" w:eastAsia="zh-CN"/>
              </w:rPr>
            </w:pPr>
            <w:r>
              <w:rPr>
                <w:rFonts w:hint="eastAsia"/>
                <w:color w:val="auto"/>
                <w:sz w:val="24"/>
                <w:szCs w:val="24"/>
                <w:highlight w:val="none"/>
                <w:lang w:val="en-US" w:eastAsia="zh-CN"/>
              </w:rPr>
              <w:t>2500</w:t>
            </w:r>
          </w:p>
        </w:tc>
        <w:tc>
          <w:tcPr>
            <w:tcW w:w="1666"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AE647CE">
            <w:pPr>
              <w:pStyle w:val="42"/>
              <w:bidi w:val="0"/>
              <w:rPr>
                <w:rFonts w:hint="eastAsia"/>
                <w:color w:val="auto"/>
                <w:sz w:val="24"/>
                <w:szCs w:val="24"/>
                <w:highlight w:val="none"/>
                <w:lang w:val="en-US" w:eastAsia="zh-CN"/>
              </w:rPr>
            </w:pPr>
            <w:r>
              <w:rPr>
                <w:rFonts w:hint="eastAsia"/>
                <w:color w:val="auto"/>
                <w:sz w:val="24"/>
                <w:szCs w:val="24"/>
                <w:highlight w:val="none"/>
                <w:lang w:val="en-US" w:eastAsia="zh-CN"/>
              </w:rPr>
              <w:t>0.0047</w:t>
            </w:r>
          </w:p>
        </w:tc>
        <w:tc>
          <w:tcPr>
            <w:tcW w:w="124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96D349B">
            <w:pPr>
              <w:pStyle w:val="42"/>
              <w:bidi w:val="0"/>
              <w:rPr>
                <w:rFonts w:hint="eastAsia"/>
                <w:color w:val="auto"/>
                <w:sz w:val="24"/>
                <w:szCs w:val="24"/>
                <w:highlight w:val="none"/>
                <w:lang w:val="en-US" w:eastAsia="zh-CN"/>
              </w:rPr>
            </w:pPr>
            <w:r>
              <w:rPr>
                <w:rFonts w:hint="eastAsia"/>
                <w:color w:val="auto"/>
                <w:sz w:val="24"/>
                <w:szCs w:val="24"/>
                <w:highlight w:val="none"/>
                <w:lang w:val="en-US" w:eastAsia="zh-CN"/>
              </w:rPr>
              <w:t>0.52</w:t>
            </w:r>
          </w:p>
        </w:tc>
      </w:tr>
    </w:tbl>
    <w:p w14:paraId="7B8B8E2E">
      <w:pPr>
        <w:spacing w:beforeLines="0" w:afterLines="0"/>
        <w:rPr>
          <w:rFonts w:hint="default" w:ascii="Times New Roman" w:hAnsi="Times New Roman" w:cs="Times New Roman"/>
          <w:color w:val="auto"/>
          <w:sz w:val="24"/>
          <w:szCs w:val="24"/>
          <w:highlight w:val="none"/>
        </w:rPr>
      </w:pPr>
    </w:p>
    <w:p w14:paraId="65D43A05">
      <w:pPr>
        <w:pStyle w:val="45"/>
        <w:bidi w:val="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表5.2-10    无组织面源排土场废气排放</w:t>
      </w:r>
      <w:r>
        <w:rPr>
          <w:rFonts w:hint="default" w:ascii="Times New Roman" w:hAnsi="Times New Roman" w:cs="Times New Roman"/>
          <w:color w:val="auto"/>
          <w:sz w:val="24"/>
          <w:szCs w:val="24"/>
          <w:highlight w:val="none"/>
        </w:rPr>
        <w:t>采用估算模式计算结果</w:t>
      </w:r>
    </w:p>
    <w:tbl>
      <w:tblPr>
        <w:tblStyle w:val="31"/>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300"/>
        <w:gridCol w:w="3581"/>
        <w:gridCol w:w="2481"/>
      </w:tblGrid>
      <w:tr w14:paraId="6200F2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762" w:type="pct"/>
            <w:vMerge w:val="restar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1FE52AB">
            <w:pPr>
              <w:pStyle w:val="42"/>
              <w:bidi w:val="0"/>
              <w:rPr>
                <w:rFonts w:hint="default"/>
                <w:color w:val="auto"/>
                <w:sz w:val="24"/>
                <w:szCs w:val="24"/>
                <w:highlight w:val="none"/>
              </w:rPr>
            </w:pPr>
            <w:r>
              <w:rPr>
                <w:rFonts w:hint="default"/>
                <w:color w:val="auto"/>
                <w:sz w:val="24"/>
                <w:szCs w:val="24"/>
                <w:highlight w:val="none"/>
              </w:rPr>
              <w:t>距源中心下风向距离</w:t>
            </w:r>
          </w:p>
          <w:p w14:paraId="3638CDAD">
            <w:pPr>
              <w:pStyle w:val="42"/>
              <w:bidi w:val="0"/>
              <w:rPr>
                <w:rFonts w:hint="default"/>
                <w:color w:val="auto"/>
                <w:sz w:val="24"/>
                <w:szCs w:val="24"/>
                <w:highlight w:val="none"/>
              </w:rPr>
            </w:pPr>
            <w:r>
              <w:rPr>
                <w:rFonts w:hint="default"/>
                <w:color w:val="auto"/>
                <w:sz w:val="24"/>
                <w:szCs w:val="24"/>
                <w:highlight w:val="none"/>
              </w:rPr>
              <w:t>D/m</w:t>
            </w:r>
          </w:p>
        </w:tc>
        <w:tc>
          <w:tcPr>
            <w:tcW w:w="3237" w:type="pct"/>
            <w:gridSpan w:val="2"/>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E6132C5">
            <w:pPr>
              <w:pStyle w:val="42"/>
              <w:bidi w:val="0"/>
              <w:rPr>
                <w:rFonts w:hint="default"/>
                <w:color w:val="auto"/>
                <w:sz w:val="24"/>
                <w:szCs w:val="24"/>
                <w:highlight w:val="none"/>
                <w:lang w:val="en-US" w:eastAsia="zh-CN"/>
              </w:rPr>
            </w:pPr>
            <w:r>
              <w:rPr>
                <w:rFonts w:hint="default"/>
                <w:color w:val="auto"/>
                <w:sz w:val="24"/>
                <w:szCs w:val="24"/>
                <w:highlight w:val="none"/>
                <w:lang w:val="en-US" w:eastAsia="zh-CN"/>
              </w:rPr>
              <w:t>TSP</w:t>
            </w:r>
          </w:p>
        </w:tc>
      </w:tr>
      <w:tr w14:paraId="1A717D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1762" w:type="pct"/>
            <w:vMerge w:val="continue"/>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0248ADA">
            <w:pPr>
              <w:pStyle w:val="42"/>
              <w:bidi w:val="0"/>
              <w:rPr>
                <w:rFonts w:hint="default"/>
                <w:color w:val="auto"/>
                <w:sz w:val="24"/>
                <w:szCs w:val="24"/>
                <w:highlight w:val="none"/>
              </w:rPr>
            </w:pPr>
          </w:p>
        </w:tc>
        <w:tc>
          <w:tcPr>
            <w:tcW w:w="1912"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3CDA212">
            <w:pPr>
              <w:pStyle w:val="42"/>
              <w:bidi w:val="0"/>
              <w:rPr>
                <w:rFonts w:hint="default"/>
                <w:color w:val="auto"/>
                <w:sz w:val="24"/>
                <w:szCs w:val="24"/>
                <w:highlight w:val="none"/>
              </w:rPr>
            </w:pPr>
            <w:r>
              <w:rPr>
                <w:rFonts w:hint="default"/>
                <w:color w:val="auto"/>
                <w:sz w:val="24"/>
                <w:szCs w:val="24"/>
                <w:highlight w:val="none"/>
              </w:rPr>
              <w:t>下风向预测浓度（</w:t>
            </w:r>
            <w:r>
              <w:rPr>
                <w:rFonts w:hint="default"/>
                <w:color w:val="auto"/>
                <w:sz w:val="24"/>
                <w:szCs w:val="24"/>
                <w:highlight w:val="none"/>
                <w:lang w:val="en-US" w:eastAsia="zh-CN"/>
              </w:rPr>
              <w:t>mg</w:t>
            </w:r>
            <w:r>
              <w:rPr>
                <w:rFonts w:hint="default"/>
                <w:color w:val="auto"/>
                <w:sz w:val="24"/>
                <w:szCs w:val="24"/>
                <w:highlight w:val="none"/>
              </w:rPr>
              <w:t>/m</w:t>
            </w:r>
            <w:r>
              <w:rPr>
                <w:rFonts w:hint="default"/>
                <w:color w:val="auto"/>
                <w:sz w:val="24"/>
                <w:szCs w:val="24"/>
                <w:highlight w:val="none"/>
                <w:vertAlign w:val="superscript"/>
              </w:rPr>
              <w:t>3</w:t>
            </w:r>
            <w:r>
              <w:rPr>
                <w:rFonts w:hint="default"/>
                <w:color w:val="auto"/>
                <w:sz w:val="24"/>
                <w:szCs w:val="24"/>
                <w:highlight w:val="none"/>
              </w:rPr>
              <w:t>）</w:t>
            </w:r>
          </w:p>
        </w:tc>
        <w:tc>
          <w:tcPr>
            <w:tcW w:w="1325"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4B5700A">
            <w:pPr>
              <w:pStyle w:val="42"/>
              <w:bidi w:val="0"/>
              <w:rPr>
                <w:rFonts w:hint="default"/>
                <w:color w:val="auto"/>
                <w:sz w:val="24"/>
                <w:szCs w:val="24"/>
                <w:highlight w:val="none"/>
              </w:rPr>
            </w:pPr>
            <w:r>
              <w:rPr>
                <w:rFonts w:hint="default"/>
                <w:color w:val="auto"/>
                <w:sz w:val="24"/>
                <w:szCs w:val="24"/>
                <w:highlight w:val="none"/>
              </w:rPr>
              <w:t>浓度占标率</w:t>
            </w:r>
          </w:p>
          <w:p w14:paraId="2269907C">
            <w:pPr>
              <w:pStyle w:val="42"/>
              <w:bidi w:val="0"/>
              <w:rPr>
                <w:rFonts w:hint="default"/>
                <w:color w:val="auto"/>
                <w:sz w:val="24"/>
                <w:szCs w:val="24"/>
                <w:highlight w:val="none"/>
              </w:rPr>
            </w:pPr>
            <w:r>
              <w:rPr>
                <w:rFonts w:hint="default"/>
                <w:color w:val="auto"/>
                <w:sz w:val="24"/>
                <w:szCs w:val="24"/>
                <w:highlight w:val="none"/>
              </w:rPr>
              <w:t>（%）</w:t>
            </w:r>
          </w:p>
        </w:tc>
      </w:tr>
      <w:tr w14:paraId="037273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33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895C2EC">
            <w:pPr>
              <w:pStyle w:val="42"/>
              <w:bidi w:val="0"/>
              <w:rPr>
                <w:rFonts w:hint="default"/>
                <w:color w:val="auto"/>
                <w:sz w:val="24"/>
                <w:szCs w:val="24"/>
                <w:highlight w:val="none"/>
              </w:rPr>
            </w:pPr>
            <w:r>
              <w:rPr>
                <w:rFonts w:hint="eastAsia"/>
                <w:color w:val="auto"/>
                <w:sz w:val="24"/>
                <w:szCs w:val="24"/>
                <w:highlight w:val="none"/>
                <w:lang w:val="en-US" w:eastAsia="zh-CN"/>
              </w:rPr>
              <w:t>10</w:t>
            </w:r>
          </w:p>
        </w:tc>
        <w:tc>
          <w:tcPr>
            <w:tcW w:w="35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2A1BF23">
            <w:pPr>
              <w:pStyle w:val="42"/>
              <w:bidi w:val="0"/>
              <w:rPr>
                <w:rFonts w:hint="default"/>
                <w:color w:val="auto"/>
                <w:sz w:val="24"/>
                <w:szCs w:val="24"/>
                <w:highlight w:val="none"/>
              </w:rPr>
            </w:pPr>
            <w:r>
              <w:rPr>
                <w:rFonts w:hint="eastAsia"/>
                <w:color w:val="auto"/>
                <w:sz w:val="24"/>
                <w:szCs w:val="24"/>
                <w:highlight w:val="none"/>
                <w:lang w:val="en-US" w:eastAsia="zh-CN"/>
              </w:rPr>
              <w:t>0.0147</w:t>
            </w:r>
          </w:p>
        </w:tc>
        <w:tc>
          <w:tcPr>
            <w:tcW w:w="24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D1DE487">
            <w:pPr>
              <w:pStyle w:val="42"/>
              <w:bidi w:val="0"/>
              <w:rPr>
                <w:rFonts w:hint="default"/>
                <w:color w:val="auto"/>
                <w:sz w:val="24"/>
                <w:szCs w:val="24"/>
                <w:highlight w:val="none"/>
              </w:rPr>
            </w:pPr>
            <w:r>
              <w:rPr>
                <w:rFonts w:hint="eastAsia"/>
                <w:color w:val="auto"/>
                <w:sz w:val="24"/>
                <w:szCs w:val="24"/>
                <w:highlight w:val="none"/>
                <w:lang w:val="en-US" w:eastAsia="zh-CN"/>
              </w:rPr>
              <w:t>1.64</w:t>
            </w:r>
          </w:p>
        </w:tc>
      </w:tr>
      <w:tr w14:paraId="58C89F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33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A2BC835">
            <w:pPr>
              <w:pStyle w:val="42"/>
              <w:bidi w:val="0"/>
              <w:rPr>
                <w:rFonts w:hint="default"/>
                <w:color w:val="auto"/>
                <w:sz w:val="24"/>
                <w:szCs w:val="24"/>
                <w:highlight w:val="none"/>
              </w:rPr>
            </w:pPr>
            <w:r>
              <w:rPr>
                <w:rFonts w:hint="eastAsia"/>
                <w:color w:val="auto"/>
                <w:sz w:val="24"/>
                <w:szCs w:val="24"/>
                <w:highlight w:val="none"/>
                <w:lang w:val="en-US" w:eastAsia="zh-CN"/>
              </w:rPr>
              <w:t>25</w:t>
            </w:r>
          </w:p>
        </w:tc>
        <w:tc>
          <w:tcPr>
            <w:tcW w:w="35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339DC35">
            <w:pPr>
              <w:pStyle w:val="42"/>
              <w:bidi w:val="0"/>
              <w:rPr>
                <w:rFonts w:hint="default"/>
                <w:color w:val="auto"/>
                <w:sz w:val="24"/>
                <w:szCs w:val="24"/>
                <w:highlight w:val="none"/>
              </w:rPr>
            </w:pPr>
            <w:r>
              <w:rPr>
                <w:rFonts w:hint="eastAsia"/>
                <w:color w:val="auto"/>
                <w:sz w:val="24"/>
                <w:szCs w:val="24"/>
                <w:highlight w:val="none"/>
                <w:lang w:val="en-US" w:eastAsia="zh-CN"/>
              </w:rPr>
              <w:t>0.0166</w:t>
            </w:r>
          </w:p>
        </w:tc>
        <w:tc>
          <w:tcPr>
            <w:tcW w:w="24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6BCF172">
            <w:pPr>
              <w:pStyle w:val="42"/>
              <w:bidi w:val="0"/>
              <w:rPr>
                <w:rFonts w:hint="default"/>
                <w:color w:val="auto"/>
                <w:sz w:val="24"/>
                <w:szCs w:val="24"/>
                <w:highlight w:val="none"/>
              </w:rPr>
            </w:pPr>
            <w:r>
              <w:rPr>
                <w:rFonts w:hint="eastAsia"/>
                <w:color w:val="auto"/>
                <w:sz w:val="24"/>
                <w:szCs w:val="24"/>
                <w:highlight w:val="none"/>
                <w:lang w:val="en-US" w:eastAsia="zh-CN"/>
              </w:rPr>
              <w:t>1.84</w:t>
            </w:r>
          </w:p>
        </w:tc>
      </w:tr>
      <w:tr w14:paraId="327DC7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33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8AC64D7">
            <w:pPr>
              <w:pStyle w:val="42"/>
              <w:bidi w:val="0"/>
              <w:rPr>
                <w:rFonts w:hint="default"/>
                <w:color w:val="auto"/>
                <w:sz w:val="24"/>
                <w:szCs w:val="24"/>
                <w:highlight w:val="none"/>
              </w:rPr>
            </w:pPr>
            <w:r>
              <w:rPr>
                <w:rFonts w:hint="eastAsia"/>
                <w:color w:val="auto"/>
                <w:sz w:val="24"/>
                <w:szCs w:val="24"/>
                <w:highlight w:val="none"/>
                <w:lang w:val="en-US" w:eastAsia="zh-CN"/>
              </w:rPr>
              <w:t>50</w:t>
            </w:r>
          </w:p>
        </w:tc>
        <w:tc>
          <w:tcPr>
            <w:tcW w:w="35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0964EE0">
            <w:pPr>
              <w:pStyle w:val="42"/>
              <w:bidi w:val="0"/>
              <w:rPr>
                <w:rFonts w:hint="default"/>
                <w:color w:val="auto"/>
                <w:sz w:val="24"/>
                <w:szCs w:val="24"/>
                <w:highlight w:val="none"/>
              </w:rPr>
            </w:pPr>
            <w:r>
              <w:rPr>
                <w:rFonts w:hint="eastAsia"/>
                <w:color w:val="auto"/>
                <w:sz w:val="24"/>
                <w:szCs w:val="24"/>
                <w:highlight w:val="none"/>
                <w:lang w:val="en-US" w:eastAsia="zh-CN"/>
              </w:rPr>
              <w:t>0.0196</w:t>
            </w:r>
          </w:p>
        </w:tc>
        <w:tc>
          <w:tcPr>
            <w:tcW w:w="24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6A32270">
            <w:pPr>
              <w:pStyle w:val="42"/>
              <w:bidi w:val="0"/>
              <w:rPr>
                <w:rFonts w:hint="default"/>
                <w:color w:val="auto"/>
                <w:sz w:val="24"/>
                <w:szCs w:val="24"/>
                <w:highlight w:val="none"/>
              </w:rPr>
            </w:pPr>
            <w:r>
              <w:rPr>
                <w:rFonts w:hint="eastAsia"/>
                <w:color w:val="auto"/>
                <w:sz w:val="24"/>
                <w:szCs w:val="24"/>
                <w:highlight w:val="none"/>
                <w:lang w:val="en-US" w:eastAsia="zh-CN"/>
              </w:rPr>
              <w:t>2.18</w:t>
            </w:r>
          </w:p>
        </w:tc>
      </w:tr>
      <w:tr w14:paraId="4317A0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33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2146F8C">
            <w:pPr>
              <w:pStyle w:val="42"/>
              <w:bidi w:val="0"/>
              <w:rPr>
                <w:rFonts w:hint="default"/>
                <w:color w:val="auto"/>
                <w:sz w:val="24"/>
                <w:szCs w:val="24"/>
                <w:highlight w:val="none"/>
              </w:rPr>
            </w:pPr>
            <w:r>
              <w:rPr>
                <w:rFonts w:hint="eastAsia"/>
                <w:color w:val="auto"/>
                <w:sz w:val="24"/>
                <w:szCs w:val="24"/>
                <w:highlight w:val="none"/>
                <w:lang w:val="en-US" w:eastAsia="zh-CN"/>
              </w:rPr>
              <w:t>75</w:t>
            </w:r>
          </w:p>
        </w:tc>
        <w:tc>
          <w:tcPr>
            <w:tcW w:w="35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CCA8B9F">
            <w:pPr>
              <w:pStyle w:val="42"/>
              <w:bidi w:val="0"/>
              <w:rPr>
                <w:rFonts w:hint="default"/>
                <w:color w:val="auto"/>
                <w:sz w:val="24"/>
                <w:szCs w:val="24"/>
                <w:highlight w:val="none"/>
              </w:rPr>
            </w:pPr>
            <w:r>
              <w:rPr>
                <w:rFonts w:hint="eastAsia"/>
                <w:color w:val="auto"/>
                <w:sz w:val="24"/>
                <w:szCs w:val="24"/>
                <w:highlight w:val="none"/>
                <w:lang w:val="en-US" w:eastAsia="zh-CN"/>
              </w:rPr>
              <w:t>0.0226</w:t>
            </w:r>
          </w:p>
        </w:tc>
        <w:tc>
          <w:tcPr>
            <w:tcW w:w="24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C22DC44">
            <w:pPr>
              <w:pStyle w:val="42"/>
              <w:bidi w:val="0"/>
              <w:rPr>
                <w:rFonts w:hint="default"/>
                <w:color w:val="auto"/>
                <w:sz w:val="24"/>
                <w:szCs w:val="24"/>
                <w:highlight w:val="none"/>
              </w:rPr>
            </w:pPr>
            <w:r>
              <w:rPr>
                <w:rFonts w:hint="eastAsia"/>
                <w:color w:val="auto"/>
                <w:sz w:val="24"/>
                <w:szCs w:val="24"/>
                <w:highlight w:val="none"/>
                <w:lang w:val="en-US" w:eastAsia="zh-CN"/>
              </w:rPr>
              <w:t>2.51</w:t>
            </w:r>
          </w:p>
        </w:tc>
      </w:tr>
      <w:tr w14:paraId="51AA16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33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DBF249A">
            <w:pPr>
              <w:pStyle w:val="42"/>
              <w:bidi w:val="0"/>
              <w:rPr>
                <w:rFonts w:hint="default"/>
                <w:color w:val="auto"/>
                <w:sz w:val="24"/>
                <w:szCs w:val="24"/>
                <w:highlight w:val="none"/>
              </w:rPr>
            </w:pPr>
            <w:r>
              <w:rPr>
                <w:rFonts w:hint="eastAsia"/>
                <w:color w:val="auto"/>
                <w:sz w:val="24"/>
                <w:szCs w:val="24"/>
                <w:highlight w:val="none"/>
                <w:lang w:val="en-US" w:eastAsia="zh-CN"/>
              </w:rPr>
              <w:t>100</w:t>
            </w:r>
          </w:p>
        </w:tc>
        <w:tc>
          <w:tcPr>
            <w:tcW w:w="35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4708317">
            <w:pPr>
              <w:pStyle w:val="42"/>
              <w:bidi w:val="0"/>
              <w:rPr>
                <w:rFonts w:hint="default"/>
                <w:color w:val="auto"/>
                <w:sz w:val="24"/>
                <w:szCs w:val="24"/>
                <w:highlight w:val="none"/>
              </w:rPr>
            </w:pPr>
            <w:r>
              <w:rPr>
                <w:rFonts w:hint="eastAsia"/>
                <w:color w:val="auto"/>
                <w:sz w:val="24"/>
                <w:szCs w:val="24"/>
                <w:highlight w:val="none"/>
                <w:lang w:val="en-US" w:eastAsia="zh-CN"/>
              </w:rPr>
              <w:t>0.0255</w:t>
            </w:r>
          </w:p>
        </w:tc>
        <w:tc>
          <w:tcPr>
            <w:tcW w:w="24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8584FBB">
            <w:pPr>
              <w:pStyle w:val="42"/>
              <w:bidi w:val="0"/>
              <w:rPr>
                <w:rFonts w:hint="default"/>
                <w:color w:val="auto"/>
                <w:sz w:val="24"/>
                <w:szCs w:val="24"/>
                <w:highlight w:val="none"/>
              </w:rPr>
            </w:pPr>
            <w:r>
              <w:rPr>
                <w:rFonts w:hint="eastAsia"/>
                <w:color w:val="auto"/>
                <w:sz w:val="24"/>
                <w:szCs w:val="24"/>
                <w:highlight w:val="none"/>
                <w:lang w:val="en-US" w:eastAsia="zh-CN"/>
              </w:rPr>
              <w:t>2.84</w:t>
            </w:r>
          </w:p>
        </w:tc>
      </w:tr>
      <w:tr w14:paraId="6362D2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33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B8414E8">
            <w:pPr>
              <w:pStyle w:val="42"/>
              <w:bidi w:val="0"/>
              <w:rPr>
                <w:rFonts w:hint="default"/>
                <w:color w:val="auto"/>
                <w:sz w:val="24"/>
                <w:szCs w:val="24"/>
                <w:highlight w:val="none"/>
                <w:lang w:val="en-US" w:eastAsia="zh-CN"/>
              </w:rPr>
            </w:pPr>
            <w:r>
              <w:rPr>
                <w:rFonts w:hint="eastAsia"/>
                <w:color w:val="auto"/>
                <w:sz w:val="24"/>
                <w:szCs w:val="24"/>
                <w:highlight w:val="none"/>
                <w:lang w:val="en-US" w:eastAsia="zh-CN"/>
              </w:rPr>
              <w:t>125</w:t>
            </w:r>
          </w:p>
        </w:tc>
        <w:tc>
          <w:tcPr>
            <w:tcW w:w="35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5F95E40">
            <w:pPr>
              <w:pStyle w:val="42"/>
              <w:bidi w:val="0"/>
              <w:rPr>
                <w:rFonts w:hint="default"/>
                <w:color w:val="auto"/>
                <w:sz w:val="24"/>
                <w:szCs w:val="24"/>
                <w:highlight w:val="none"/>
                <w:lang w:val="en-US" w:eastAsia="zh-CN"/>
              </w:rPr>
            </w:pPr>
            <w:r>
              <w:rPr>
                <w:rFonts w:hint="eastAsia"/>
                <w:color w:val="auto"/>
                <w:sz w:val="24"/>
                <w:szCs w:val="24"/>
                <w:highlight w:val="none"/>
                <w:lang w:val="en-US" w:eastAsia="zh-CN"/>
              </w:rPr>
              <w:t>0.0285</w:t>
            </w:r>
          </w:p>
        </w:tc>
        <w:tc>
          <w:tcPr>
            <w:tcW w:w="24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031B0BD">
            <w:pPr>
              <w:pStyle w:val="42"/>
              <w:bidi w:val="0"/>
              <w:rPr>
                <w:rFonts w:hint="default"/>
                <w:color w:val="auto"/>
                <w:sz w:val="24"/>
                <w:szCs w:val="24"/>
                <w:highlight w:val="none"/>
                <w:lang w:val="en-US" w:eastAsia="zh-CN"/>
              </w:rPr>
            </w:pPr>
            <w:r>
              <w:rPr>
                <w:rFonts w:hint="eastAsia"/>
                <w:color w:val="auto"/>
                <w:sz w:val="24"/>
                <w:szCs w:val="24"/>
                <w:highlight w:val="none"/>
                <w:lang w:val="en-US" w:eastAsia="zh-CN"/>
              </w:rPr>
              <w:t>3.17</w:t>
            </w:r>
          </w:p>
        </w:tc>
      </w:tr>
      <w:tr w14:paraId="0B09A5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33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CD3AD3D">
            <w:pPr>
              <w:pStyle w:val="42"/>
              <w:bidi w:val="0"/>
              <w:rPr>
                <w:rFonts w:hint="default"/>
                <w:color w:val="auto"/>
                <w:sz w:val="24"/>
                <w:szCs w:val="24"/>
                <w:highlight w:val="none"/>
              </w:rPr>
            </w:pPr>
            <w:r>
              <w:rPr>
                <w:rFonts w:hint="eastAsia"/>
                <w:color w:val="auto"/>
                <w:sz w:val="24"/>
                <w:szCs w:val="24"/>
                <w:highlight w:val="none"/>
                <w:lang w:val="en-US" w:eastAsia="zh-CN"/>
              </w:rPr>
              <w:t>150</w:t>
            </w:r>
          </w:p>
        </w:tc>
        <w:tc>
          <w:tcPr>
            <w:tcW w:w="35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49DCC75">
            <w:pPr>
              <w:pStyle w:val="42"/>
              <w:bidi w:val="0"/>
              <w:rPr>
                <w:rFonts w:hint="default"/>
                <w:color w:val="auto"/>
                <w:sz w:val="24"/>
                <w:szCs w:val="24"/>
                <w:highlight w:val="none"/>
              </w:rPr>
            </w:pPr>
            <w:r>
              <w:rPr>
                <w:rFonts w:hint="eastAsia"/>
                <w:color w:val="auto"/>
                <w:sz w:val="24"/>
                <w:szCs w:val="24"/>
                <w:highlight w:val="none"/>
                <w:lang w:val="en-US" w:eastAsia="zh-CN"/>
              </w:rPr>
              <w:t>0.0313</w:t>
            </w:r>
          </w:p>
        </w:tc>
        <w:tc>
          <w:tcPr>
            <w:tcW w:w="24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D9331F8">
            <w:pPr>
              <w:pStyle w:val="42"/>
              <w:bidi w:val="0"/>
              <w:rPr>
                <w:rFonts w:hint="default"/>
                <w:color w:val="auto"/>
                <w:sz w:val="24"/>
                <w:szCs w:val="24"/>
                <w:highlight w:val="none"/>
              </w:rPr>
            </w:pPr>
            <w:r>
              <w:rPr>
                <w:rFonts w:hint="eastAsia"/>
                <w:color w:val="auto"/>
                <w:sz w:val="24"/>
                <w:szCs w:val="24"/>
                <w:highlight w:val="none"/>
                <w:lang w:val="en-US" w:eastAsia="zh-CN"/>
              </w:rPr>
              <w:t>3.48</w:t>
            </w:r>
          </w:p>
        </w:tc>
      </w:tr>
      <w:tr w14:paraId="5FA0E4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33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A15E53A">
            <w:pPr>
              <w:pStyle w:val="42"/>
              <w:bidi w:val="0"/>
              <w:rPr>
                <w:rFonts w:hint="default"/>
                <w:color w:val="auto"/>
                <w:sz w:val="24"/>
                <w:szCs w:val="24"/>
                <w:highlight w:val="none"/>
              </w:rPr>
            </w:pPr>
            <w:r>
              <w:rPr>
                <w:rFonts w:hint="eastAsia"/>
                <w:color w:val="auto"/>
                <w:sz w:val="24"/>
                <w:szCs w:val="24"/>
                <w:highlight w:val="none"/>
                <w:lang w:val="en-US" w:eastAsia="zh-CN"/>
              </w:rPr>
              <w:t>175</w:t>
            </w:r>
          </w:p>
        </w:tc>
        <w:tc>
          <w:tcPr>
            <w:tcW w:w="35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8DE1641">
            <w:pPr>
              <w:pStyle w:val="42"/>
              <w:bidi w:val="0"/>
              <w:rPr>
                <w:rFonts w:hint="default"/>
                <w:color w:val="auto"/>
                <w:sz w:val="24"/>
                <w:szCs w:val="24"/>
                <w:highlight w:val="none"/>
              </w:rPr>
            </w:pPr>
            <w:r>
              <w:rPr>
                <w:rFonts w:hint="eastAsia"/>
                <w:color w:val="auto"/>
                <w:sz w:val="24"/>
                <w:szCs w:val="24"/>
                <w:highlight w:val="none"/>
                <w:lang w:val="en-US" w:eastAsia="zh-CN"/>
              </w:rPr>
              <w:t>0.0323</w:t>
            </w:r>
          </w:p>
        </w:tc>
        <w:tc>
          <w:tcPr>
            <w:tcW w:w="24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D937ED2">
            <w:pPr>
              <w:pStyle w:val="42"/>
              <w:bidi w:val="0"/>
              <w:rPr>
                <w:rFonts w:hint="default"/>
                <w:color w:val="auto"/>
                <w:sz w:val="24"/>
                <w:szCs w:val="24"/>
                <w:highlight w:val="none"/>
              </w:rPr>
            </w:pPr>
            <w:r>
              <w:rPr>
                <w:rFonts w:hint="eastAsia"/>
                <w:color w:val="auto"/>
                <w:sz w:val="24"/>
                <w:szCs w:val="24"/>
                <w:highlight w:val="none"/>
                <w:lang w:val="en-US" w:eastAsia="zh-CN"/>
              </w:rPr>
              <w:t>3.59</w:t>
            </w:r>
          </w:p>
        </w:tc>
      </w:tr>
      <w:tr w14:paraId="712CCD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33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8130FBB">
            <w:pPr>
              <w:pStyle w:val="42"/>
              <w:bidi w:val="0"/>
              <w:rPr>
                <w:rFonts w:hint="default"/>
                <w:color w:val="auto"/>
                <w:sz w:val="24"/>
                <w:szCs w:val="24"/>
                <w:highlight w:val="none"/>
              </w:rPr>
            </w:pPr>
            <w:r>
              <w:rPr>
                <w:rFonts w:hint="eastAsia"/>
                <w:color w:val="auto"/>
                <w:sz w:val="24"/>
                <w:szCs w:val="24"/>
                <w:highlight w:val="none"/>
                <w:lang w:val="en-US" w:eastAsia="zh-CN"/>
              </w:rPr>
              <w:t>188</w:t>
            </w:r>
          </w:p>
        </w:tc>
        <w:tc>
          <w:tcPr>
            <w:tcW w:w="35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5919F18">
            <w:pPr>
              <w:pStyle w:val="42"/>
              <w:bidi w:val="0"/>
              <w:rPr>
                <w:rFonts w:hint="default"/>
                <w:color w:val="auto"/>
                <w:sz w:val="24"/>
                <w:szCs w:val="24"/>
                <w:highlight w:val="none"/>
              </w:rPr>
            </w:pPr>
            <w:r>
              <w:rPr>
                <w:rFonts w:hint="eastAsia"/>
                <w:color w:val="auto"/>
                <w:sz w:val="24"/>
                <w:szCs w:val="24"/>
                <w:highlight w:val="none"/>
                <w:lang w:val="en-US" w:eastAsia="zh-CN"/>
              </w:rPr>
              <w:t>0.0328</w:t>
            </w:r>
          </w:p>
        </w:tc>
        <w:tc>
          <w:tcPr>
            <w:tcW w:w="24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A5A746F">
            <w:pPr>
              <w:pStyle w:val="42"/>
              <w:bidi w:val="0"/>
              <w:rPr>
                <w:rFonts w:hint="default"/>
                <w:color w:val="auto"/>
                <w:sz w:val="24"/>
                <w:szCs w:val="24"/>
                <w:highlight w:val="none"/>
              </w:rPr>
            </w:pPr>
            <w:r>
              <w:rPr>
                <w:rFonts w:hint="eastAsia"/>
                <w:color w:val="auto"/>
                <w:sz w:val="24"/>
                <w:szCs w:val="24"/>
                <w:highlight w:val="none"/>
                <w:lang w:val="en-US" w:eastAsia="zh-CN"/>
              </w:rPr>
              <w:t>3.64</w:t>
            </w:r>
          </w:p>
        </w:tc>
      </w:tr>
      <w:tr w14:paraId="44DE8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33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55F742F">
            <w:pPr>
              <w:pStyle w:val="42"/>
              <w:bidi w:val="0"/>
              <w:rPr>
                <w:rFonts w:hint="default"/>
                <w:color w:val="auto"/>
                <w:sz w:val="24"/>
                <w:szCs w:val="24"/>
                <w:highlight w:val="none"/>
              </w:rPr>
            </w:pPr>
            <w:r>
              <w:rPr>
                <w:rFonts w:hint="eastAsia"/>
                <w:color w:val="auto"/>
                <w:sz w:val="24"/>
                <w:szCs w:val="24"/>
                <w:highlight w:val="none"/>
                <w:lang w:val="en-US" w:eastAsia="zh-CN"/>
              </w:rPr>
              <w:t>200</w:t>
            </w:r>
          </w:p>
        </w:tc>
        <w:tc>
          <w:tcPr>
            <w:tcW w:w="35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D0A0C05">
            <w:pPr>
              <w:pStyle w:val="42"/>
              <w:bidi w:val="0"/>
              <w:rPr>
                <w:rFonts w:hint="default"/>
                <w:color w:val="auto"/>
                <w:sz w:val="24"/>
                <w:szCs w:val="24"/>
                <w:highlight w:val="none"/>
              </w:rPr>
            </w:pPr>
            <w:r>
              <w:rPr>
                <w:rFonts w:hint="eastAsia"/>
                <w:color w:val="auto"/>
                <w:sz w:val="24"/>
                <w:szCs w:val="24"/>
                <w:highlight w:val="none"/>
                <w:lang w:val="en-US" w:eastAsia="zh-CN"/>
              </w:rPr>
              <w:t>0.0325</w:t>
            </w:r>
          </w:p>
        </w:tc>
        <w:tc>
          <w:tcPr>
            <w:tcW w:w="24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66456F0">
            <w:pPr>
              <w:pStyle w:val="42"/>
              <w:bidi w:val="0"/>
              <w:rPr>
                <w:rFonts w:hint="default"/>
                <w:color w:val="auto"/>
                <w:sz w:val="24"/>
                <w:szCs w:val="24"/>
                <w:highlight w:val="none"/>
              </w:rPr>
            </w:pPr>
            <w:r>
              <w:rPr>
                <w:rFonts w:hint="eastAsia"/>
                <w:color w:val="auto"/>
                <w:sz w:val="24"/>
                <w:szCs w:val="24"/>
                <w:highlight w:val="none"/>
                <w:lang w:val="en-US" w:eastAsia="zh-CN"/>
              </w:rPr>
              <w:t>3.61</w:t>
            </w:r>
          </w:p>
        </w:tc>
      </w:tr>
      <w:tr w14:paraId="56C7D3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33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239C4F5">
            <w:pPr>
              <w:pStyle w:val="42"/>
              <w:bidi w:val="0"/>
              <w:rPr>
                <w:rFonts w:hint="default"/>
                <w:color w:val="auto"/>
                <w:sz w:val="24"/>
                <w:szCs w:val="24"/>
                <w:highlight w:val="none"/>
              </w:rPr>
            </w:pPr>
            <w:r>
              <w:rPr>
                <w:rFonts w:hint="eastAsia"/>
                <w:color w:val="auto"/>
                <w:sz w:val="24"/>
                <w:szCs w:val="24"/>
                <w:highlight w:val="none"/>
                <w:lang w:val="en-US" w:eastAsia="zh-CN"/>
              </w:rPr>
              <w:t>300</w:t>
            </w:r>
          </w:p>
        </w:tc>
        <w:tc>
          <w:tcPr>
            <w:tcW w:w="35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FB5ABCC">
            <w:pPr>
              <w:pStyle w:val="42"/>
              <w:bidi w:val="0"/>
              <w:rPr>
                <w:rFonts w:hint="default"/>
                <w:color w:val="auto"/>
                <w:sz w:val="24"/>
                <w:szCs w:val="24"/>
                <w:highlight w:val="none"/>
              </w:rPr>
            </w:pPr>
            <w:r>
              <w:rPr>
                <w:rFonts w:hint="eastAsia"/>
                <w:color w:val="auto"/>
                <w:sz w:val="24"/>
                <w:szCs w:val="24"/>
                <w:highlight w:val="none"/>
                <w:lang w:val="en-US" w:eastAsia="zh-CN"/>
              </w:rPr>
              <w:t>0.028</w:t>
            </w:r>
          </w:p>
        </w:tc>
        <w:tc>
          <w:tcPr>
            <w:tcW w:w="24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A2F40BE">
            <w:pPr>
              <w:pStyle w:val="42"/>
              <w:bidi w:val="0"/>
              <w:rPr>
                <w:rFonts w:hint="default"/>
                <w:color w:val="auto"/>
                <w:sz w:val="24"/>
                <w:szCs w:val="24"/>
                <w:highlight w:val="none"/>
              </w:rPr>
            </w:pPr>
            <w:r>
              <w:rPr>
                <w:rFonts w:hint="eastAsia"/>
                <w:color w:val="auto"/>
                <w:sz w:val="24"/>
                <w:szCs w:val="24"/>
                <w:highlight w:val="none"/>
                <w:lang w:val="en-US" w:eastAsia="zh-CN"/>
              </w:rPr>
              <w:t>3.11</w:t>
            </w:r>
          </w:p>
        </w:tc>
      </w:tr>
      <w:tr w14:paraId="16FA67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33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2462E33">
            <w:pPr>
              <w:pStyle w:val="42"/>
              <w:bidi w:val="0"/>
              <w:rPr>
                <w:rFonts w:hint="default"/>
                <w:color w:val="auto"/>
                <w:sz w:val="24"/>
                <w:szCs w:val="24"/>
                <w:highlight w:val="none"/>
              </w:rPr>
            </w:pPr>
            <w:r>
              <w:rPr>
                <w:rFonts w:hint="eastAsia"/>
                <w:color w:val="auto"/>
                <w:sz w:val="24"/>
                <w:szCs w:val="24"/>
                <w:highlight w:val="none"/>
                <w:lang w:val="en-US" w:eastAsia="zh-CN"/>
              </w:rPr>
              <w:t>400</w:t>
            </w:r>
          </w:p>
        </w:tc>
        <w:tc>
          <w:tcPr>
            <w:tcW w:w="35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C578F26">
            <w:pPr>
              <w:pStyle w:val="42"/>
              <w:bidi w:val="0"/>
              <w:rPr>
                <w:rFonts w:hint="default"/>
                <w:color w:val="auto"/>
                <w:sz w:val="24"/>
                <w:szCs w:val="24"/>
                <w:highlight w:val="none"/>
              </w:rPr>
            </w:pPr>
            <w:r>
              <w:rPr>
                <w:rFonts w:hint="eastAsia"/>
                <w:color w:val="auto"/>
                <w:sz w:val="24"/>
                <w:szCs w:val="24"/>
                <w:highlight w:val="none"/>
                <w:lang w:val="en-US" w:eastAsia="zh-CN"/>
              </w:rPr>
              <w:t>0.0249</w:t>
            </w:r>
          </w:p>
        </w:tc>
        <w:tc>
          <w:tcPr>
            <w:tcW w:w="24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19A4B4E">
            <w:pPr>
              <w:pStyle w:val="42"/>
              <w:bidi w:val="0"/>
              <w:rPr>
                <w:rFonts w:hint="default"/>
                <w:color w:val="auto"/>
                <w:sz w:val="24"/>
                <w:szCs w:val="24"/>
                <w:highlight w:val="none"/>
              </w:rPr>
            </w:pPr>
            <w:r>
              <w:rPr>
                <w:rFonts w:hint="eastAsia"/>
                <w:color w:val="auto"/>
                <w:sz w:val="24"/>
                <w:szCs w:val="24"/>
                <w:highlight w:val="none"/>
                <w:lang w:val="en-US" w:eastAsia="zh-CN"/>
              </w:rPr>
              <w:t>2.77</w:t>
            </w:r>
          </w:p>
        </w:tc>
      </w:tr>
      <w:tr w14:paraId="7CD1C6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33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E447F30">
            <w:pPr>
              <w:pStyle w:val="42"/>
              <w:bidi w:val="0"/>
              <w:rPr>
                <w:rFonts w:hint="default"/>
                <w:color w:val="auto"/>
                <w:sz w:val="24"/>
                <w:szCs w:val="24"/>
                <w:highlight w:val="none"/>
              </w:rPr>
            </w:pPr>
            <w:r>
              <w:rPr>
                <w:rFonts w:hint="eastAsia"/>
                <w:color w:val="auto"/>
                <w:sz w:val="24"/>
                <w:szCs w:val="24"/>
                <w:highlight w:val="none"/>
                <w:lang w:val="en-US" w:eastAsia="zh-CN"/>
              </w:rPr>
              <w:t>500</w:t>
            </w:r>
          </w:p>
        </w:tc>
        <w:tc>
          <w:tcPr>
            <w:tcW w:w="35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34E6313">
            <w:pPr>
              <w:pStyle w:val="42"/>
              <w:bidi w:val="0"/>
              <w:rPr>
                <w:rFonts w:hint="default"/>
                <w:color w:val="auto"/>
                <w:sz w:val="24"/>
                <w:szCs w:val="24"/>
                <w:highlight w:val="none"/>
              </w:rPr>
            </w:pPr>
            <w:r>
              <w:rPr>
                <w:rFonts w:hint="eastAsia"/>
                <w:color w:val="auto"/>
                <w:sz w:val="24"/>
                <w:szCs w:val="24"/>
                <w:highlight w:val="none"/>
                <w:lang w:val="en-US" w:eastAsia="zh-CN"/>
              </w:rPr>
              <w:t>0.0226</w:t>
            </w:r>
          </w:p>
        </w:tc>
        <w:tc>
          <w:tcPr>
            <w:tcW w:w="24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500D702">
            <w:pPr>
              <w:pStyle w:val="42"/>
              <w:bidi w:val="0"/>
              <w:rPr>
                <w:rFonts w:hint="default"/>
                <w:color w:val="auto"/>
                <w:sz w:val="24"/>
                <w:szCs w:val="24"/>
                <w:highlight w:val="none"/>
              </w:rPr>
            </w:pPr>
            <w:r>
              <w:rPr>
                <w:rFonts w:hint="eastAsia"/>
                <w:color w:val="auto"/>
                <w:sz w:val="24"/>
                <w:szCs w:val="24"/>
                <w:highlight w:val="none"/>
                <w:lang w:val="en-US" w:eastAsia="zh-CN"/>
              </w:rPr>
              <w:t>2.51</w:t>
            </w:r>
          </w:p>
        </w:tc>
      </w:tr>
      <w:tr w14:paraId="16C919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33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5740E78">
            <w:pPr>
              <w:pStyle w:val="42"/>
              <w:bidi w:val="0"/>
              <w:rPr>
                <w:rFonts w:hint="default"/>
                <w:color w:val="auto"/>
                <w:sz w:val="24"/>
                <w:szCs w:val="24"/>
                <w:highlight w:val="none"/>
              </w:rPr>
            </w:pPr>
            <w:r>
              <w:rPr>
                <w:rFonts w:hint="eastAsia"/>
                <w:color w:val="auto"/>
                <w:sz w:val="24"/>
                <w:szCs w:val="24"/>
                <w:highlight w:val="none"/>
                <w:lang w:val="en-US" w:eastAsia="zh-CN"/>
              </w:rPr>
              <w:t>600</w:t>
            </w:r>
          </w:p>
        </w:tc>
        <w:tc>
          <w:tcPr>
            <w:tcW w:w="35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1757586">
            <w:pPr>
              <w:pStyle w:val="42"/>
              <w:bidi w:val="0"/>
              <w:rPr>
                <w:rFonts w:hint="default"/>
                <w:color w:val="auto"/>
                <w:sz w:val="24"/>
                <w:szCs w:val="24"/>
                <w:highlight w:val="none"/>
              </w:rPr>
            </w:pPr>
            <w:r>
              <w:rPr>
                <w:rFonts w:hint="eastAsia"/>
                <w:color w:val="auto"/>
                <w:sz w:val="24"/>
                <w:szCs w:val="24"/>
                <w:highlight w:val="none"/>
                <w:lang w:val="en-US" w:eastAsia="zh-CN"/>
              </w:rPr>
              <w:t>0.0207</w:t>
            </w:r>
          </w:p>
        </w:tc>
        <w:tc>
          <w:tcPr>
            <w:tcW w:w="24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71C7AE8">
            <w:pPr>
              <w:pStyle w:val="42"/>
              <w:bidi w:val="0"/>
              <w:rPr>
                <w:rFonts w:hint="default"/>
                <w:color w:val="auto"/>
                <w:sz w:val="24"/>
                <w:szCs w:val="24"/>
                <w:highlight w:val="none"/>
              </w:rPr>
            </w:pPr>
            <w:r>
              <w:rPr>
                <w:rFonts w:hint="eastAsia"/>
                <w:color w:val="auto"/>
                <w:sz w:val="24"/>
                <w:szCs w:val="24"/>
                <w:highlight w:val="none"/>
                <w:lang w:val="en-US" w:eastAsia="zh-CN"/>
              </w:rPr>
              <w:t>2.3</w:t>
            </w:r>
          </w:p>
        </w:tc>
      </w:tr>
      <w:tr w14:paraId="3B25B0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33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91F5DA0">
            <w:pPr>
              <w:pStyle w:val="42"/>
              <w:bidi w:val="0"/>
              <w:rPr>
                <w:rFonts w:hint="default"/>
                <w:color w:val="auto"/>
                <w:sz w:val="24"/>
                <w:szCs w:val="24"/>
                <w:highlight w:val="none"/>
              </w:rPr>
            </w:pPr>
            <w:r>
              <w:rPr>
                <w:rFonts w:hint="eastAsia"/>
                <w:color w:val="auto"/>
                <w:sz w:val="24"/>
                <w:szCs w:val="24"/>
                <w:highlight w:val="none"/>
                <w:lang w:val="en-US" w:eastAsia="zh-CN"/>
              </w:rPr>
              <w:t>700</w:t>
            </w:r>
          </w:p>
        </w:tc>
        <w:tc>
          <w:tcPr>
            <w:tcW w:w="35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E9D8DA8">
            <w:pPr>
              <w:pStyle w:val="42"/>
              <w:bidi w:val="0"/>
              <w:rPr>
                <w:rFonts w:hint="default"/>
                <w:color w:val="auto"/>
                <w:sz w:val="24"/>
                <w:szCs w:val="24"/>
                <w:highlight w:val="none"/>
              </w:rPr>
            </w:pPr>
            <w:r>
              <w:rPr>
                <w:rFonts w:hint="eastAsia"/>
                <w:color w:val="auto"/>
                <w:sz w:val="24"/>
                <w:szCs w:val="24"/>
                <w:highlight w:val="none"/>
                <w:lang w:val="en-US" w:eastAsia="zh-CN"/>
              </w:rPr>
              <w:t>0.019</w:t>
            </w:r>
          </w:p>
        </w:tc>
        <w:tc>
          <w:tcPr>
            <w:tcW w:w="24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9C5B243">
            <w:pPr>
              <w:pStyle w:val="42"/>
              <w:bidi w:val="0"/>
              <w:rPr>
                <w:rFonts w:hint="default"/>
                <w:color w:val="auto"/>
                <w:sz w:val="24"/>
                <w:szCs w:val="24"/>
                <w:highlight w:val="none"/>
              </w:rPr>
            </w:pPr>
            <w:r>
              <w:rPr>
                <w:rFonts w:hint="eastAsia"/>
                <w:color w:val="auto"/>
                <w:sz w:val="24"/>
                <w:szCs w:val="24"/>
                <w:highlight w:val="none"/>
                <w:lang w:val="en-US" w:eastAsia="zh-CN"/>
              </w:rPr>
              <w:t>2.12</w:t>
            </w:r>
          </w:p>
        </w:tc>
      </w:tr>
      <w:tr w14:paraId="3B1ABA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33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5E5DE90">
            <w:pPr>
              <w:pStyle w:val="42"/>
              <w:bidi w:val="0"/>
              <w:rPr>
                <w:rFonts w:hint="default"/>
                <w:color w:val="auto"/>
                <w:sz w:val="24"/>
                <w:szCs w:val="24"/>
                <w:highlight w:val="none"/>
              </w:rPr>
            </w:pPr>
            <w:r>
              <w:rPr>
                <w:rFonts w:hint="eastAsia"/>
                <w:color w:val="auto"/>
                <w:sz w:val="24"/>
                <w:szCs w:val="24"/>
                <w:highlight w:val="none"/>
                <w:lang w:val="en-US" w:eastAsia="zh-CN"/>
              </w:rPr>
              <w:t>800</w:t>
            </w:r>
          </w:p>
        </w:tc>
        <w:tc>
          <w:tcPr>
            <w:tcW w:w="35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D1E4854">
            <w:pPr>
              <w:pStyle w:val="42"/>
              <w:bidi w:val="0"/>
              <w:rPr>
                <w:rFonts w:hint="default"/>
                <w:color w:val="auto"/>
                <w:sz w:val="24"/>
                <w:szCs w:val="24"/>
                <w:highlight w:val="none"/>
              </w:rPr>
            </w:pPr>
            <w:r>
              <w:rPr>
                <w:rFonts w:hint="eastAsia"/>
                <w:color w:val="auto"/>
                <w:sz w:val="24"/>
                <w:szCs w:val="24"/>
                <w:highlight w:val="none"/>
                <w:lang w:val="en-US" w:eastAsia="zh-CN"/>
              </w:rPr>
              <w:t>0.0177</w:t>
            </w:r>
          </w:p>
        </w:tc>
        <w:tc>
          <w:tcPr>
            <w:tcW w:w="24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D3B4E07">
            <w:pPr>
              <w:pStyle w:val="42"/>
              <w:bidi w:val="0"/>
              <w:rPr>
                <w:rFonts w:hint="default"/>
                <w:color w:val="auto"/>
                <w:sz w:val="24"/>
                <w:szCs w:val="24"/>
                <w:highlight w:val="none"/>
              </w:rPr>
            </w:pPr>
            <w:r>
              <w:rPr>
                <w:rFonts w:hint="eastAsia"/>
                <w:color w:val="auto"/>
                <w:sz w:val="24"/>
                <w:szCs w:val="24"/>
                <w:highlight w:val="none"/>
                <w:lang w:val="en-US" w:eastAsia="zh-CN"/>
              </w:rPr>
              <w:t>1.96</w:t>
            </w:r>
          </w:p>
        </w:tc>
      </w:tr>
      <w:tr w14:paraId="4B7E1F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33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4D9FD8D">
            <w:pPr>
              <w:pStyle w:val="42"/>
              <w:bidi w:val="0"/>
              <w:rPr>
                <w:rFonts w:hint="default"/>
                <w:color w:val="auto"/>
                <w:sz w:val="24"/>
                <w:szCs w:val="24"/>
                <w:highlight w:val="none"/>
              </w:rPr>
            </w:pPr>
            <w:r>
              <w:rPr>
                <w:rFonts w:hint="eastAsia"/>
                <w:color w:val="auto"/>
                <w:sz w:val="24"/>
                <w:szCs w:val="24"/>
                <w:highlight w:val="none"/>
                <w:lang w:val="en-US" w:eastAsia="zh-CN"/>
              </w:rPr>
              <w:t>900</w:t>
            </w:r>
          </w:p>
        </w:tc>
        <w:tc>
          <w:tcPr>
            <w:tcW w:w="35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5E18889">
            <w:pPr>
              <w:pStyle w:val="42"/>
              <w:bidi w:val="0"/>
              <w:rPr>
                <w:rFonts w:hint="default"/>
                <w:color w:val="auto"/>
                <w:sz w:val="24"/>
                <w:szCs w:val="24"/>
                <w:highlight w:val="none"/>
              </w:rPr>
            </w:pPr>
            <w:r>
              <w:rPr>
                <w:rFonts w:hint="eastAsia"/>
                <w:color w:val="auto"/>
                <w:sz w:val="24"/>
                <w:szCs w:val="24"/>
                <w:highlight w:val="none"/>
                <w:lang w:val="en-US" w:eastAsia="zh-CN"/>
              </w:rPr>
              <w:t>0.0165</w:t>
            </w:r>
          </w:p>
        </w:tc>
        <w:tc>
          <w:tcPr>
            <w:tcW w:w="24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5FC71BB">
            <w:pPr>
              <w:pStyle w:val="42"/>
              <w:bidi w:val="0"/>
              <w:rPr>
                <w:rFonts w:hint="default"/>
                <w:color w:val="auto"/>
                <w:sz w:val="24"/>
                <w:szCs w:val="24"/>
                <w:highlight w:val="none"/>
              </w:rPr>
            </w:pPr>
            <w:r>
              <w:rPr>
                <w:rFonts w:hint="eastAsia"/>
                <w:color w:val="auto"/>
                <w:sz w:val="24"/>
                <w:szCs w:val="24"/>
                <w:highlight w:val="none"/>
                <w:lang w:val="en-US" w:eastAsia="zh-CN"/>
              </w:rPr>
              <w:t>1.83</w:t>
            </w:r>
          </w:p>
        </w:tc>
      </w:tr>
      <w:tr w14:paraId="7054F2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33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A9AB73A">
            <w:pPr>
              <w:pStyle w:val="42"/>
              <w:bidi w:val="0"/>
              <w:rPr>
                <w:rFonts w:hint="default"/>
                <w:color w:val="auto"/>
                <w:sz w:val="24"/>
                <w:szCs w:val="24"/>
                <w:highlight w:val="none"/>
              </w:rPr>
            </w:pPr>
            <w:r>
              <w:rPr>
                <w:rFonts w:hint="eastAsia"/>
                <w:color w:val="auto"/>
                <w:sz w:val="24"/>
                <w:szCs w:val="24"/>
                <w:highlight w:val="none"/>
                <w:lang w:val="en-US" w:eastAsia="zh-CN"/>
              </w:rPr>
              <w:t>1000</w:t>
            </w:r>
          </w:p>
        </w:tc>
        <w:tc>
          <w:tcPr>
            <w:tcW w:w="35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6CB77F7">
            <w:pPr>
              <w:pStyle w:val="42"/>
              <w:bidi w:val="0"/>
              <w:rPr>
                <w:rFonts w:hint="default"/>
                <w:color w:val="auto"/>
                <w:sz w:val="24"/>
                <w:szCs w:val="24"/>
                <w:highlight w:val="none"/>
              </w:rPr>
            </w:pPr>
            <w:r>
              <w:rPr>
                <w:rFonts w:hint="eastAsia"/>
                <w:color w:val="auto"/>
                <w:sz w:val="24"/>
                <w:szCs w:val="24"/>
                <w:highlight w:val="none"/>
                <w:lang w:val="en-US" w:eastAsia="zh-CN"/>
              </w:rPr>
              <w:t>0.0155</w:t>
            </w:r>
          </w:p>
        </w:tc>
        <w:tc>
          <w:tcPr>
            <w:tcW w:w="24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8E0B836">
            <w:pPr>
              <w:pStyle w:val="42"/>
              <w:bidi w:val="0"/>
              <w:rPr>
                <w:rFonts w:hint="default"/>
                <w:color w:val="auto"/>
                <w:sz w:val="24"/>
                <w:szCs w:val="24"/>
                <w:highlight w:val="none"/>
              </w:rPr>
            </w:pPr>
            <w:r>
              <w:rPr>
                <w:rFonts w:hint="eastAsia"/>
                <w:color w:val="auto"/>
                <w:sz w:val="24"/>
                <w:szCs w:val="24"/>
                <w:highlight w:val="none"/>
                <w:lang w:val="en-US" w:eastAsia="zh-CN"/>
              </w:rPr>
              <w:t>1.72</w:t>
            </w:r>
          </w:p>
        </w:tc>
      </w:tr>
      <w:tr w14:paraId="1ABDAA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33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076F8DA">
            <w:pPr>
              <w:pStyle w:val="42"/>
              <w:bidi w:val="0"/>
              <w:rPr>
                <w:rFonts w:hint="eastAsia"/>
                <w:color w:val="auto"/>
                <w:sz w:val="24"/>
                <w:szCs w:val="24"/>
                <w:highlight w:val="none"/>
                <w:lang w:val="en-US" w:eastAsia="zh-CN"/>
              </w:rPr>
            </w:pPr>
            <w:r>
              <w:rPr>
                <w:rFonts w:hint="eastAsia"/>
                <w:color w:val="auto"/>
                <w:sz w:val="24"/>
                <w:szCs w:val="24"/>
                <w:highlight w:val="none"/>
                <w:lang w:val="en-US" w:eastAsia="zh-CN"/>
              </w:rPr>
              <w:t>1500</w:t>
            </w:r>
          </w:p>
        </w:tc>
        <w:tc>
          <w:tcPr>
            <w:tcW w:w="35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A889E1C">
            <w:pPr>
              <w:pStyle w:val="42"/>
              <w:bidi w:val="0"/>
              <w:rPr>
                <w:rFonts w:hint="eastAsia"/>
                <w:color w:val="auto"/>
                <w:sz w:val="24"/>
                <w:szCs w:val="24"/>
                <w:highlight w:val="none"/>
                <w:lang w:val="en-US" w:eastAsia="zh-CN"/>
              </w:rPr>
            </w:pPr>
            <w:r>
              <w:rPr>
                <w:rFonts w:hint="eastAsia"/>
                <w:color w:val="auto"/>
                <w:sz w:val="24"/>
                <w:szCs w:val="24"/>
                <w:highlight w:val="none"/>
                <w:lang w:val="en-US" w:eastAsia="zh-CN"/>
              </w:rPr>
              <w:t>0.0126</w:t>
            </w:r>
          </w:p>
        </w:tc>
        <w:tc>
          <w:tcPr>
            <w:tcW w:w="24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1062D32">
            <w:pPr>
              <w:pStyle w:val="42"/>
              <w:bidi w:val="0"/>
              <w:rPr>
                <w:rFonts w:hint="eastAsia"/>
                <w:color w:val="auto"/>
                <w:sz w:val="24"/>
                <w:szCs w:val="24"/>
                <w:highlight w:val="none"/>
                <w:lang w:val="en-US" w:eastAsia="zh-CN"/>
              </w:rPr>
            </w:pPr>
            <w:r>
              <w:rPr>
                <w:rFonts w:hint="eastAsia"/>
                <w:color w:val="auto"/>
                <w:sz w:val="24"/>
                <w:szCs w:val="24"/>
                <w:highlight w:val="none"/>
                <w:lang w:val="en-US" w:eastAsia="zh-CN"/>
              </w:rPr>
              <w:t>1.41</w:t>
            </w:r>
          </w:p>
        </w:tc>
      </w:tr>
      <w:tr w14:paraId="6F7DE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33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EE00EF5">
            <w:pPr>
              <w:pStyle w:val="42"/>
              <w:bidi w:val="0"/>
              <w:rPr>
                <w:rFonts w:hint="eastAsia"/>
                <w:color w:val="auto"/>
                <w:sz w:val="24"/>
                <w:szCs w:val="24"/>
                <w:highlight w:val="none"/>
                <w:lang w:val="en-US" w:eastAsia="zh-CN"/>
              </w:rPr>
            </w:pPr>
            <w:r>
              <w:rPr>
                <w:rFonts w:hint="eastAsia"/>
                <w:color w:val="auto"/>
                <w:sz w:val="24"/>
                <w:szCs w:val="24"/>
                <w:highlight w:val="none"/>
                <w:lang w:val="en-US" w:eastAsia="zh-CN"/>
              </w:rPr>
              <w:t>2000</w:t>
            </w:r>
          </w:p>
        </w:tc>
        <w:tc>
          <w:tcPr>
            <w:tcW w:w="35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5FA74CE">
            <w:pPr>
              <w:pStyle w:val="42"/>
              <w:bidi w:val="0"/>
              <w:rPr>
                <w:rFonts w:hint="eastAsia"/>
                <w:color w:val="auto"/>
                <w:sz w:val="24"/>
                <w:szCs w:val="24"/>
                <w:highlight w:val="none"/>
                <w:lang w:val="en-US" w:eastAsia="zh-CN"/>
              </w:rPr>
            </w:pPr>
            <w:r>
              <w:rPr>
                <w:rFonts w:hint="eastAsia"/>
                <w:color w:val="auto"/>
                <w:sz w:val="24"/>
                <w:szCs w:val="24"/>
                <w:highlight w:val="none"/>
                <w:lang w:val="en-US" w:eastAsia="zh-CN"/>
              </w:rPr>
              <w:t>0.0117</w:t>
            </w:r>
          </w:p>
        </w:tc>
        <w:tc>
          <w:tcPr>
            <w:tcW w:w="24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08F344A">
            <w:pPr>
              <w:pStyle w:val="42"/>
              <w:bidi w:val="0"/>
              <w:rPr>
                <w:rFonts w:hint="eastAsia"/>
                <w:color w:val="auto"/>
                <w:sz w:val="24"/>
                <w:szCs w:val="24"/>
                <w:highlight w:val="none"/>
                <w:lang w:val="en-US" w:eastAsia="zh-CN"/>
              </w:rPr>
            </w:pPr>
            <w:r>
              <w:rPr>
                <w:rFonts w:hint="eastAsia"/>
                <w:color w:val="auto"/>
                <w:sz w:val="24"/>
                <w:szCs w:val="24"/>
                <w:highlight w:val="none"/>
                <w:lang w:val="en-US" w:eastAsia="zh-CN"/>
              </w:rPr>
              <w:t>1.3</w:t>
            </w:r>
          </w:p>
        </w:tc>
      </w:tr>
      <w:tr w14:paraId="5738EF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33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8273E18">
            <w:pPr>
              <w:pStyle w:val="42"/>
              <w:bidi w:val="0"/>
              <w:rPr>
                <w:rFonts w:hint="eastAsia"/>
                <w:color w:val="auto"/>
                <w:sz w:val="24"/>
                <w:szCs w:val="24"/>
                <w:highlight w:val="none"/>
                <w:lang w:val="en-US" w:eastAsia="zh-CN"/>
              </w:rPr>
            </w:pPr>
            <w:r>
              <w:rPr>
                <w:rFonts w:hint="eastAsia"/>
                <w:color w:val="auto"/>
                <w:sz w:val="24"/>
                <w:szCs w:val="24"/>
                <w:highlight w:val="none"/>
                <w:lang w:val="en-US" w:eastAsia="zh-CN"/>
              </w:rPr>
              <w:t>2500</w:t>
            </w:r>
          </w:p>
        </w:tc>
        <w:tc>
          <w:tcPr>
            <w:tcW w:w="35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3C03C6B">
            <w:pPr>
              <w:pStyle w:val="42"/>
              <w:bidi w:val="0"/>
              <w:rPr>
                <w:rFonts w:hint="eastAsia"/>
                <w:color w:val="auto"/>
                <w:sz w:val="24"/>
                <w:szCs w:val="24"/>
                <w:highlight w:val="none"/>
                <w:lang w:val="en-US" w:eastAsia="zh-CN"/>
              </w:rPr>
            </w:pPr>
            <w:r>
              <w:rPr>
                <w:rFonts w:hint="eastAsia"/>
                <w:color w:val="auto"/>
                <w:sz w:val="24"/>
                <w:szCs w:val="24"/>
                <w:highlight w:val="none"/>
                <w:lang w:val="en-US" w:eastAsia="zh-CN"/>
              </w:rPr>
              <w:t>0.0109</w:t>
            </w:r>
          </w:p>
        </w:tc>
        <w:tc>
          <w:tcPr>
            <w:tcW w:w="24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D69446A">
            <w:pPr>
              <w:pStyle w:val="42"/>
              <w:bidi w:val="0"/>
              <w:rPr>
                <w:rFonts w:hint="eastAsia"/>
                <w:color w:val="auto"/>
                <w:sz w:val="24"/>
                <w:szCs w:val="24"/>
                <w:highlight w:val="none"/>
                <w:lang w:val="en-US" w:eastAsia="zh-CN"/>
              </w:rPr>
            </w:pPr>
            <w:r>
              <w:rPr>
                <w:rFonts w:hint="eastAsia"/>
                <w:color w:val="auto"/>
                <w:sz w:val="24"/>
                <w:szCs w:val="24"/>
                <w:highlight w:val="none"/>
                <w:lang w:val="en-US" w:eastAsia="zh-CN"/>
              </w:rPr>
              <w:t>1.21</w:t>
            </w:r>
          </w:p>
        </w:tc>
      </w:tr>
    </w:tbl>
    <w:p w14:paraId="06851FBB">
      <w:pPr>
        <w:pStyle w:val="45"/>
        <w:bidi w:val="0"/>
        <w:rPr>
          <w:rFonts w:hint="default" w:ascii="Times New Roman" w:hAnsi="Times New Roman" w:cs="Times New Roman"/>
          <w:color w:val="auto"/>
          <w:sz w:val="24"/>
          <w:szCs w:val="24"/>
          <w:highlight w:val="none"/>
          <w:lang w:val="en-US" w:eastAsia="zh-CN"/>
        </w:rPr>
      </w:pPr>
    </w:p>
    <w:p w14:paraId="16604DEA">
      <w:pPr>
        <w:pStyle w:val="45"/>
        <w:bidi w:val="0"/>
        <w:rPr>
          <w:rFonts w:hint="default" w:ascii="Times New Roman" w:hAnsi="Times New Roman" w:cs="Times New Roman"/>
          <w:color w:val="FF0000"/>
          <w:sz w:val="24"/>
          <w:szCs w:val="24"/>
          <w:highlight w:val="none"/>
        </w:rPr>
      </w:pPr>
      <w:r>
        <w:rPr>
          <w:rFonts w:hint="default" w:ascii="Times New Roman" w:hAnsi="Times New Roman" w:cs="Times New Roman"/>
          <w:color w:val="FF0000"/>
          <w:sz w:val="24"/>
          <w:szCs w:val="24"/>
          <w:highlight w:val="none"/>
          <w:lang w:val="en-US" w:eastAsia="zh-CN"/>
        </w:rPr>
        <w:t>表5.2-1</w:t>
      </w:r>
      <w:r>
        <w:rPr>
          <w:rFonts w:hint="eastAsia" w:ascii="Times New Roman" w:hAnsi="Times New Roman" w:cs="Times New Roman"/>
          <w:color w:val="FF0000"/>
          <w:sz w:val="24"/>
          <w:szCs w:val="24"/>
          <w:highlight w:val="none"/>
          <w:lang w:val="en-US" w:eastAsia="zh-CN"/>
        </w:rPr>
        <w:t>1</w:t>
      </w:r>
      <w:r>
        <w:rPr>
          <w:rFonts w:hint="default" w:ascii="Times New Roman" w:hAnsi="Times New Roman" w:cs="Times New Roman"/>
          <w:color w:val="FF0000"/>
          <w:sz w:val="24"/>
          <w:szCs w:val="24"/>
          <w:highlight w:val="none"/>
          <w:lang w:val="en-US" w:eastAsia="zh-CN"/>
        </w:rPr>
        <w:t xml:space="preserve">    无组织面源</w:t>
      </w:r>
      <w:r>
        <w:rPr>
          <w:rFonts w:hint="eastAsia" w:ascii="Times New Roman" w:hAnsi="Times New Roman" w:cs="Times New Roman"/>
          <w:color w:val="FF0000"/>
          <w:sz w:val="24"/>
          <w:szCs w:val="24"/>
          <w:highlight w:val="none"/>
          <w:lang w:val="en-US" w:eastAsia="zh-CN"/>
        </w:rPr>
        <w:t>原料堆场</w:t>
      </w:r>
      <w:r>
        <w:rPr>
          <w:rFonts w:hint="default" w:ascii="Times New Roman" w:hAnsi="Times New Roman" w:cs="Times New Roman"/>
          <w:color w:val="FF0000"/>
          <w:sz w:val="24"/>
          <w:szCs w:val="24"/>
          <w:highlight w:val="none"/>
          <w:lang w:val="en-US" w:eastAsia="zh-CN"/>
        </w:rPr>
        <w:t>废气排放</w:t>
      </w:r>
      <w:r>
        <w:rPr>
          <w:rFonts w:hint="default" w:ascii="Times New Roman" w:hAnsi="Times New Roman" w:cs="Times New Roman"/>
          <w:color w:val="FF0000"/>
          <w:sz w:val="24"/>
          <w:szCs w:val="24"/>
          <w:highlight w:val="none"/>
        </w:rPr>
        <w:t>采用估算模式计算结果</w:t>
      </w:r>
    </w:p>
    <w:tbl>
      <w:tblPr>
        <w:tblStyle w:val="31"/>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300"/>
        <w:gridCol w:w="3581"/>
        <w:gridCol w:w="2481"/>
      </w:tblGrid>
      <w:tr w14:paraId="5FEA2B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1762" w:type="pct"/>
            <w:vMerge w:val="restar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A0CAAC8">
            <w:pPr>
              <w:pStyle w:val="42"/>
              <w:bidi w:val="0"/>
              <w:rPr>
                <w:rFonts w:hint="default"/>
                <w:color w:val="auto"/>
                <w:sz w:val="24"/>
                <w:szCs w:val="24"/>
                <w:highlight w:val="none"/>
              </w:rPr>
            </w:pPr>
            <w:r>
              <w:rPr>
                <w:rFonts w:hint="default"/>
                <w:color w:val="auto"/>
                <w:sz w:val="24"/>
                <w:szCs w:val="24"/>
                <w:highlight w:val="none"/>
              </w:rPr>
              <w:t>距源中心下风向距离</w:t>
            </w:r>
          </w:p>
          <w:p w14:paraId="4076FDF4">
            <w:pPr>
              <w:pStyle w:val="42"/>
              <w:bidi w:val="0"/>
              <w:rPr>
                <w:rFonts w:hint="default"/>
                <w:color w:val="auto"/>
                <w:sz w:val="24"/>
                <w:szCs w:val="24"/>
                <w:highlight w:val="none"/>
              </w:rPr>
            </w:pPr>
            <w:r>
              <w:rPr>
                <w:rFonts w:hint="default"/>
                <w:color w:val="auto"/>
                <w:sz w:val="24"/>
                <w:szCs w:val="24"/>
                <w:highlight w:val="none"/>
              </w:rPr>
              <w:t>D/m</w:t>
            </w:r>
          </w:p>
        </w:tc>
        <w:tc>
          <w:tcPr>
            <w:tcW w:w="3237" w:type="pct"/>
            <w:gridSpan w:val="2"/>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47C3EAE">
            <w:pPr>
              <w:pStyle w:val="42"/>
              <w:bidi w:val="0"/>
              <w:rPr>
                <w:rFonts w:hint="default"/>
                <w:color w:val="auto"/>
                <w:sz w:val="24"/>
                <w:szCs w:val="24"/>
                <w:highlight w:val="none"/>
                <w:lang w:val="en-US" w:eastAsia="zh-CN"/>
              </w:rPr>
            </w:pPr>
            <w:r>
              <w:rPr>
                <w:rFonts w:hint="default"/>
                <w:color w:val="auto"/>
                <w:sz w:val="24"/>
                <w:szCs w:val="24"/>
                <w:highlight w:val="none"/>
                <w:lang w:val="en-US" w:eastAsia="zh-CN"/>
              </w:rPr>
              <w:t>TSP</w:t>
            </w:r>
          </w:p>
        </w:tc>
      </w:tr>
      <w:tr w14:paraId="145FAB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762" w:type="pct"/>
            <w:vMerge w:val="continue"/>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034EFCB">
            <w:pPr>
              <w:pStyle w:val="42"/>
              <w:bidi w:val="0"/>
              <w:rPr>
                <w:rFonts w:hint="default"/>
                <w:color w:val="auto"/>
                <w:sz w:val="24"/>
                <w:szCs w:val="24"/>
                <w:highlight w:val="none"/>
              </w:rPr>
            </w:pPr>
          </w:p>
        </w:tc>
        <w:tc>
          <w:tcPr>
            <w:tcW w:w="1912"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DC3FD59">
            <w:pPr>
              <w:pStyle w:val="42"/>
              <w:bidi w:val="0"/>
              <w:rPr>
                <w:rFonts w:hint="default"/>
                <w:color w:val="auto"/>
                <w:sz w:val="24"/>
                <w:szCs w:val="24"/>
                <w:highlight w:val="none"/>
              </w:rPr>
            </w:pPr>
            <w:r>
              <w:rPr>
                <w:rFonts w:hint="default"/>
                <w:color w:val="auto"/>
                <w:sz w:val="24"/>
                <w:szCs w:val="24"/>
                <w:highlight w:val="none"/>
              </w:rPr>
              <w:t>下风向预测浓度（</w:t>
            </w:r>
            <w:r>
              <w:rPr>
                <w:rFonts w:hint="default"/>
                <w:color w:val="auto"/>
                <w:sz w:val="24"/>
                <w:szCs w:val="24"/>
                <w:highlight w:val="none"/>
                <w:lang w:val="en-US" w:eastAsia="zh-CN"/>
              </w:rPr>
              <w:t>mg</w:t>
            </w:r>
            <w:r>
              <w:rPr>
                <w:rFonts w:hint="default"/>
                <w:color w:val="auto"/>
                <w:sz w:val="24"/>
                <w:szCs w:val="24"/>
                <w:highlight w:val="none"/>
              </w:rPr>
              <w:t>/m</w:t>
            </w:r>
            <w:r>
              <w:rPr>
                <w:rFonts w:hint="default"/>
                <w:color w:val="auto"/>
                <w:sz w:val="24"/>
                <w:szCs w:val="24"/>
                <w:highlight w:val="none"/>
                <w:vertAlign w:val="superscript"/>
              </w:rPr>
              <w:t>3</w:t>
            </w:r>
            <w:r>
              <w:rPr>
                <w:rFonts w:hint="default"/>
                <w:color w:val="auto"/>
                <w:sz w:val="24"/>
                <w:szCs w:val="24"/>
                <w:highlight w:val="none"/>
              </w:rPr>
              <w:t>）</w:t>
            </w:r>
          </w:p>
        </w:tc>
        <w:tc>
          <w:tcPr>
            <w:tcW w:w="1325"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4F9EEBE">
            <w:pPr>
              <w:pStyle w:val="42"/>
              <w:bidi w:val="0"/>
              <w:rPr>
                <w:rFonts w:hint="default"/>
                <w:color w:val="auto"/>
                <w:sz w:val="24"/>
                <w:szCs w:val="24"/>
                <w:highlight w:val="none"/>
              </w:rPr>
            </w:pPr>
            <w:r>
              <w:rPr>
                <w:rFonts w:hint="default"/>
                <w:color w:val="auto"/>
                <w:sz w:val="24"/>
                <w:szCs w:val="24"/>
                <w:highlight w:val="none"/>
              </w:rPr>
              <w:t>浓度占标率</w:t>
            </w:r>
          </w:p>
          <w:p w14:paraId="08DE792B">
            <w:pPr>
              <w:pStyle w:val="42"/>
              <w:bidi w:val="0"/>
              <w:rPr>
                <w:rFonts w:hint="default"/>
                <w:color w:val="auto"/>
                <w:sz w:val="24"/>
                <w:szCs w:val="24"/>
                <w:highlight w:val="none"/>
              </w:rPr>
            </w:pPr>
            <w:r>
              <w:rPr>
                <w:rFonts w:hint="default"/>
                <w:color w:val="auto"/>
                <w:sz w:val="24"/>
                <w:szCs w:val="24"/>
                <w:highlight w:val="none"/>
              </w:rPr>
              <w:t>（%）</w:t>
            </w:r>
          </w:p>
        </w:tc>
      </w:tr>
      <w:tr w14:paraId="109950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33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8DC5F98">
            <w:pPr>
              <w:pStyle w:val="48"/>
              <w:bidi w:val="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10</w:t>
            </w:r>
          </w:p>
        </w:tc>
        <w:tc>
          <w:tcPr>
            <w:tcW w:w="35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CE8A065">
            <w:pPr>
              <w:pStyle w:val="48"/>
              <w:bidi w:val="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0.0192</w:t>
            </w:r>
          </w:p>
        </w:tc>
        <w:tc>
          <w:tcPr>
            <w:tcW w:w="24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2969E0C">
            <w:pPr>
              <w:pStyle w:val="48"/>
              <w:bidi w:val="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2.14</w:t>
            </w:r>
          </w:p>
        </w:tc>
      </w:tr>
      <w:tr w14:paraId="46F39D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33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BA5799A">
            <w:pPr>
              <w:pStyle w:val="48"/>
              <w:bidi w:val="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25</w:t>
            </w:r>
          </w:p>
        </w:tc>
        <w:tc>
          <w:tcPr>
            <w:tcW w:w="35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41958A5">
            <w:pPr>
              <w:pStyle w:val="48"/>
              <w:bidi w:val="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0.0273</w:t>
            </w:r>
          </w:p>
        </w:tc>
        <w:tc>
          <w:tcPr>
            <w:tcW w:w="24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D8F5D03">
            <w:pPr>
              <w:pStyle w:val="48"/>
              <w:bidi w:val="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3.03</w:t>
            </w:r>
          </w:p>
        </w:tc>
      </w:tr>
      <w:tr w14:paraId="7AA36D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33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C49F29D">
            <w:pPr>
              <w:pStyle w:val="48"/>
              <w:bidi w:val="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26</w:t>
            </w:r>
          </w:p>
        </w:tc>
        <w:tc>
          <w:tcPr>
            <w:tcW w:w="35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AFF31F1">
            <w:pPr>
              <w:pStyle w:val="48"/>
              <w:bidi w:val="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0.0273</w:t>
            </w:r>
          </w:p>
        </w:tc>
        <w:tc>
          <w:tcPr>
            <w:tcW w:w="24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4D977D2">
            <w:pPr>
              <w:pStyle w:val="48"/>
              <w:bidi w:val="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3.03</w:t>
            </w:r>
          </w:p>
        </w:tc>
      </w:tr>
      <w:tr w14:paraId="62F129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33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3FBCFF5">
            <w:pPr>
              <w:pStyle w:val="48"/>
              <w:bidi w:val="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50</w:t>
            </w:r>
          </w:p>
        </w:tc>
        <w:tc>
          <w:tcPr>
            <w:tcW w:w="35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204FEDB">
            <w:pPr>
              <w:pStyle w:val="48"/>
              <w:bidi w:val="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0.021</w:t>
            </w:r>
          </w:p>
        </w:tc>
        <w:tc>
          <w:tcPr>
            <w:tcW w:w="24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60A481C">
            <w:pPr>
              <w:pStyle w:val="48"/>
              <w:bidi w:val="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2.33</w:t>
            </w:r>
          </w:p>
        </w:tc>
      </w:tr>
      <w:tr w14:paraId="57420C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33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1D65A47">
            <w:pPr>
              <w:pStyle w:val="48"/>
              <w:bidi w:val="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75</w:t>
            </w:r>
          </w:p>
        </w:tc>
        <w:tc>
          <w:tcPr>
            <w:tcW w:w="35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F8DA7DE">
            <w:pPr>
              <w:pStyle w:val="48"/>
              <w:bidi w:val="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0.0187</w:t>
            </w:r>
          </w:p>
        </w:tc>
        <w:tc>
          <w:tcPr>
            <w:tcW w:w="24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4B1AE46">
            <w:pPr>
              <w:pStyle w:val="48"/>
              <w:bidi w:val="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2.08</w:t>
            </w:r>
          </w:p>
        </w:tc>
      </w:tr>
      <w:tr w14:paraId="7C55CF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33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49DDB42">
            <w:pPr>
              <w:pStyle w:val="48"/>
              <w:bidi w:val="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100</w:t>
            </w:r>
          </w:p>
        </w:tc>
        <w:tc>
          <w:tcPr>
            <w:tcW w:w="35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79F61D4">
            <w:pPr>
              <w:pStyle w:val="48"/>
              <w:bidi w:val="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0.0163</w:t>
            </w:r>
          </w:p>
        </w:tc>
        <w:tc>
          <w:tcPr>
            <w:tcW w:w="24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C367109">
            <w:pPr>
              <w:pStyle w:val="48"/>
              <w:bidi w:val="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1.81</w:t>
            </w:r>
          </w:p>
        </w:tc>
      </w:tr>
      <w:tr w14:paraId="1A6067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33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1FD427F">
            <w:pPr>
              <w:pStyle w:val="48"/>
              <w:bidi w:val="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125</w:t>
            </w:r>
          </w:p>
        </w:tc>
        <w:tc>
          <w:tcPr>
            <w:tcW w:w="35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91CA752">
            <w:pPr>
              <w:pStyle w:val="48"/>
              <w:bidi w:val="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0.0142</w:t>
            </w:r>
          </w:p>
        </w:tc>
        <w:tc>
          <w:tcPr>
            <w:tcW w:w="24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D7001AA">
            <w:pPr>
              <w:pStyle w:val="48"/>
              <w:bidi w:val="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1.58</w:t>
            </w:r>
          </w:p>
        </w:tc>
      </w:tr>
      <w:tr w14:paraId="1FCEAF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33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A31C445">
            <w:pPr>
              <w:pStyle w:val="48"/>
              <w:bidi w:val="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150</w:t>
            </w:r>
          </w:p>
        </w:tc>
        <w:tc>
          <w:tcPr>
            <w:tcW w:w="35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8E9D681">
            <w:pPr>
              <w:pStyle w:val="48"/>
              <w:bidi w:val="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0.0121</w:t>
            </w:r>
          </w:p>
        </w:tc>
        <w:tc>
          <w:tcPr>
            <w:tcW w:w="24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F6BDC9B">
            <w:pPr>
              <w:pStyle w:val="48"/>
              <w:bidi w:val="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1.35</w:t>
            </w:r>
          </w:p>
        </w:tc>
      </w:tr>
      <w:tr w14:paraId="42AA3A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33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7FE9C99">
            <w:pPr>
              <w:pStyle w:val="48"/>
              <w:bidi w:val="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175</w:t>
            </w:r>
          </w:p>
        </w:tc>
        <w:tc>
          <w:tcPr>
            <w:tcW w:w="35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B85BB21">
            <w:pPr>
              <w:pStyle w:val="48"/>
              <w:bidi w:val="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0.0106</w:t>
            </w:r>
          </w:p>
        </w:tc>
        <w:tc>
          <w:tcPr>
            <w:tcW w:w="24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8B1D6B1">
            <w:pPr>
              <w:pStyle w:val="48"/>
              <w:bidi w:val="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1.17</w:t>
            </w:r>
          </w:p>
        </w:tc>
      </w:tr>
      <w:tr w14:paraId="10F2AB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33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4EEEB25">
            <w:pPr>
              <w:pStyle w:val="48"/>
              <w:bidi w:val="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200</w:t>
            </w:r>
          </w:p>
        </w:tc>
        <w:tc>
          <w:tcPr>
            <w:tcW w:w="35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BE2EDC1">
            <w:pPr>
              <w:pStyle w:val="48"/>
              <w:bidi w:val="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0.0094</w:t>
            </w:r>
          </w:p>
        </w:tc>
        <w:tc>
          <w:tcPr>
            <w:tcW w:w="24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F8FB1BE">
            <w:pPr>
              <w:pStyle w:val="48"/>
              <w:bidi w:val="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1.05</w:t>
            </w:r>
          </w:p>
        </w:tc>
      </w:tr>
      <w:tr w14:paraId="43DC46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33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B905FF1">
            <w:pPr>
              <w:pStyle w:val="48"/>
              <w:bidi w:val="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300</w:t>
            </w:r>
          </w:p>
        </w:tc>
        <w:tc>
          <w:tcPr>
            <w:tcW w:w="35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D1DBDD4">
            <w:pPr>
              <w:pStyle w:val="48"/>
              <w:bidi w:val="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0.007</w:t>
            </w:r>
          </w:p>
        </w:tc>
        <w:tc>
          <w:tcPr>
            <w:tcW w:w="24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72EF4BB">
            <w:pPr>
              <w:pStyle w:val="48"/>
              <w:bidi w:val="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0.77</w:t>
            </w:r>
          </w:p>
        </w:tc>
      </w:tr>
      <w:tr w14:paraId="097FF4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33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AE6CA45">
            <w:pPr>
              <w:pStyle w:val="48"/>
              <w:bidi w:val="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400</w:t>
            </w:r>
          </w:p>
        </w:tc>
        <w:tc>
          <w:tcPr>
            <w:tcW w:w="35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7E8A99F">
            <w:pPr>
              <w:pStyle w:val="48"/>
              <w:bidi w:val="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0.0057</w:t>
            </w:r>
          </w:p>
        </w:tc>
        <w:tc>
          <w:tcPr>
            <w:tcW w:w="24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F134DAE">
            <w:pPr>
              <w:pStyle w:val="48"/>
              <w:bidi w:val="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0.63</w:t>
            </w:r>
          </w:p>
        </w:tc>
      </w:tr>
      <w:tr w14:paraId="564C47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33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5398C29">
            <w:pPr>
              <w:pStyle w:val="48"/>
              <w:bidi w:val="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500</w:t>
            </w:r>
          </w:p>
        </w:tc>
        <w:tc>
          <w:tcPr>
            <w:tcW w:w="35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EB5A052">
            <w:pPr>
              <w:pStyle w:val="48"/>
              <w:bidi w:val="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0.0048</w:t>
            </w:r>
          </w:p>
        </w:tc>
        <w:tc>
          <w:tcPr>
            <w:tcW w:w="24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D9916DB">
            <w:pPr>
              <w:pStyle w:val="48"/>
              <w:bidi w:val="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0.53</w:t>
            </w:r>
          </w:p>
        </w:tc>
      </w:tr>
      <w:tr w14:paraId="5E16BF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33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1E81B31">
            <w:pPr>
              <w:pStyle w:val="48"/>
              <w:bidi w:val="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600</w:t>
            </w:r>
          </w:p>
        </w:tc>
        <w:tc>
          <w:tcPr>
            <w:tcW w:w="35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67A433E">
            <w:pPr>
              <w:pStyle w:val="48"/>
              <w:bidi w:val="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0.0042</w:t>
            </w:r>
          </w:p>
        </w:tc>
        <w:tc>
          <w:tcPr>
            <w:tcW w:w="24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98C49B4">
            <w:pPr>
              <w:pStyle w:val="48"/>
              <w:bidi w:val="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0.47</w:t>
            </w:r>
          </w:p>
        </w:tc>
      </w:tr>
      <w:tr w14:paraId="00F4A4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33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B18D0E3">
            <w:pPr>
              <w:pStyle w:val="48"/>
              <w:bidi w:val="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700</w:t>
            </w:r>
          </w:p>
        </w:tc>
        <w:tc>
          <w:tcPr>
            <w:tcW w:w="35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AF9A7D7">
            <w:pPr>
              <w:pStyle w:val="48"/>
              <w:bidi w:val="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0.0038</w:t>
            </w:r>
          </w:p>
        </w:tc>
        <w:tc>
          <w:tcPr>
            <w:tcW w:w="24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B230174">
            <w:pPr>
              <w:pStyle w:val="48"/>
              <w:bidi w:val="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0.42</w:t>
            </w:r>
          </w:p>
        </w:tc>
      </w:tr>
      <w:tr w14:paraId="39E7EE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33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125657C">
            <w:pPr>
              <w:pStyle w:val="48"/>
              <w:bidi w:val="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800</w:t>
            </w:r>
          </w:p>
        </w:tc>
        <w:tc>
          <w:tcPr>
            <w:tcW w:w="35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855EBE1">
            <w:pPr>
              <w:pStyle w:val="48"/>
              <w:bidi w:val="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0.0034</w:t>
            </w:r>
          </w:p>
        </w:tc>
        <w:tc>
          <w:tcPr>
            <w:tcW w:w="24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731CEC4">
            <w:pPr>
              <w:pStyle w:val="48"/>
              <w:bidi w:val="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0.38</w:t>
            </w:r>
          </w:p>
        </w:tc>
      </w:tr>
      <w:tr w14:paraId="24924D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33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40EAA92">
            <w:pPr>
              <w:pStyle w:val="48"/>
              <w:bidi w:val="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900</w:t>
            </w:r>
          </w:p>
        </w:tc>
        <w:tc>
          <w:tcPr>
            <w:tcW w:w="35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823A9E4">
            <w:pPr>
              <w:pStyle w:val="48"/>
              <w:bidi w:val="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0.0032</w:t>
            </w:r>
          </w:p>
        </w:tc>
        <w:tc>
          <w:tcPr>
            <w:tcW w:w="24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17B4734">
            <w:pPr>
              <w:pStyle w:val="48"/>
              <w:bidi w:val="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0.35</w:t>
            </w:r>
          </w:p>
        </w:tc>
      </w:tr>
      <w:tr w14:paraId="27A5C5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33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2389AF9">
            <w:pPr>
              <w:pStyle w:val="48"/>
              <w:bidi w:val="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1000</w:t>
            </w:r>
          </w:p>
        </w:tc>
        <w:tc>
          <w:tcPr>
            <w:tcW w:w="35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116BCFF">
            <w:pPr>
              <w:pStyle w:val="48"/>
              <w:bidi w:val="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0.0029</w:t>
            </w:r>
          </w:p>
        </w:tc>
        <w:tc>
          <w:tcPr>
            <w:tcW w:w="24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9A2C4FC">
            <w:pPr>
              <w:pStyle w:val="48"/>
              <w:bidi w:val="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0.33</w:t>
            </w:r>
          </w:p>
        </w:tc>
      </w:tr>
      <w:tr w14:paraId="11E4CC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33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3F3EC55">
            <w:pPr>
              <w:pStyle w:val="48"/>
              <w:bidi w:val="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1500</w:t>
            </w:r>
          </w:p>
        </w:tc>
        <w:tc>
          <w:tcPr>
            <w:tcW w:w="35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CB3558D">
            <w:pPr>
              <w:pStyle w:val="48"/>
              <w:bidi w:val="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0.0024</w:t>
            </w:r>
          </w:p>
        </w:tc>
        <w:tc>
          <w:tcPr>
            <w:tcW w:w="24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7CD8DF8">
            <w:pPr>
              <w:pStyle w:val="48"/>
              <w:bidi w:val="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0.27</w:t>
            </w:r>
          </w:p>
        </w:tc>
      </w:tr>
      <w:tr w14:paraId="6A00D0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33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0645B45">
            <w:pPr>
              <w:pStyle w:val="48"/>
              <w:bidi w:val="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2000</w:t>
            </w:r>
          </w:p>
        </w:tc>
        <w:tc>
          <w:tcPr>
            <w:tcW w:w="35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323FCC4">
            <w:pPr>
              <w:pStyle w:val="48"/>
              <w:bidi w:val="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0.0022</w:t>
            </w:r>
          </w:p>
        </w:tc>
        <w:tc>
          <w:tcPr>
            <w:tcW w:w="24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23E9E89">
            <w:pPr>
              <w:pStyle w:val="48"/>
              <w:bidi w:val="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0.24</w:t>
            </w:r>
          </w:p>
        </w:tc>
      </w:tr>
      <w:tr w14:paraId="1A9CDD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33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FA3201F">
            <w:pPr>
              <w:pStyle w:val="48"/>
              <w:bidi w:val="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2500</w:t>
            </w:r>
          </w:p>
        </w:tc>
        <w:tc>
          <w:tcPr>
            <w:tcW w:w="35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4C3E6AC">
            <w:pPr>
              <w:pStyle w:val="48"/>
              <w:bidi w:val="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0.0022</w:t>
            </w:r>
          </w:p>
        </w:tc>
        <w:tc>
          <w:tcPr>
            <w:tcW w:w="24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121AA4E">
            <w:pPr>
              <w:pStyle w:val="48"/>
              <w:bidi w:val="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0.22</w:t>
            </w:r>
          </w:p>
        </w:tc>
      </w:tr>
    </w:tbl>
    <w:p w14:paraId="689A560A">
      <w:pPr>
        <w:pStyle w:val="45"/>
        <w:bidi w:val="0"/>
        <w:rPr>
          <w:rFonts w:hint="default" w:ascii="Times New Roman" w:hAnsi="Times New Roman" w:cs="Times New Roman"/>
          <w:color w:val="auto"/>
          <w:sz w:val="24"/>
          <w:szCs w:val="24"/>
          <w:highlight w:val="none"/>
          <w:lang w:val="en-US" w:eastAsia="zh-CN"/>
        </w:rPr>
      </w:pPr>
    </w:p>
    <w:p w14:paraId="342DD6B0">
      <w:pPr>
        <w:pStyle w:val="45"/>
        <w:bidi w:val="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表5.2</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1</w:t>
      </w:r>
      <w:r>
        <w:rPr>
          <w:rFonts w:hint="eastAsia"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lang w:val="en-US" w:eastAsia="zh-CN"/>
        </w:rPr>
        <w:t xml:space="preserve">    无组织面源</w:t>
      </w:r>
      <w:r>
        <w:rPr>
          <w:rFonts w:hint="eastAsia" w:ascii="Times New Roman" w:hAnsi="Times New Roman" w:cs="Times New Roman"/>
          <w:color w:val="auto"/>
          <w:sz w:val="24"/>
          <w:szCs w:val="24"/>
          <w:highlight w:val="none"/>
          <w:lang w:val="en-US" w:eastAsia="zh-CN"/>
        </w:rPr>
        <w:t>筛分</w:t>
      </w:r>
      <w:r>
        <w:rPr>
          <w:rFonts w:hint="default" w:ascii="Times New Roman" w:hAnsi="Times New Roman" w:cs="Times New Roman"/>
          <w:color w:val="auto"/>
          <w:sz w:val="24"/>
          <w:szCs w:val="24"/>
          <w:highlight w:val="none"/>
          <w:lang w:val="en-US" w:eastAsia="zh-CN"/>
        </w:rPr>
        <w:t>废气排放</w:t>
      </w:r>
      <w:r>
        <w:rPr>
          <w:rFonts w:hint="default" w:ascii="Times New Roman" w:hAnsi="Times New Roman" w:cs="Times New Roman"/>
          <w:color w:val="auto"/>
          <w:sz w:val="24"/>
          <w:szCs w:val="24"/>
          <w:highlight w:val="none"/>
        </w:rPr>
        <w:t>采用估算模式计算结果</w:t>
      </w:r>
    </w:p>
    <w:tbl>
      <w:tblPr>
        <w:tblStyle w:val="31"/>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300"/>
        <w:gridCol w:w="3581"/>
        <w:gridCol w:w="2481"/>
      </w:tblGrid>
      <w:tr w14:paraId="3DF32A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9" w:hRule="exact"/>
        </w:trPr>
        <w:tc>
          <w:tcPr>
            <w:tcW w:w="1762" w:type="pct"/>
            <w:vMerge w:val="restar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6510A24">
            <w:pPr>
              <w:pStyle w:val="48"/>
              <w:bidi w:val="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距源中心下风向距离</w:t>
            </w:r>
          </w:p>
          <w:p w14:paraId="27B8CDF4">
            <w:pPr>
              <w:pStyle w:val="48"/>
              <w:bidi w:val="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D/m</w:t>
            </w:r>
          </w:p>
        </w:tc>
        <w:tc>
          <w:tcPr>
            <w:tcW w:w="3237" w:type="pct"/>
            <w:gridSpan w:val="2"/>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56C8919">
            <w:pPr>
              <w:pStyle w:val="48"/>
              <w:bidi w:val="0"/>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TSP</w:t>
            </w:r>
          </w:p>
        </w:tc>
      </w:tr>
      <w:tr w14:paraId="48A4E2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8" w:hRule="exact"/>
        </w:trPr>
        <w:tc>
          <w:tcPr>
            <w:tcW w:w="1762" w:type="pct"/>
            <w:vMerge w:val="continue"/>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C65A588">
            <w:pPr>
              <w:pStyle w:val="48"/>
              <w:bidi w:val="0"/>
              <w:rPr>
                <w:rFonts w:hint="default" w:ascii="Times New Roman" w:hAnsi="Times New Roman" w:cs="Times New Roman"/>
                <w:color w:val="auto"/>
                <w:sz w:val="24"/>
                <w:szCs w:val="24"/>
                <w:highlight w:val="none"/>
              </w:rPr>
            </w:pPr>
          </w:p>
        </w:tc>
        <w:tc>
          <w:tcPr>
            <w:tcW w:w="1912"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AB48810">
            <w:pPr>
              <w:pStyle w:val="48"/>
              <w:bidi w:val="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下风向预测浓度（</w:t>
            </w:r>
            <w:r>
              <w:rPr>
                <w:rFonts w:hint="default" w:ascii="Times New Roman" w:hAnsi="Times New Roman" w:cs="Times New Roman"/>
                <w:color w:val="auto"/>
                <w:sz w:val="24"/>
                <w:szCs w:val="24"/>
                <w:highlight w:val="none"/>
                <w:lang w:val="en-US" w:eastAsia="zh-CN"/>
              </w:rPr>
              <w:t>m</w:t>
            </w:r>
            <w:r>
              <w:rPr>
                <w:rFonts w:hint="default" w:ascii="Times New Roman" w:hAnsi="Times New Roman" w:cs="Times New Roman"/>
                <w:color w:val="auto"/>
                <w:sz w:val="24"/>
                <w:szCs w:val="24"/>
                <w:highlight w:val="none"/>
              </w:rPr>
              <w:t>g/m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w:t>
            </w:r>
          </w:p>
        </w:tc>
        <w:tc>
          <w:tcPr>
            <w:tcW w:w="1325"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7115C6A">
            <w:pPr>
              <w:pStyle w:val="48"/>
              <w:bidi w:val="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浓度占标率（%）</w:t>
            </w:r>
          </w:p>
        </w:tc>
      </w:tr>
      <w:tr w14:paraId="3980CD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1" w:hRule="exact"/>
        </w:trPr>
        <w:tc>
          <w:tcPr>
            <w:tcW w:w="33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3C3C7EE">
            <w:pPr>
              <w:pStyle w:val="48"/>
              <w:bidi w:val="0"/>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10</w:t>
            </w:r>
          </w:p>
        </w:tc>
        <w:tc>
          <w:tcPr>
            <w:tcW w:w="35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E41757D">
            <w:pPr>
              <w:pStyle w:val="48"/>
              <w:bidi w:val="0"/>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0.0286</w:t>
            </w:r>
          </w:p>
        </w:tc>
        <w:tc>
          <w:tcPr>
            <w:tcW w:w="24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49DCFCE">
            <w:pPr>
              <w:pStyle w:val="48"/>
              <w:bidi w:val="0"/>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3.18</w:t>
            </w:r>
          </w:p>
        </w:tc>
      </w:tr>
      <w:tr w14:paraId="02FE74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1" w:hRule="exact"/>
        </w:trPr>
        <w:tc>
          <w:tcPr>
            <w:tcW w:w="33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74E63EB">
            <w:pPr>
              <w:pStyle w:val="48"/>
              <w:bidi w:val="0"/>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25</w:t>
            </w:r>
          </w:p>
        </w:tc>
        <w:tc>
          <w:tcPr>
            <w:tcW w:w="35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1107B0C">
            <w:pPr>
              <w:pStyle w:val="48"/>
              <w:bidi w:val="0"/>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0.0407</w:t>
            </w:r>
          </w:p>
        </w:tc>
        <w:tc>
          <w:tcPr>
            <w:tcW w:w="24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44D81C1">
            <w:pPr>
              <w:pStyle w:val="48"/>
              <w:bidi w:val="0"/>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4.52</w:t>
            </w:r>
          </w:p>
        </w:tc>
      </w:tr>
      <w:tr w14:paraId="6402A8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1" w:hRule="exact"/>
        </w:trPr>
        <w:tc>
          <w:tcPr>
            <w:tcW w:w="33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BB56650">
            <w:pPr>
              <w:pStyle w:val="48"/>
              <w:bidi w:val="0"/>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30</w:t>
            </w:r>
          </w:p>
        </w:tc>
        <w:tc>
          <w:tcPr>
            <w:tcW w:w="35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469D0B2">
            <w:pPr>
              <w:pStyle w:val="48"/>
              <w:bidi w:val="0"/>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0.0417</w:t>
            </w:r>
          </w:p>
        </w:tc>
        <w:tc>
          <w:tcPr>
            <w:tcW w:w="24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8B5B48A">
            <w:pPr>
              <w:pStyle w:val="48"/>
              <w:bidi w:val="0"/>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4.63</w:t>
            </w:r>
          </w:p>
        </w:tc>
      </w:tr>
      <w:tr w14:paraId="30B675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33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A46E93D">
            <w:pPr>
              <w:pStyle w:val="48"/>
              <w:bidi w:val="0"/>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50</w:t>
            </w:r>
          </w:p>
        </w:tc>
        <w:tc>
          <w:tcPr>
            <w:tcW w:w="35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432A42C">
            <w:pPr>
              <w:pStyle w:val="48"/>
              <w:bidi w:val="0"/>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0.0352</w:t>
            </w:r>
          </w:p>
        </w:tc>
        <w:tc>
          <w:tcPr>
            <w:tcW w:w="24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03C1C4E">
            <w:pPr>
              <w:pStyle w:val="48"/>
              <w:bidi w:val="0"/>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3.92</w:t>
            </w:r>
          </w:p>
        </w:tc>
      </w:tr>
      <w:tr w14:paraId="2A7FD5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33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B43F7AD">
            <w:pPr>
              <w:pStyle w:val="48"/>
              <w:bidi w:val="0"/>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75</w:t>
            </w:r>
          </w:p>
        </w:tc>
        <w:tc>
          <w:tcPr>
            <w:tcW w:w="35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ADA97A7">
            <w:pPr>
              <w:pStyle w:val="48"/>
              <w:bidi w:val="0"/>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0.031</w:t>
            </w:r>
          </w:p>
        </w:tc>
        <w:tc>
          <w:tcPr>
            <w:tcW w:w="24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4A0AD0A">
            <w:pPr>
              <w:pStyle w:val="48"/>
              <w:bidi w:val="0"/>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3.45</w:t>
            </w:r>
          </w:p>
        </w:tc>
      </w:tr>
      <w:tr w14:paraId="07B613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33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AB9AD97">
            <w:pPr>
              <w:pStyle w:val="48"/>
              <w:bidi w:val="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100</w:t>
            </w:r>
          </w:p>
        </w:tc>
        <w:tc>
          <w:tcPr>
            <w:tcW w:w="35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D09E16A">
            <w:pPr>
              <w:pStyle w:val="48"/>
              <w:bidi w:val="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0.0272</w:t>
            </w:r>
          </w:p>
        </w:tc>
        <w:tc>
          <w:tcPr>
            <w:tcW w:w="24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79789BB">
            <w:pPr>
              <w:pStyle w:val="48"/>
              <w:bidi w:val="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3.02</w:t>
            </w:r>
          </w:p>
        </w:tc>
      </w:tr>
      <w:tr w14:paraId="26F46C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33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4051DAE">
            <w:pPr>
              <w:pStyle w:val="48"/>
              <w:bidi w:val="0"/>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125</w:t>
            </w:r>
          </w:p>
        </w:tc>
        <w:tc>
          <w:tcPr>
            <w:tcW w:w="35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CDCBC97">
            <w:pPr>
              <w:pStyle w:val="48"/>
              <w:bidi w:val="0"/>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0.0233</w:t>
            </w:r>
          </w:p>
        </w:tc>
        <w:tc>
          <w:tcPr>
            <w:tcW w:w="24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D7C48A9">
            <w:pPr>
              <w:pStyle w:val="48"/>
              <w:bidi w:val="0"/>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2.59</w:t>
            </w:r>
          </w:p>
        </w:tc>
      </w:tr>
      <w:tr w14:paraId="0FD6F0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33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DA1344B">
            <w:pPr>
              <w:pStyle w:val="48"/>
              <w:bidi w:val="0"/>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150</w:t>
            </w:r>
          </w:p>
        </w:tc>
        <w:tc>
          <w:tcPr>
            <w:tcW w:w="35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E8F2893">
            <w:pPr>
              <w:pStyle w:val="48"/>
              <w:bidi w:val="0"/>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0.0202</w:t>
            </w:r>
          </w:p>
        </w:tc>
        <w:tc>
          <w:tcPr>
            <w:tcW w:w="24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0F59F5F">
            <w:pPr>
              <w:pStyle w:val="48"/>
              <w:bidi w:val="0"/>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2.24</w:t>
            </w:r>
          </w:p>
        </w:tc>
      </w:tr>
      <w:tr w14:paraId="073318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33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E660428">
            <w:pPr>
              <w:pStyle w:val="48"/>
              <w:bidi w:val="0"/>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175</w:t>
            </w:r>
          </w:p>
        </w:tc>
        <w:tc>
          <w:tcPr>
            <w:tcW w:w="35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17C7EBC">
            <w:pPr>
              <w:pStyle w:val="48"/>
              <w:bidi w:val="0"/>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0.0176</w:t>
            </w:r>
          </w:p>
        </w:tc>
        <w:tc>
          <w:tcPr>
            <w:tcW w:w="24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6180DC1">
            <w:pPr>
              <w:pStyle w:val="48"/>
              <w:bidi w:val="0"/>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1.96</w:t>
            </w:r>
          </w:p>
        </w:tc>
      </w:tr>
      <w:tr w14:paraId="6E8BE9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33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FE34DB3">
            <w:pPr>
              <w:pStyle w:val="48"/>
              <w:bidi w:val="0"/>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200</w:t>
            </w:r>
          </w:p>
        </w:tc>
        <w:tc>
          <w:tcPr>
            <w:tcW w:w="35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C51CA26">
            <w:pPr>
              <w:pStyle w:val="48"/>
              <w:bidi w:val="0"/>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0.0157</w:t>
            </w:r>
          </w:p>
        </w:tc>
        <w:tc>
          <w:tcPr>
            <w:tcW w:w="24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636BE10">
            <w:pPr>
              <w:pStyle w:val="48"/>
              <w:bidi w:val="0"/>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1.75</w:t>
            </w:r>
          </w:p>
        </w:tc>
      </w:tr>
      <w:tr w14:paraId="2497C3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33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461718A">
            <w:pPr>
              <w:pStyle w:val="48"/>
              <w:bidi w:val="0"/>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300</w:t>
            </w:r>
          </w:p>
        </w:tc>
        <w:tc>
          <w:tcPr>
            <w:tcW w:w="35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BFFDB0B">
            <w:pPr>
              <w:pStyle w:val="48"/>
              <w:bidi w:val="0"/>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0.0116</w:t>
            </w:r>
          </w:p>
        </w:tc>
        <w:tc>
          <w:tcPr>
            <w:tcW w:w="24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A563AEB">
            <w:pPr>
              <w:pStyle w:val="48"/>
              <w:bidi w:val="0"/>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1.29</w:t>
            </w:r>
          </w:p>
        </w:tc>
      </w:tr>
      <w:tr w14:paraId="25B7F7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33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9276DB3">
            <w:pPr>
              <w:pStyle w:val="48"/>
              <w:bidi w:val="0"/>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400</w:t>
            </w:r>
          </w:p>
        </w:tc>
        <w:tc>
          <w:tcPr>
            <w:tcW w:w="35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021BE82">
            <w:pPr>
              <w:pStyle w:val="48"/>
              <w:bidi w:val="0"/>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0.0094</w:t>
            </w:r>
          </w:p>
        </w:tc>
        <w:tc>
          <w:tcPr>
            <w:tcW w:w="24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C87008C">
            <w:pPr>
              <w:pStyle w:val="48"/>
              <w:bidi w:val="0"/>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1.05</w:t>
            </w:r>
          </w:p>
        </w:tc>
      </w:tr>
      <w:tr w14:paraId="36A0C4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33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A718E56">
            <w:pPr>
              <w:pStyle w:val="48"/>
              <w:bidi w:val="0"/>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500</w:t>
            </w:r>
          </w:p>
        </w:tc>
        <w:tc>
          <w:tcPr>
            <w:tcW w:w="35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E0D5C28">
            <w:pPr>
              <w:pStyle w:val="48"/>
              <w:bidi w:val="0"/>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0.008</w:t>
            </w:r>
          </w:p>
        </w:tc>
        <w:tc>
          <w:tcPr>
            <w:tcW w:w="24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04A5172">
            <w:pPr>
              <w:pStyle w:val="48"/>
              <w:bidi w:val="0"/>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0.89</w:t>
            </w:r>
          </w:p>
        </w:tc>
      </w:tr>
      <w:tr w14:paraId="153C86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33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56BE92E">
            <w:pPr>
              <w:pStyle w:val="48"/>
              <w:bidi w:val="0"/>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600</w:t>
            </w:r>
          </w:p>
        </w:tc>
        <w:tc>
          <w:tcPr>
            <w:tcW w:w="35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856C156">
            <w:pPr>
              <w:pStyle w:val="48"/>
              <w:bidi w:val="0"/>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0.007</w:t>
            </w:r>
          </w:p>
        </w:tc>
        <w:tc>
          <w:tcPr>
            <w:tcW w:w="24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387EF96">
            <w:pPr>
              <w:pStyle w:val="48"/>
              <w:bidi w:val="0"/>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0.78</w:t>
            </w:r>
          </w:p>
        </w:tc>
      </w:tr>
      <w:tr w14:paraId="5F9D9B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33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8F4A4FB">
            <w:pPr>
              <w:pStyle w:val="48"/>
              <w:bidi w:val="0"/>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700</w:t>
            </w:r>
          </w:p>
        </w:tc>
        <w:tc>
          <w:tcPr>
            <w:tcW w:w="35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E52FA86">
            <w:pPr>
              <w:pStyle w:val="48"/>
              <w:bidi w:val="0"/>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0.0063</w:t>
            </w:r>
          </w:p>
        </w:tc>
        <w:tc>
          <w:tcPr>
            <w:tcW w:w="24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CD9690E">
            <w:pPr>
              <w:pStyle w:val="48"/>
              <w:bidi w:val="0"/>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0.7</w:t>
            </w:r>
          </w:p>
        </w:tc>
      </w:tr>
      <w:tr w14:paraId="52D8AE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33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D434FEA">
            <w:pPr>
              <w:pStyle w:val="48"/>
              <w:bidi w:val="0"/>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800</w:t>
            </w:r>
          </w:p>
        </w:tc>
        <w:tc>
          <w:tcPr>
            <w:tcW w:w="35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D0B755B">
            <w:pPr>
              <w:pStyle w:val="48"/>
              <w:bidi w:val="0"/>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0.0057</w:t>
            </w:r>
          </w:p>
        </w:tc>
        <w:tc>
          <w:tcPr>
            <w:tcW w:w="24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1EE8D58">
            <w:pPr>
              <w:pStyle w:val="48"/>
              <w:bidi w:val="0"/>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0.64</w:t>
            </w:r>
          </w:p>
        </w:tc>
      </w:tr>
      <w:tr w14:paraId="483524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33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7852B41">
            <w:pPr>
              <w:pStyle w:val="48"/>
              <w:bidi w:val="0"/>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900</w:t>
            </w:r>
          </w:p>
        </w:tc>
        <w:tc>
          <w:tcPr>
            <w:tcW w:w="35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B2C0A47">
            <w:pPr>
              <w:pStyle w:val="48"/>
              <w:bidi w:val="0"/>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0.0053</w:t>
            </w:r>
          </w:p>
        </w:tc>
        <w:tc>
          <w:tcPr>
            <w:tcW w:w="24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EA200EC">
            <w:pPr>
              <w:pStyle w:val="48"/>
              <w:bidi w:val="0"/>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0.59</w:t>
            </w:r>
          </w:p>
        </w:tc>
      </w:tr>
      <w:tr w14:paraId="36D7E9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7" w:hRule="exact"/>
        </w:trPr>
        <w:tc>
          <w:tcPr>
            <w:tcW w:w="33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98CC0F4">
            <w:pPr>
              <w:pStyle w:val="48"/>
              <w:bidi w:val="0"/>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1000</w:t>
            </w:r>
          </w:p>
        </w:tc>
        <w:tc>
          <w:tcPr>
            <w:tcW w:w="35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C0A7691">
            <w:pPr>
              <w:pStyle w:val="48"/>
              <w:bidi w:val="0"/>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0.0049</w:t>
            </w:r>
          </w:p>
        </w:tc>
        <w:tc>
          <w:tcPr>
            <w:tcW w:w="24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7FF8E4B">
            <w:pPr>
              <w:pStyle w:val="48"/>
              <w:bidi w:val="0"/>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0.54</w:t>
            </w:r>
          </w:p>
        </w:tc>
      </w:tr>
      <w:tr w14:paraId="7D32C8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7" w:hRule="exact"/>
        </w:trPr>
        <w:tc>
          <w:tcPr>
            <w:tcW w:w="33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3D5A978">
            <w:pPr>
              <w:pStyle w:val="48"/>
              <w:bidi w:val="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1500</w:t>
            </w:r>
          </w:p>
        </w:tc>
        <w:tc>
          <w:tcPr>
            <w:tcW w:w="35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4D090BF">
            <w:pPr>
              <w:pStyle w:val="48"/>
              <w:bidi w:val="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0.0041</w:t>
            </w:r>
          </w:p>
        </w:tc>
        <w:tc>
          <w:tcPr>
            <w:tcW w:w="24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8BADF6F">
            <w:pPr>
              <w:pStyle w:val="48"/>
              <w:bidi w:val="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0.45</w:t>
            </w:r>
          </w:p>
        </w:tc>
      </w:tr>
      <w:tr w14:paraId="4122CF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7" w:hRule="exact"/>
        </w:trPr>
        <w:tc>
          <w:tcPr>
            <w:tcW w:w="33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EA5D615">
            <w:pPr>
              <w:pStyle w:val="48"/>
              <w:bidi w:val="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2000</w:t>
            </w:r>
          </w:p>
        </w:tc>
        <w:tc>
          <w:tcPr>
            <w:tcW w:w="35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EC1B3B6">
            <w:pPr>
              <w:pStyle w:val="48"/>
              <w:bidi w:val="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0.0037</w:t>
            </w:r>
          </w:p>
        </w:tc>
        <w:tc>
          <w:tcPr>
            <w:tcW w:w="24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D31CFBD">
            <w:pPr>
              <w:pStyle w:val="48"/>
              <w:bidi w:val="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0.41</w:t>
            </w:r>
          </w:p>
        </w:tc>
      </w:tr>
      <w:tr w14:paraId="0FAF62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7" w:hRule="exact"/>
        </w:trPr>
        <w:tc>
          <w:tcPr>
            <w:tcW w:w="330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BD8B109">
            <w:pPr>
              <w:pStyle w:val="48"/>
              <w:bidi w:val="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2500</w:t>
            </w:r>
          </w:p>
        </w:tc>
        <w:tc>
          <w:tcPr>
            <w:tcW w:w="35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BD826EB">
            <w:pPr>
              <w:pStyle w:val="48"/>
              <w:bidi w:val="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0.0033</w:t>
            </w:r>
          </w:p>
        </w:tc>
        <w:tc>
          <w:tcPr>
            <w:tcW w:w="248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F6AE890">
            <w:pPr>
              <w:pStyle w:val="48"/>
              <w:bidi w:val="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0.37</w:t>
            </w:r>
          </w:p>
        </w:tc>
      </w:tr>
    </w:tbl>
    <w:p w14:paraId="06ABF2AD">
      <w:pPr>
        <w:pStyle w:val="45"/>
        <w:bidi w:val="0"/>
        <w:rPr>
          <w:rFonts w:hint="default" w:ascii="Times New Roman" w:hAnsi="Times New Roman" w:cs="Times New Roman"/>
          <w:color w:val="auto"/>
          <w:highlight w:val="none"/>
          <w:lang w:val="en-US" w:eastAsia="zh-CN"/>
        </w:rPr>
      </w:pPr>
    </w:p>
    <w:p w14:paraId="70C352D2">
      <w:pPr>
        <w:pStyle w:val="45"/>
        <w:bidi w:val="0"/>
        <w:rPr>
          <w:rFonts w:hint="default" w:ascii="Times New Roman" w:hAnsi="Times New Roman" w:cs="Times New Roman"/>
          <w:color w:val="auto"/>
          <w:highlight w:val="none"/>
          <w:lang w:val="en-US" w:eastAsia="zh-CN"/>
        </w:rPr>
      </w:pPr>
    </w:p>
    <w:p w14:paraId="7DB6CF2A">
      <w:pPr>
        <w:pStyle w:val="57"/>
        <w:keepNext w:val="0"/>
        <w:keepLines w:val="0"/>
        <w:pageBreakBefore w:val="0"/>
        <w:widowControl w:val="0"/>
        <w:kinsoku/>
        <w:wordWrap/>
        <w:overflowPunct/>
        <w:topLinePunct w:val="0"/>
        <w:autoSpaceDE/>
        <w:autoSpaceDN/>
        <w:bidi w:val="0"/>
        <w:adjustRightInd/>
        <w:snapToGrid/>
        <w:spacing w:line="480" w:lineRule="exact"/>
        <w:ind w:firstLine="480"/>
        <w:textAlignment w:val="auto"/>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kern w:val="0"/>
          <w:sz w:val="24"/>
          <w:szCs w:val="24"/>
          <w:highlight w:val="none"/>
        </w:rPr>
        <w:t>根据预测结果可知</w:t>
      </w:r>
      <w:r>
        <w:rPr>
          <w:rFonts w:hint="default" w:ascii="Times New Roman" w:hAnsi="Times New Roman" w:cs="Times New Roman"/>
          <w:color w:val="auto"/>
          <w:kern w:val="0"/>
          <w:sz w:val="24"/>
          <w:szCs w:val="24"/>
          <w:highlight w:val="none"/>
          <w:lang w:eastAsia="zh-CN"/>
        </w:rPr>
        <w:t>本工程无</w:t>
      </w:r>
      <w:r>
        <w:rPr>
          <w:rFonts w:hint="default" w:ascii="Times New Roman" w:hAnsi="Times New Roman" w:eastAsia="宋体" w:cs="Times New Roman"/>
          <w:color w:val="auto"/>
          <w:kern w:val="0"/>
          <w:sz w:val="24"/>
          <w:szCs w:val="24"/>
          <w:highlight w:val="none"/>
        </w:rPr>
        <w:t>组织污染源中污染物最大地面浓度占标率小于10%</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cs="Times New Roman"/>
          <w:color w:val="auto"/>
          <w:sz w:val="24"/>
          <w:highlight w:val="none"/>
        </w:rPr>
        <w:t>满足《环境空气质量标准》（GB3095-2012）</w:t>
      </w:r>
      <w:r>
        <w:rPr>
          <w:rFonts w:hint="default" w:ascii="Times New Roman" w:hAnsi="Times New Roman" w:cs="Times New Roman"/>
          <w:color w:val="auto"/>
          <w:sz w:val="24"/>
          <w:highlight w:val="none"/>
          <w:lang w:val="en-US" w:eastAsia="zh-CN"/>
        </w:rPr>
        <w:t>及修改单</w:t>
      </w:r>
      <w:r>
        <w:rPr>
          <w:rFonts w:hint="default" w:ascii="Times New Roman" w:hAnsi="Times New Roman" w:cs="Times New Roman"/>
          <w:color w:val="auto"/>
          <w:sz w:val="24"/>
          <w:highlight w:val="none"/>
        </w:rPr>
        <w:t>二类区标准要求</w:t>
      </w:r>
      <w:r>
        <w:rPr>
          <w:rFonts w:hint="default" w:ascii="Times New Roman" w:hAnsi="Times New Roman" w:cs="Times New Roman"/>
          <w:color w:val="auto"/>
          <w:sz w:val="24"/>
          <w:highlight w:val="none"/>
          <w:lang w:eastAsia="zh-CN"/>
        </w:rPr>
        <w:t>，</w:t>
      </w:r>
      <w:r>
        <w:rPr>
          <w:rFonts w:hint="default" w:ascii="Times New Roman" w:hAnsi="Times New Roman" w:eastAsia="宋体" w:cs="Times New Roman"/>
          <w:color w:val="auto"/>
          <w:kern w:val="0"/>
          <w:sz w:val="24"/>
          <w:szCs w:val="24"/>
          <w:highlight w:val="none"/>
        </w:rPr>
        <w:t>对周围环境影响较小。</w:t>
      </w:r>
    </w:p>
    <w:p w14:paraId="7287DC1C">
      <w:pPr>
        <w:pStyle w:val="5"/>
        <w:bidi w:val="0"/>
        <w:rPr>
          <w:rFonts w:hint="default"/>
        </w:rPr>
      </w:pPr>
      <w:bookmarkStart w:id="285" w:name="5.2.1.5非正常工况大气环境影响分析"/>
      <w:bookmarkEnd w:id="285"/>
      <w:bookmarkStart w:id="286" w:name="_Toc20202"/>
      <w:r>
        <w:rPr>
          <w:rFonts w:hint="default"/>
        </w:rPr>
        <w:t>非正常工况大气环境影响分析</w:t>
      </w:r>
      <w:bookmarkEnd w:id="286"/>
    </w:p>
    <w:p w14:paraId="413D896E">
      <w:pPr>
        <w:bidi w:val="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本项目非正常工况考虑有机废气处理装置（运行1h）失效考虑，由此计算，非正常工况污染物产排情况见下表。</w:t>
      </w:r>
    </w:p>
    <w:p w14:paraId="751A0230">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表5.2-1</w:t>
      </w:r>
      <w:r>
        <w:rPr>
          <w:rFonts w:hint="eastAsia"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eastAsia="zh-CN"/>
        </w:rPr>
        <w:t xml:space="preserve">   非正常工况污染物排放情况</w:t>
      </w:r>
    </w:p>
    <w:tbl>
      <w:tblPr>
        <w:tblStyle w:val="32"/>
        <w:tblW w:w="0" w:type="auto"/>
        <w:tblInd w:w="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4"/>
        <w:gridCol w:w="747"/>
        <w:gridCol w:w="795"/>
        <w:gridCol w:w="553"/>
        <w:gridCol w:w="1576"/>
        <w:gridCol w:w="1462"/>
        <w:gridCol w:w="698"/>
        <w:gridCol w:w="1060"/>
        <w:gridCol w:w="1970"/>
      </w:tblGrid>
      <w:tr w14:paraId="63BDF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tcBorders>
              <w:tl2br w:val="nil"/>
              <w:tr2bl w:val="nil"/>
            </w:tcBorders>
            <w:noWrap w:val="0"/>
            <w:vAlign w:val="center"/>
          </w:tcPr>
          <w:p w14:paraId="6DE11D6B">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序号</w:t>
            </w:r>
          </w:p>
        </w:tc>
        <w:tc>
          <w:tcPr>
            <w:tcW w:w="0" w:type="auto"/>
            <w:tcBorders>
              <w:tl2br w:val="nil"/>
              <w:tr2bl w:val="nil"/>
            </w:tcBorders>
            <w:noWrap w:val="0"/>
            <w:vAlign w:val="center"/>
          </w:tcPr>
          <w:p w14:paraId="36559E3D">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污染源</w:t>
            </w:r>
          </w:p>
        </w:tc>
        <w:tc>
          <w:tcPr>
            <w:tcW w:w="0" w:type="auto"/>
            <w:tcBorders>
              <w:tl2br w:val="nil"/>
              <w:tr2bl w:val="nil"/>
            </w:tcBorders>
            <w:noWrap w:val="0"/>
            <w:vAlign w:val="center"/>
          </w:tcPr>
          <w:p w14:paraId="1F3A227C">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非正常原因</w:t>
            </w:r>
          </w:p>
        </w:tc>
        <w:tc>
          <w:tcPr>
            <w:tcW w:w="0" w:type="auto"/>
            <w:tcBorders>
              <w:tl2br w:val="nil"/>
              <w:tr2bl w:val="nil"/>
            </w:tcBorders>
            <w:noWrap w:val="0"/>
            <w:vAlign w:val="center"/>
          </w:tcPr>
          <w:p w14:paraId="6FDFCA7A">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污染物</w:t>
            </w:r>
          </w:p>
        </w:tc>
        <w:tc>
          <w:tcPr>
            <w:tcW w:w="0" w:type="auto"/>
            <w:tcBorders>
              <w:tl2br w:val="nil"/>
              <w:tr2bl w:val="nil"/>
            </w:tcBorders>
            <w:noWrap w:val="0"/>
            <w:vAlign w:val="center"/>
          </w:tcPr>
          <w:p w14:paraId="7AE6255B">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非正常浓度（mg/m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w:t>
            </w:r>
          </w:p>
        </w:tc>
        <w:tc>
          <w:tcPr>
            <w:tcW w:w="0" w:type="auto"/>
            <w:tcBorders>
              <w:tl2br w:val="nil"/>
              <w:tr2bl w:val="nil"/>
            </w:tcBorders>
            <w:noWrap w:val="0"/>
            <w:vAlign w:val="center"/>
          </w:tcPr>
          <w:p w14:paraId="0EB3ED75">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非正常排放速率（kg/h）</w:t>
            </w:r>
          </w:p>
        </w:tc>
        <w:tc>
          <w:tcPr>
            <w:tcW w:w="0" w:type="auto"/>
            <w:tcBorders>
              <w:tl2br w:val="nil"/>
              <w:tr2bl w:val="nil"/>
            </w:tcBorders>
            <w:noWrap w:val="0"/>
            <w:vAlign w:val="center"/>
          </w:tcPr>
          <w:p w14:paraId="242AC5F6">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单次持续时间</w:t>
            </w:r>
          </w:p>
        </w:tc>
        <w:tc>
          <w:tcPr>
            <w:tcW w:w="1059" w:type="dxa"/>
            <w:tcBorders>
              <w:tl2br w:val="nil"/>
              <w:tr2bl w:val="nil"/>
            </w:tcBorders>
            <w:noWrap w:val="0"/>
            <w:vAlign w:val="center"/>
          </w:tcPr>
          <w:p w14:paraId="3EEEAFE2">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年发生频次</w:t>
            </w:r>
          </w:p>
        </w:tc>
        <w:tc>
          <w:tcPr>
            <w:tcW w:w="1969" w:type="dxa"/>
            <w:tcBorders>
              <w:tl2br w:val="nil"/>
              <w:tr2bl w:val="nil"/>
            </w:tcBorders>
            <w:noWrap w:val="0"/>
            <w:vAlign w:val="center"/>
          </w:tcPr>
          <w:p w14:paraId="1C4C77C8">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应对</w:t>
            </w:r>
          </w:p>
          <w:p w14:paraId="54B135C7">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措施</w:t>
            </w:r>
          </w:p>
        </w:tc>
      </w:tr>
      <w:tr w14:paraId="0DC3B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tcBorders>
              <w:tl2br w:val="nil"/>
              <w:tr2bl w:val="nil"/>
            </w:tcBorders>
            <w:noWrap w:val="0"/>
            <w:vAlign w:val="center"/>
          </w:tcPr>
          <w:p w14:paraId="1A4AA460">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w:t>
            </w:r>
          </w:p>
        </w:tc>
        <w:tc>
          <w:tcPr>
            <w:tcW w:w="0" w:type="auto"/>
            <w:tcBorders>
              <w:tl2br w:val="nil"/>
              <w:tr2bl w:val="nil"/>
            </w:tcBorders>
            <w:noWrap w:val="0"/>
            <w:vAlign w:val="center"/>
          </w:tcPr>
          <w:p w14:paraId="66E3FF7D">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筛分废气排气筒</w:t>
            </w:r>
          </w:p>
        </w:tc>
        <w:tc>
          <w:tcPr>
            <w:tcW w:w="0" w:type="auto"/>
            <w:tcBorders>
              <w:tl2br w:val="nil"/>
              <w:tr2bl w:val="nil"/>
            </w:tcBorders>
            <w:noWrap w:val="0"/>
            <w:vAlign w:val="center"/>
          </w:tcPr>
          <w:p w14:paraId="1CCEE995">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废气处理装置失效</w:t>
            </w:r>
          </w:p>
        </w:tc>
        <w:tc>
          <w:tcPr>
            <w:tcW w:w="0" w:type="auto"/>
            <w:tcBorders>
              <w:tl2br w:val="nil"/>
              <w:tr2bl w:val="nil"/>
            </w:tcBorders>
            <w:noWrap w:val="0"/>
            <w:vAlign w:val="center"/>
          </w:tcPr>
          <w:p w14:paraId="342D3669">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颗粒物</w:t>
            </w:r>
          </w:p>
        </w:tc>
        <w:tc>
          <w:tcPr>
            <w:tcW w:w="0" w:type="auto"/>
            <w:tcBorders>
              <w:tl2br w:val="nil"/>
              <w:tr2bl w:val="nil"/>
            </w:tcBorders>
            <w:noWrap w:val="0"/>
            <w:vAlign w:val="center"/>
          </w:tcPr>
          <w:p w14:paraId="58F0923A">
            <w:pPr>
              <w:pStyle w:val="48"/>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694.4</w:t>
            </w:r>
          </w:p>
        </w:tc>
        <w:tc>
          <w:tcPr>
            <w:tcW w:w="0" w:type="auto"/>
            <w:tcBorders>
              <w:tl2br w:val="nil"/>
              <w:tr2bl w:val="nil"/>
            </w:tcBorders>
            <w:noWrap w:val="0"/>
            <w:vAlign w:val="center"/>
          </w:tcPr>
          <w:p w14:paraId="7B405311">
            <w:pPr>
              <w:pStyle w:val="48"/>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8.33</w:t>
            </w:r>
          </w:p>
        </w:tc>
        <w:tc>
          <w:tcPr>
            <w:tcW w:w="0" w:type="auto"/>
            <w:tcBorders>
              <w:tl2br w:val="nil"/>
              <w:tr2bl w:val="nil"/>
            </w:tcBorders>
            <w:noWrap w:val="0"/>
            <w:vAlign w:val="center"/>
          </w:tcPr>
          <w:p w14:paraId="56D73A16">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1h</w:t>
            </w:r>
          </w:p>
        </w:tc>
        <w:tc>
          <w:tcPr>
            <w:tcW w:w="1059" w:type="dxa"/>
            <w:tcBorders>
              <w:tl2br w:val="nil"/>
              <w:tr2bl w:val="nil"/>
            </w:tcBorders>
            <w:noWrap w:val="0"/>
            <w:vAlign w:val="center"/>
          </w:tcPr>
          <w:p w14:paraId="0823201C">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1次</w:t>
            </w:r>
          </w:p>
        </w:tc>
        <w:tc>
          <w:tcPr>
            <w:tcW w:w="1969" w:type="dxa"/>
            <w:vMerge w:val="restart"/>
            <w:tcBorders>
              <w:tl2br w:val="nil"/>
              <w:tr2bl w:val="nil"/>
            </w:tcBorders>
            <w:noWrap w:val="0"/>
            <w:vAlign w:val="center"/>
          </w:tcPr>
          <w:p w14:paraId="2151A59D">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日常加强废气处理装置维护，出现非正常工况时应立刻停止生产，对设备进行维修。</w:t>
            </w:r>
          </w:p>
        </w:tc>
      </w:tr>
      <w:tr w14:paraId="1E107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tcBorders>
              <w:tl2br w:val="nil"/>
              <w:tr2bl w:val="nil"/>
            </w:tcBorders>
            <w:noWrap w:val="0"/>
            <w:vAlign w:val="center"/>
          </w:tcPr>
          <w:p w14:paraId="3E5918BF">
            <w:pPr>
              <w:pStyle w:val="48"/>
              <w:bidi w:val="0"/>
              <w:rPr>
                <w:rFonts w:hint="default" w:ascii="Times New Roman" w:hAnsi="Times New Roman" w:cs="Times New Roman"/>
                <w:color w:val="00B050"/>
                <w:highlight w:val="none"/>
                <w:lang w:val="en-US" w:eastAsia="zh-CN"/>
              </w:rPr>
            </w:pPr>
            <w:r>
              <w:rPr>
                <w:rFonts w:hint="default" w:ascii="Times New Roman" w:hAnsi="Times New Roman" w:cs="Times New Roman"/>
                <w:color w:val="00B050"/>
                <w:highlight w:val="none"/>
                <w:lang w:val="en-US" w:eastAsia="zh-CN"/>
              </w:rPr>
              <w:t>1</w:t>
            </w:r>
          </w:p>
        </w:tc>
        <w:tc>
          <w:tcPr>
            <w:tcW w:w="0" w:type="auto"/>
            <w:tcBorders>
              <w:tl2br w:val="nil"/>
              <w:tr2bl w:val="nil"/>
            </w:tcBorders>
            <w:noWrap w:val="0"/>
            <w:vAlign w:val="center"/>
          </w:tcPr>
          <w:p w14:paraId="73DD2EA3">
            <w:pPr>
              <w:pStyle w:val="48"/>
              <w:bidi w:val="0"/>
              <w:rPr>
                <w:rFonts w:hint="default" w:ascii="Times New Roman" w:hAnsi="Times New Roman" w:cs="Times New Roman"/>
                <w:color w:val="00B050"/>
                <w:highlight w:val="none"/>
                <w:lang w:val="en-US" w:eastAsia="zh-CN"/>
              </w:rPr>
            </w:pPr>
            <w:r>
              <w:rPr>
                <w:rFonts w:hint="default" w:ascii="Times New Roman" w:hAnsi="Times New Roman" w:cs="Times New Roman"/>
                <w:color w:val="00B050"/>
                <w:highlight w:val="none"/>
                <w:lang w:val="en-US" w:eastAsia="zh-CN"/>
              </w:rPr>
              <w:t>烘干废气排气筒</w:t>
            </w:r>
          </w:p>
        </w:tc>
        <w:tc>
          <w:tcPr>
            <w:tcW w:w="0" w:type="auto"/>
            <w:tcBorders>
              <w:tl2br w:val="nil"/>
              <w:tr2bl w:val="nil"/>
            </w:tcBorders>
            <w:noWrap w:val="0"/>
            <w:vAlign w:val="center"/>
          </w:tcPr>
          <w:p w14:paraId="606BFC94">
            <w:pPr>
              <w:pStyle w:val="48"/>
              <w:bidi w:val="0"/>
              <w:rPr>
                <w:rFonts w:hint="default" w:ascii="Times New Roman" w:hAnsi="Times New Roman" w:cs="Times New Roman"/>
                <w:color w:val="00B050"/>
                <w:highlight w:val="none"/>
                <w:lang w:val="en-US" w:eastAsia="zh-CN"/>
              </w:rPr>
            </w:pPr>
            <w:r>
              <w:rPr>
                <w:rFonts w:hint="default" w:ascii="Times New Roman" w:hAnsi="Times New Roman" w:cs="Times New Roman"/>
                <w:color w:val="00B050"/>
                <w:highlight w:val="none"/>
                <w:lang w:val="en-US" w:eastAsia="zh-CN"/>
              </w:rPr>
              <w:t>废气处理装置失效</w:t>
            </w:r>
          </w:p>
        </w:tc>
        <w:tc>
          <w:tcPr>
            <w:tcW w:w="0" w:type="auto"/>
            <w:tcBorders>
              <w:tl2br w:val="nil"/>
              <w:tr2bl w:val="nil"/>
            </w:tcBorders>
            <w:noWrap w:val="0"/>
            <w:vAlign w:val="center"/>
          </w:tcPr>
          <w:p w14:paraId="3BA8BDB3">
            <w:pPr>
              <w:pStyle w:val="48"/>
              <w:bidi w:val="0"/>
              <w:rPr>
                <w:rFonts w:hint="default" w:ascii="Times New Roman" w:hAnsi="Times New Roman" w:cs="Times New Roman"/>
                <w:color w:val="00B050"/>
                <w:highlight w:val="none"/>
                <w:lang w:val="en-US" w:eastAsia="zh-CN"/>
              </w:rPr>
            </w:pPr>
            <w:r>
              <w:rPr>
                <w:rFonts w:hint="default" w:ascii="Times New Roman" w:hAnsi="Times New Roman" w:cs="Times New Roman"/>
                <w:color w:val="00B050"/>
                <w:highlight w:val="none"/>
                <w:lang w:val="en-US" w:eastAsia="zh-CN"/>
              </w:rPr>
              <w:t>颗粒物</w:t>
            </w:r>
          </w:p>
        </w:tc>
        <w:tc>
          <w:tcPr>
            <w:tcW w:w="0" w:type="auto"/>
            <w:tcBorders>
              <w:tl2br w:val="nil"/>
              <w:tr2bl w:val="nil"/>
            </w:tcBorders>
            <w:shd w:val="clear" w:color="auto" w:fill="auto"/>
            <w:noWrap w:val="0"/>
            <w:vAlign w:val="center"/>
          </w:tcPr>
          <w:p w14:paraId="11985AC7">
            <w:pPr>
              <w:pStyle w:val="48"/>
              <w:bidi w:val="0"/>
              <w:rPr>
                <w:rFonts w:hint="default" w:ascii="Times New Roman" w:hAnsi="Times New Roman" w:cs="Times New Roman"/>
                <w:color w:val="00B050"/>
                <w:highlight w:val="none"/>
                <w:lang w:val="en-US" w:eastAsia="zh-CN"/>
              </w:rPr>
            </w:pPr>
            <w:r>
              <w:rPr>
                <w:rFonts w:hint="eastAsia" w:ascii="Times New Roman" w:hAnsi="Times New Roman" w:cs="Times New Roman"/>
                <w:color w:val="00B050"/>
                <w:highlight w:val="none"/>
                <w:lang w:val="en-US" w:eastAsia="zh-CN"/>
              </w:rPr>
              <w:t>2951.389</w:t>
            </w:r>
          </w:p>
        </w:tc>
        <w:tc>
          <w:tcPr>
            <w:tcW w:w="0" w:type="auto"/>
            <w:tcBorders>
              <w:tl2br w:val="nil"/>
              <w:tr2bl w:val="nil"/>
            </w:tcBorders>
            <w:noWrap w:val="0"/>
            <w:vAlign w:val="center"/>
          </w:tcPr>
          <w:p w14:paraId="04841D27">
            <w:pPr>
              <w:pStyle w:val="48"/>
              <w:bidi w:val="0"/>
              <w:rPr>
                <w:rFonts w:hint="default" w:ascii="Times New Roman" w:hAnsi="Times New Roman" w:cs="Times New Roman"/>
                <w:color w:val="00B050"/>
                <w:highlight w:val="none"/>
                <w:lang w:val="en-US" w:eastAsia="zh-CN"/>
              </w:rPr>
            </w:pPr>
            <w:r>
              <w:rPr>
                <w:rFonts w:hint="eastAsia" w:ascii="Times New Roman" w:hAnsi="Times New Roman" w:cs="Times New Roman"/>
                <w:color w:val="00B050"/>
                <w:highlight w:val="none"/>
                <w:lang w:val="en-US" w:eastAsia="zh-CN"/>
              </w:rPr>
              <w:t>35.417</w:t>
            </w:r>
          </w:p>
        </w:tc>
        <w:tc>
          <w:tcPr>
            <w:tcW w:w="0" w:type="auto"/>
            <w:tcBorders>
              <w:tl2br w:val="nil"/>
              <w:tr2bl w:val="nil"/>
            </w:tcBorders>
            <w:noWrap w:val="0"/>
            <w:vAlign w:val="center"/>
          </w:tcPr>
          <w:p w14:paraId="15F951EE">
            <w:pPr>
              <w:pStyle w:val="48"/>
              <w:bidi w:val="0"/>
              <w:rPr>
                <w:rFonts w:hint="default" w:ascii="Times New Roman" w:hAnsi="Times New Roman" w:cs="Times New Roman"/>
                <w:color w:val="00B050"/>
                <w:highlight w:val="none"/>
                <w:lang w:val="en-US" w:eastAsia="zh-CN"/>
              </w:rPr>
            </w:pPr>
            <w:r>
              <w:rPr>
                <w:rFonts w:hint="default" w:ascii="Times New Roman" w:hAnsi="Times New Roman" w:cs="Times New Roman"/>
                <w:color w:val="00B050"/>
                <w:highlight w:val="none"/>
                <w:lang w:val="en-US" w:eastAsia="zh-CN"/>
              </w:rPr>
              <w:t>1h</w:t>
            </w:r>
          </w:p>
        </w:tc>
        <w:tc>
          <w:tcPr>
            <w:tcW w:w="1059" w:type="dxa"/>
            <w:tcBorders>
              <w:tl2br w:val="nil"/>
              <w:tr2bl w:val="nil"/>
            </w:tcBorders>
            <w:noWrap w:val="0"/>
            <w:vAlign w:val="center"/>
          </w:tcPr>
          <w:p w14:paraId="0BFC0398">
            <w:pPr>
              <w:pStyle w:val="48"/>
              <w:bidi w:val="0"/>
              <w:rPr>
                <w:rFonts w:hint="default" w:ascii="Times New Roman" w:hAnsi="Times New Roman" w:cs="Times New Roman"/>
                <w:color w:val="00B050"/>
                <w:highlight w:val="none"/>
                <w:lang w:val="en-US" w:eastAsia="zh-CN"/>
              </w:rPr>
            </w:pPr>
            <w:r>
              <w:rPr>
                <w:rFonts w:hint="default" w:ascii="Times New Roman" w:hAnsi="Times New Roman" w:cs="Times New Roman"/>
                <w:color w:val="00B050"/>
                <w:highlight w:val="none"/>
                <w:lang w:val="en-US" w:eastAsia="zh-CN"/>
              </w:rPr>
              <w:t>1次</w:t>
            </w:r>
          </w:p>
        </w:tc>
        <w:tc>
          <w:tcPr>
            <w:tcW w:w="1969" w:type="dxa"/>
            <w:vMerge w:val="continue"/>
            <w:tcBorders>
              <w:tl2br w:val="nil"/>
              <w:tr2bl w:val="nil"/>
            </w:tcBorders>
            <w:noWrap w:val="0"/>
            <w:vAlign w:val="center"/>
          </w:tcPr>
          <w:p w14:paraId="5635A480">
            <w:pPr>
              <w:pStyle w:val="48"/>
              <w:bidi w:val="0"/>
              <w:rPr>
                <w:rFonts w:hint="default" w:ascii="Times New Roman" w:hAnsi="Times New Roman" w:cs="Times New Roman"/>
                <w:color w:val="auto"/>
                <w:highlight w:val="none"/>
                <w:lang w:val="en-US" w:eastAsia="zh-CN"/>
              </w:rPr>
            </w:pPr>
          </w:p>
        </w:tc>
      </w:tr>
    </w:tbl>
    <w:p w14:paraId="1131E299">
      <w:pPr>
        <w:spacing w:beforeLines="0" w:afterLines="0"/>
        <w:rPr>
          <w:rFonts w:hint="default" w:ascii="Times New Roman" w:hAnsi="Times New Roman" w:cs="Times New Roman"/>
          <w:color w:val="auto"/>
          <w:sz w:val="24"/>
          <w:szCs w:val="24"/>
          <w:highlight w:val="none"/>
        </w:rPr>
      </w:pPr>
    </w:p>
    <w:p w14:paraId="3282D2F1">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非正常工况下废气对周围环境空气环境有影响，为防止废气非正常工况排放，企业必须加强管理，定期检查、维护废气处理设施，确保废气能够达标排放，如遇废气处理设施损坏需维修情况，要求暂停生产直至环保设施故障排除。因此，本项目非正常工况下废气对周围环境空气的影响可控制。</w:t>
      </w:r>
    </w:p>
    <w:p w14:paraId="3D46E8FF">
      <w:pPr>
        <w:pStyle w:val="5"/>
        <w:bidi w:val="0"/>
        <w:rPr>
          <w:rFonts w:hint="default"/>
        </w:rPr>
      </w:pPr>
      <w:bookmarkStart w:id="287" w:name="5.2.1.6大气环境防护距离"/>
      <w:bookmarkEnd w:id="287"/>
      <w:bookmarkStart w:id="288" w:name="_Toc29925"/>
      <w:r>
        <w:rPr>
          <w:rFonts w:hint="default"/>
        </w:rPr>
        <w:t>大气环境防护距离</w:t>
      </w:r>
      <w:bookmarkEnd w:id="288"/>
    </w:p>
    <w:p w14:paraId="340B963C">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根据《环境影响评价技术导则 大气环境》（HJ2.2-2018）要求，对于项目厂界浓度满足大气污染物厂界浓度限值，但厂界外大气污染物短期贡献浓度超过环境质量浓度限值的，可以自厂界向外设置一定范围的大气环境防护区域，以确保大气环境防护区域外的污染物贡献浓度满足环境质量标准。</w:t>
      </w:r>
    </w:p>
    <w:p w14:paraId="2E5C1F54">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本工程经估算各污染物没有超出环境质量标准浓度限值，因此本次环评不设置大气防护距离。</w:t>
      </w:r>
    </w:p>
    <w:p w14:paraId="36406B71">
      <w:pPr>
        <w:pStyle w:val="5"/>
        <w:bidi w:val="0"/>
        <w:rPr>
          <w:rFonts w:hint="default"/>
          <w:lang w:val="en-US" w:eastAsia="zh-CN"/>
        </w:rPr>
      </w:pPr>
      <w:bookmarkStart w:id="289" w:name="_Toc29153"/>
      <w:r>
        <w:rPr>
          <w:rFonts w:hint="default"/>
          <w:lang w:val="en-US" w:eastAsia="zh-CN"/>
        </w:rPr>
        <w:t>大气环境影响评价结论</w:t>
      </w:r>
      <w:bookmarkEnd w:id="289"/>
    </w:p>
    <w:p w14:paraId="0E17FF6B">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综上分析，矿区</w:t>
      </w:r>
      <w:r>
        <w:rPr>
          <w:rFonts w:hint="default" w:ascii="Times New Roman" w:hAnsi="Times New Roman" w:cs="Times New Roman"/>
          <w:color w:val="auto"/>
          <w:sz w:val="24"/>
          <w:szCs w:val="24"/>
          <w:highlight w:val="none"/>
          <w:lang w:val="en-US" w:eastAsia="zh-CN"/>
        </w:rPr>
        <w:t>大气污染源主要为开采过程中的粉尘污染，以及矿石筛分及烘干过程的废气排放污染，污染因子主要为颗粒物。开采过程中，在采场</w:t>
      </w:r>
      <w:r>
        <w:rPr>
          <w:rFonts w:hint="default" w:ascii="Times New Roman" w:hAnsi="Times New Roman" w:cs="Times New Roman"/>
          <w:color w:val="auto"/>
          <w:sz w:val="24"/>
          <w:szCs w:val="24"/>
          <w:highlight w:val="none"/>
        </w:rPr>
        <w:t>采取降尘措施后粉尘排放量将大幅度降低</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矿石筛分过程中的筛分废气以及烘干环节均采用布袋除尘器除尘后15m排气筒排放，</w:t>
      </w:r>
      <w:r>
        <w:rPr>
          <w:rFonts w:hint="default" w:ascii="Times New Roman" w:hAnsi="Times New Roman" w:cs="Times New Roman"/>
          <w:color w:val="auto"/>
          <w:sz w:val="24"/>
          <w:szCs w:val="24"/>
          <w:highlight w:val="none"/>
        </w:rPr>
        <w:t>在严格落实各项污染治理措施情况下，废气污染物对区域大气环境影响不大。</w:t>
      </w:r>
    </w:p>
    <w:p w14:paraId="12312F45">
      <w:pPr>
        <w:pStyle w:val="5"/>
        <w:bidi w:val="0"/>
        <w:rPr>
          <w:rFonts w:hint="default"/>
        </w:rPr>
      </w:pPr>
      <w:bookmarkStart w:id="290" w:name="5.2.1.7污染物排放量核算"/>
      <w:bookmarkEnd w:id="290"/>
      <w:bookmarkStart w:id="291" w:name="_Toc19347"/>
      <w:r>
        <w:rPr>
          <w:rFonts w:hint="default"/>
        </w:rPr>
        <w:t>污染物排放量核算</w:t>
      </w:r>
      <w:bookmarkEnd w:id="291"/>
    </w:p>
    <w:p w14:paraId="0A6041CE">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项目有组织排放量核算结果见</w:t>
      </w:r>
      <w:r>
        <w:rPr>
          <w:rFonts w:hint="default" w:ascii="Times New Roman" w:hAnsi="Times New Roman" w:cs="Times New Roman"/>
          <w:color w:val="auto"/>
          <w:sz w:val="24"/>
          <w:szCs w:val="24"/>
          <w:highlight w:val="none"/>
          <w:lang w:val="en-US" w:eastAsia="zh-CN"/>
        </w:rPr>
        <w:t>下表</w:t>
      </w:r>
      <w:r>
        <w:rPr>
          <w:rFonts w:hint="default" w:ascii="Times New Roman" w:hAnsi="Times New Roman" w:cs="Times New Roman"/>
          <w:color w:val="auto"/>
          <w:sz w:val="24"/>
          <w:szCs w:val="24"/>
          <w:highlight w:val="none"/>
        </w:rPr>
        <w:t>。</w:t>
      </w:r>
    </w:p>
    <w:p w14:paraId="035F84AC">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表 5.2-</w:t>
      </w:r>
      <w:r>
        <w:rPr>
          <w:rFonts w:hint="default" w:ascii="Times New Roman" w:hAnsi="Times New Roman" w:cs="Times New Roman"/>
          <w:color w:val="auto"/>
          <w:highlight w:val="none"/>
          <w:lang w:val="en-US" w:eastAsia="zh-CN"/>
        </w:rPr>
        <w:t>1</w:t>
      </w:r>
      <w:r>
        <w:rPr>
          <w:rFonts w:hint="eastAsia"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大气污染物有组织排放量核算</w:t>
      </w:r>
    </w:p>
    <w:tbl>
      <w:tblPr>
        <w:tblStyle w:val="3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5"/>
        <w:gridCol w:w="2506"/>
        <w:gridCol w:w="1114"/>
        <w:gridCol w:w="1715"/>
        <w:gridCol w:w="1673"/>
        <w:gridCol w:w="1746"/>
      </w:tblGrid>
      <w:tr w14:paraId="5FF94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 w:type="pct"/>
            <w:vAlign w:val="center"/>
          </w:tcPr>
          <w:p w14:paraId="4A925EDD">
            <w:pPr>
              <w:keepNext w:val="0"/>
              <w:keepLines w:val="0"/>
              <w:pageBreakBefore w:val="0"/>
              <w:widowControl w:val="0"/>
              <w:wordWrap/>
              <w:topLinePunct w:val="0"/>
              <w:autoSpaceDE w:val="0"/>
              <w:autoSpaceDN w:val="0"/>
              <w:bidi w:val="0"/>
              <w:adjustRightInd w:val="0"/>
              <w:spacing w:line="240" w:lineRule="auto"/>
              <w:ind w:firstLine="0" w:firstLineChars="0"/>
              <w:jc w:val="center"/>
              <w:textAlignment w:val="auto"/>
              <w:rPr>
                <w:rFonts w:hint="default" w:ascii="Times New Roman" w:hAnsi="Times New Roman" w:eastAsia="宋体" w:cs="Times New Roman"/>
                <w:color w:val="00B050"/>
                <w:sz w:val="21"/>
                <w:szCs w:val="21"/>
                <w:highlight w:val="none"/>
                <w:vertAlign w:val="baseline"/>
                <w:lang w:val="en-US" w:eastAsia="zh-CN"/>
              </w:rPr>
            </w:pPr>
            <w:r>
              <w:rPr>
                <w:rFonts w:hint="default" w:ascii="Times New Roman" w:hAnsi="Times New Roman" w:cs="Times New Roman"/>
                <w:color w:val="00B050"/>
                <w:sz w:val="21"/>
                <w:szCs w:val="21"/>
                <w:highlight w:val="none"/>
                <w:vertAlign w:val="baseline"/>
                <w:lang w:val="en-US" w:eastAsia="zh-CN"/>
              </w:rPr>
              <w:t>序号</w:t>
            </w:r>
          </w:p>
        </w:tc>
        <w:tc>
          <w:tcPr>
            <w:tcW w:w="1338" w:type="pct"/>
            <w:vAlign w:val="center"/>
          </w:tcPr>
          <w:p w14:paraId="54E52715">
            <w:pPr>
              <w:pStyle w:val="48"/>
              <w:keepNext w:val="0"/>
              <w:keepLines w:val="0"/>
              <w:pageBreakBefore w:val="0"/>
              <w:widowControl w:val="0"/>
              <w:wordWrap/>
              <w:topLinePunct w:val="0"/>
              <w:autoSpaceDE w:val="0"/>
              <w:autoSpaceDN w:val="0"/>
              <w:bidi w:val="0"/>
              <w:adjustRightInd w:val="0"/>
              <w:spacing w:line="240" w:lineRule="auto"/>
              <w:ind w:firstLine="0" w:firstLineChars="0"/>
              <w:jc w:val="center"/>
              <w:textAlignment w:val="auto"/>
              <w:rPr>
                <w:rFonts w:hint="default" w:ascii="Times New Roman" w:hAnsi="Times New Roman" w:cs="Times New Roman"/>
                <w:color w:val="00B050"/>
                <w:sz w:val="21"/>
                <w:szCs w:val="21"/>
                <w:highlight w:val="none"/>
                <w:vertAlign w:val="baseline"/>
              </w:rPr>
            </w:pPr>
            <w:r>
              <w:rPr>
                <w:rFonts w:hint="default" w:ascii="Times New Roman" w:hAnsi="Times New Roman" w:cs="Times New Roman"/>
                <w:color w:val="00B050"/>
                <w:sz w:val="21"/>
                <w:szCs w:val="21"/>
                <w:highlight w:val="none"/>
              </w:rPr>
              <w:t>排放口编号</w:t>
            </w:r>
          </w:p>
        </w:tc>
        <w:tc>
          <w:tcPr>
            <w:tcW w:w="595" w:type="pct"/>
            <w:vAlign w:val="center"/>
          </w:tcPr>
          <w:p w14:paraId="05644842">
            <w:pPr>
              <w:pStyle w:val="48"/>
              <w:keepNext w:val="0"/>
              <w:keepLines w:val="0"/>
              <w:pageBreakBefore w:val="0"/>
              <w:widowControl w:val="0"/>
              <w:wordWrap/>
              <w:topLinePunct w:val="0"/>
              <w:autoSpaceDE w:val="0"/>
              <w:autoSpaceDN w:val="0"/>
              <w:bidi w:val="0"/>
              <w:adjustRightInd w:val="0"/>
              <w:spacing w:line="240" w:lineRule="auto"/>
              <w:ind w:firstLine="0" w:firstLineChars="0"/>
              <w:jc w:val="center"/>
              <w:textAlignment w:val="auto"/>
              <w:rPr>
                <w:rFonts w:hint="default" w:ascii="Times New Roman" w:hAnsi="Times New Roman" w:cs="Times New Roman"/>
                <w:color w:val="00B050"/>
                <w:sz w:val="21"/>
                <w:szCs w:val="21"/>
                <w:highlight w:val="none"/>
                <w:vertAlign w:val="baseline"/>
              </w:rPr>
            </w:pPr>
            <w:r>
              <w:rPr>
                <w:rFonts w:hint="default" w:ascii="Times New Roman" w:hAnsi="Times New Roman" w:cs="Times New Roman"/>
                <w:color w:val="00B050"/>
                <w:sz w:val="21"/>
                <w:szCs w:val="21"/>
                <w:highlight w:val="none"/>
              </w:rPr>
              <w:t>污染物</w:t>
            </w:r>
          </w:p>
        </w:tc>
        <w:tc>
          <w:tcPr>
            <w:tcW w:w="916" w:type="pct"/>
            <w:vAlign w:val="center"/>
          </w:tcPr>
          <w:p w14:paraId="5BC40A85">
            <w:pPr>
              <w:pStyle w:val="48"/>
              <w:keepNext w:val="0"/>
              <w:keepLines w:val="0"/>
              <w:pageBreakBefore w:val="0"/>
              <w:widowControl w:val="0"/>
              <w:wordWrap/>
              <w:topLinePunct w:val="0"/>
              <w:autoSpaceDE w:val="0"/>
              <w:autoSpaceDN w:val="0"/>
              <w:bidi w:val="0"/>
              <w:adjustRightInd w:val="0"/>
              <w:spacing w:line="240" w:lineRule="auto"/>
              <w:ind w:firstLine="0" w:firstLineChars="0"/>
              <w:jc w:val="center"/>
              <w:textAlignment w:val="auto"/>
              <w:rPr>
                <w:rFonts w:hint="default" w:ascii="Times New Roman" w:hAnsi="Times New Roman" w:cs="Times New Roman"/>
                <w:color w:val="00B050"/>
                <w:sz w:val="21"/>
                <w:szCs w:val="21"/>
                <w:highlight w:val="none"/>
              </w:rPr>
            </w:pPr>
            <w:r>
              <w:rPr>
                <w:rFonts w:hint="default" w:ascii="Times New Roman" w:hAnsi="Times New Roman" w:cs="Times New Roman"/>
                <w:color w:val="00B050"/>
                <w:sz w:val="21"/>
                <w:szCs w:val="21"/>
                <w:highlight w:val="none"/>
              </w:rPr>
              <w:t>核算排放浓度</w:t>
            </w:r>
          </w:p>
          <w:p w14:paraId="298A6E3B">
            <w:pPr>
              <w:pStyle w:val="48"/>
              <w:keepNext w:val="0"/>
              <w:keepLines w:val="0"/>
              <w:pageBreakBefore w:val="0"/>
              <w:widowControl w:val="0"/>
              <w:wordWrap/>
              <w:topLinePunct w:val="0"/>
              <w:autoSpaceDE w:val="0"/>
              <w:autoSpaceDN w:val="0"/>
              <w:bidi w:val="0"/>
              <w:adjustRightInd w:val="0"/>
              <w:spacing w:line="240" w:lineRule="auto"/>
              <w:ind w:firstLine="0" w:firstLineChars="0"/>
              <w:jc w:val="center"/>
              <w:textAlignment w:val="auto"/>
              <w:rPr>
                <w:rFonts w:hint="default" w:ascii="Times New Roman" w:hAnsi="Times New Roman" w:eastAsia="宋体" w:cs="Times New Roman"/>
                <w:color w:val="00B050"/>
                <w:sz w:val="21"/>
                <w:szCs w:val="21"/>
                <w:highlight w:val="none"/>
                <w:vertAlign w:val="baseline"/>
                <w:lang w:val="en-US" w:eastAsia="zh-CN"/>
              </w:rPr>
            </w:pPr>
            <w:r>
              <w:rPr>
                <w:rFonts w:hint="default" w:ascii="Times New Roman" w:hAnsi="Times New Roman" w:cs="Times New Roman"/>
                <w:color w:val="00B050"/>
                <w:sz w:val="21"/>
                <w:szCs w:val="21"/>
                <w:highlight w:val="none"/>
              </w:rPr>
              <w:t>（mg/m</w:t>
            </w:r>
            <w:r>
              <w:rPr>
                <w:rFonts w:hint="default" w:ascii="Times New Roman" w:hAnsi="Times New Roman" w:cs="Times New Roman"/>
                <w:color w:val="00B050"/>
                <w:sz w:val="21"/>
                <w:szCs w:val="21"/>
                <w:highlight w:val="none"/>
                <w:vertAlign w:val="superscript"/>
              </w:rPr>
              <w:t>3</w:t>
            </w:r>
            <w:r>
              <w:rPr>
                <w:rFonts w:hint="default" w:ascii="Times New Roman" w:hAnsi="Times New Roman" w:cs="Times New Roman"/>
                <w:color w:val="00B050"/>
                <w:sz w:val="21"/>
                <w:szCs w:val="21"/>
                <w:highlight w:val="none"/>
                <w:lang w:eastAsia="zh-CN"/>
              </w:rPr>
              <w:t>）</w:t>
            </w:r>
          </w:p>
        </w:tc>
        <w:tc>
          <w:tcPr>
            <w:tcW w:w="893" w:type="pct"/>
            <w:shd w:val="clear" w:color="auto" w:fill="auto"/>
            <w:vAlign w:val="center"/>
          </w:tcPr>
          <w:p w14:paraId="55F187A6">
            <w:pPr>
              <w:pStyle w:val="42"/>
              <w:keepNext w:val="0"/>
              <w:keepLines w:val="0"/>
              <w:pageBreakBefore w:val="0"/>
              <w:widowControl w:val="0"/>
              <w:wordWrap/>
              <w:topLinePunct w:val="0"/>
              <w:autoSpaceDE w:val="0"/>
              <w:autoSpaceDN w:val="0"/>
              <w:bidi w:val="0"/>
              <w:adjustRightInd w:val="0"/>
              <w:spacing w:beforeLines="0" w:afterLines="0" w:line="240" w:lineRule="auto"/>
              <w:ind w:firstLine="0" w:firstLineChars="0"/>
              <w:jc w:val="center"/>
              <w:textAlignment w:val="auto"/>
              <w:rPr>
                <w:rFonts w:hint="default" w:ascii="Times New Roman" w:hAnsi="Times New Roman" w:cs="Times New Roman"/>
                <w:color w:val="00B050"/>
                <w:spacing w:val="0"/>
                <w:sz w:val="21"/>
                <w:szCs w:val="21"/>
                <w:highlight w:val="none"/>
              </w:rPr>
            </w:pPr>
            <w:r>
              <w:rPr>
                <w:rFonts w:hint="default" w:ascii="Times New Roman" w:hAnsi="Times New Roman" w:cs="Times New Roman"/>
                <w:color w:val="00B050"/>
                <w:spacing w:val="0"/>
                <w:sz w:val="21"/>
                <w:szCs w:val="21"/>
                <w:highlight w:val="none"/>
                <w:lang w:val="en-US" w:eastAsia="zh-CN"/>
              </w:rPr>
              <w:t>核算</w:t>
            </w:r>
            <w:r>
              <w:rPr>
                <w:rFonts w:hint="default" w:ascii="Times New Roman" w:hAnsi="Times New Roman" w:cs="Times New Roman"/>
                <w:color w:val="00B050"/>
                <w:spacing w:val="0"/>
                <w:sz w:val="21"/>
                <w:szCs w:val="21"/>
                <w:highlight w:val="none"/>
              </w:rPr>
              <w:t>排放速率</w:t>
            </w:r>
          </w:p>
          <w:p w14:paraId="172B6938">
            <w:pPr>
              <w:pStyle w:val="42"/>
              <w:keepNext w:val="0"/>
              <w:keepLines w:val="0"/>
              <w:pageBreakBefore w:val="0"/>
              <w:widowControl w:val="0"/>
              <w:wordWrap/>
              <w:topLinePunct w:val="0"/>
              <w:autoSpaceDE w:val="0"/>
              <w:autoSpaceDN w:val="0"/>
              <w:bidi w:val="0"/>
              <w:adjustRightInd w:val="0"/>
              <w:spacing w:beforeLines="0" w:afterLines="0" w:line="240" w:lineRule="auto"/>
              <w:ind w:firstLine="0" w:firstLineChars="0"/>
              <w:jc w:val="center"/>
              <w:textAlignment w:val="auto"/>
              <w:rPr>
                <w:rFonts w:hint="default" w:ascii="Times New Roman" w:hAnsi="Times New Roman" w:eastAsia="宋体" w:cs="Times New Roman"/>
                <w:color w:val="00B050"/>
                <w:spacing w:val="6"/>
                <w:sz w:val="21"/>
                <w:szCs w:val="21"/>
                <w:highlight w:val="none"/>
                <w:vertAlign w:val="baseline"/>
              </w:rPr>
            </w:pPr>
            <w:r>
              <w:rPr>
                <w:rFonts w:hint="default" w:ascii="Times New Roman" w:hAnsi="Times New Roman" w:cs="Times New Roman"/>
                <w:color w:val="00B050"/>
                <w:spacing w:val="0"/>
                <w:sz w:val="21"/>
                <w:szCs w:val="21"/>
                <w:highlight w:val="none"/>
              </w:rPr>
              <w:t>(kg/h)</w:t>
            </w:r>
          </w:p>
        </w:tc>
        <w:tc>
          <w:tcPr>
            <w:tcW w:w="932" w:type="pct"/>
            <w:shd w:val="clear" w:color="auto" w:fill="auto"/>
            <w:vAlign w:val="center"/>
          </w:tcPr>
          <w:p w14:paraId="76816E72">
            <w:pPr>
              <w:pStyle w:val="42"/>
              <w:keepNext w:val="0"/>
              <w:keepLines w:val="0"/>
              <w:pageBreakBefore w:val="0"/>
              <w:widowControl w:val="0"/>
              <w:wordWrap/>
              <w:topLinePunct w:val="0"/>
              <w:autoSpaceDE w:val="0"/>
              <w:autoSpaceDN w:val="0"/>
              <w:bidi w:val="0"/>
              <w:adjustRightInd w:val="0"/>
              <w:spacing w:beforeLines="0" w:afterLines="0" w:line="240" w:lineRule="auto"/>
              <w:ind w:firstLine="0" w:firstLineChars="0"/>
              <w:jc w:val="center"/>
              <w:textAlignment w:val="auto"/>
              <w:rPr>
                <w:rFonts w:hint="default" w:ascii="Times New Roman" w:hAnsi="Times New Roman" w:cs="Times New Roman"/>
                <w:color w:val="00B050"/>
                <w:spacing w:val="0"/>
                <w:sz w:val="21"/>
                <w:szCs w:val="21"/>
                <w:highlight w:val="none"/>
              </w:rPr>
            </w:pPr>
            <w:r>
              <w:rPr>
                <w:rFonts w:hint="default" w:ascii="Times New Roman" w:hAnsi="Times New Roman" w:cs="Times New Roman"/>
                <w:color w:val="00B050"/>
                <w:spacing w:val="0"/>
                <w:sz w:val="21"/>
                <w:szCs w:val="21"/>
                <w:highlight w:val="none"/>
                <w:lang w:val="en-US" w:eastAsia="zh-CN"/>
              </w:rPr>
              <w:t>核算</w:t>
            </w:r>
            <w:r>
              <w:rPr>
                <w:rFonts w:hint="default" w:ascii="Times New Roman" w:hAnsi="Times New Roman" w:cs="Times New Roman"/>
                <w:color w:val="00B050"/>
                <w:spacing w:val="0"/>
                <w:sz w:val="21"/>
                <w:szCs w:val="21"/>
                <w:highlight w:val="none"/>
              </w:rPr>
              <w:t>年排放量</w:t>
            </w:r>
          </w:p>
          <w:p w14:paraId="659D8B5C">
            <w:pPr>
              <w:pStyle w:val="42"/>
              <w:keepNext w:val="0"/>
              <w:keepLines w:val="0"/>
              <w:pageBreakBefore w:val="0"/>
              <w:widowControl w:val="0"/>
              <w:wordWrap/>
              <w:topLinePunct w:val="0"/>
              <w:autoSpaceDE w:val="0"/>
              <w:autoSpaceDN w:val="0"/>
              <w:bidi w:val="0"/>
              <w:adjustRightInd w:val="0"/>
              <w:spacing w:beforeLines="0" w:afterLines="0" w:line="240" w:lineRule="auto"/>
              <w:ind w:firstLine="0" w:firstLineChars="0"/>
              <w:jc w:val="center"/>
              <w:textAlignment w:val="auto"/>
              <w:rPr>
                <w:rFonts w:hint="default" w:ascii="Times New Roman" w:hAnsi="Times New Roman" w:eastAsia="宋体" w:cs="Times New Roman"/>
                <w:color w:val="00B050"/>
                <w:spacing w:val="6"/>
                <w:sz w:val="21"/>
                <w:szCs w:val="21"/>
                <w:highlight w:val="none"/>
                <w:vertAlign w:val="baseline"/>
              </w:rPr>
            </w:pPr>
            <w:r>
              <w:rPr>
                <w:rFonts w:hint="default" w:ascii="Times New Roman" w:hAnsi="Times New Roman" w:cs="Times New Roman"/>
                <w:color w:val="00B050"/>
                <w:spacing w:val="0"/>
                <w:sz w:val="21"/>
                <w:szCs w:val="21"/>
                <w:highlight w:val="none"/>
              </w:rPr>
              <w:t>(t/a)</w:t>
            </w:r>
          </w:p>
        </w:tc>
      </w:tr>
      <w:tr w14:paraId="3E2AF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6"/>
            <w:vAlign w:val="center"/>
          </w:tcPr>
          <w:p w14:paraId="67B8922C">
            <w:pPr>
              <w:pStyle w:val="42"/>
              <w:keepNext w:val="0"/>
              <w:keepLines w:val="0"/>
              <w:pageBreakBefore w:val="0"/>
              <w:widowControl w:val="0"/>
              <w:wordWrap/>
              <w:topLinePunct w:val="0"/>
              <w:autoSpaceDE w:val="0"/>
              <w:autoSpaceDN w:val="0"/>
              <w:bidi w:val="0"/>
              <w:adjustRightInd w:val="0"/>
              <w:spacing w:beforeLines="0" w:afterLines="0" w:line="240" w:lineRule="auto"/>
              <w:ind w:firstLine="0" w:firstLineChars="0"/>
              <w:jc w:val="center"/>
              <w:textAlignment w:val="auto"/>
              <w:rPr>
                <w:rFonts w:hint="default" w:ascii="Times New Roman" w:hAnsi="Times New Roman" w:eastAsia="宋体" w:cs="Times New Roman"/>
                <w:color w:val="00B050"/>
                <w:spacing w:val="0"/>
                <w:sz w:val="21"/>
                <w:szCs w:val="21"/>
                <w:highlight w:val="none"/>
                <w:lang w:val="en-US" w:eastAsia="zh-CN"/>
              </w:rPr>
            </w:pPr>
            <w:r>
              <w:rPr>
                <w:rFonts w:hint="default" w:ascii="Times New Roman" w:hAnsi="Times New Roman" w:cs="Times New Roman"/>
                <w:color w:val="00B050"/>
                <w:spacing w:val="0"/>
                <w:sz w:val="21"/>
                <w:szCs w:val="21"/>
                <w:highlight w:val="none"/>
                <w:lang w:val="en-US" w:eastAsia="zh-CN"/>
              </w:rPr>
              <w:t>一般排放口</w:t>
            </w:r>
          </w:p>
        </w:tc>
      </w:tr>
      <w:tr w14:paraId="4BE12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 w:type="pct"/>
            <w:vAlign w:val="center"/>
          </w:tcPr>
          <w:p w14:paraId="6003315F">
            <w:pPr>
              <w:pStyle w:val="42"/>
              <w:keepNext w:val="0"/>
              <w:keepLines w:val="0"/>
              <w:pageBreakBefore w:val="0"/>
              <w:widowControl w:val="0"/>
              <w:wordWrap/>
              <w:topLinePunct w:val="0"/>
              <w:autoSpaceDE w:val="0"/>
              <w:autoSpaceDN w:val="0"/>
              <w:bidi w:val="0"/>
              <w:adjustRightInd w:val="0"/>
              <w:spacing w:beforeLines="0" w:afterLines="0" w:line="240" w:lineRule="auto"/>
              <w:ind w:firstLine="0" w:firstLineChars="0"/>
              <w:jc w:val="center"/>
              <w:textAlignment w:val="auto"/>
              <w:rPr>
                <w:rFonts w:hint="default" w:ascii="Times New Roman" w:hAnsi="Times New Roman" w:eastAsia="宋体" w:cs="Times New Roman"/>
                <w:color w:val="00B050"/>
                <w:spacing w:val="0"/>
                <w:sz w:val="21"/>
                <w:szCs w:val="21"/>
                <w:highlight w:val="none"/>
              </w:rPr>
            </w:pPr>
            <w:r>
              <w:rPr>
                <w:rFonts w:hint="default" w:ascii="Times New Roman" w:hAnsi="Times New Roman" w:eastAsia="宋体" w:cs="Times New Roman"/>
                <w:color w:val="00B050"/>
                <w:spacing w:val="0"/>
                <w:sz w:val="21"/>
                <w:szCs w:val="21"/>
                <w:highlight w:val="none"/>
              </w:rPr>
              <w:t>1</w:t>
            </w:r>
          </w:p>
        </w:tc>
        <w:tc>
          <w:tcPr>
            <w:tcW w:w="1338" w:type="pct"/>
            <w:vAlign w:val="center"/>
          </w:tcPr>
          <w:p w14:paraId="6CE71EE8">
            <w:pPr>
              <w:pStyle w:val="42"/>
              <w:keepNext w:val="0"/>
              <w:keepLines w:val="0"/>
              <w:pageBreakBefore w:val="0"/>
              <w:widowControl w:val="0"/>
              <w:wordWrap/>
              <w:topLinePunct w:val="0"/>
              <w:autoSpaceDE w:val="0"/>
              <w:autoSpaceDN w:val="0"/>
              <w:bidi w:val="0"/>
              <w:adjustRightInd w:val="0"/>
              <w:spacing w:beforeLines="0" w:afterLines="0" w:line="240" w:lineRule="auto"/>
              <w:ind w:firstLine="0" w:firstLineChars="0"/>
              <w:jc w:val="center"/>
              <w:textAlignment w:val="auto"/>
              <w:rPr>
                <w:rFonts w:hint="default" w:ascii="Times New Roman" w:hAnsi="Times New Roman" w:eastAsia="宋体" w:cs="Times New Roman"/>
                <w:color w:val="00B050"/>
                <w:spacing w:val="0"/>
                <w:sz w:val="21"/>
                <w:szCs w:val="21"/>
                <w:highlight w:val="none"/>
              </w:rPr>
            </w:pPr>
            <w:r>
              <w:rPr>
                <w:rFonts w:hint="default" w:ascii="Times New Roman" w:hAnsi="Times New Roman" w:eastAsia="宋体" w:cs="Times New Roman"/>
                <w:color w:val="00B050"/>
                <w:spacing w:val="0"/>
                <w:sz w:val="21"/>
                <w:szCs w:val="21"/>
                <w:highlight w:val="none"/>
              </w:rPr>
              <w:t>筛分废气（DA001）</w:t>
            </w:r>
          </w:p>
        </w:tc>
        <w:tc>
          <w:tcPr>
            <w:tcW w:w="595" w:type="pct"/>
            <w:vAlign w:val="center"/>
          </w:tcPr>
          <w:p w14:paraId="5EDA52AA">
            <w:pPr>
              <w:pStyle w:val="42"/>
              <w:keepNext w:val="0"/>
              <w:keepLines w:val="0"/>
              <w:pageBreakBefore w:val="0"/>
              <w:widowControl w:val="0"/>
              <w:wordWrap/>
              <w:topLinePunct w:val="0"/>
              <w:autoSpaceDE w:val="0"/>
              <w:autoSpaceDN w:val="0"/>
              <w:bidi w:val="0"/>
              <w:adjustRightInd w:val="0"/>
              <w:spacing w:beforeLines="0" w:afterLines="0" w:line="240" w:lineRule="auto"/>
              <w:ind w:firstLine="0" w:firstLineChars="0"/>
              <w:jc w:val="center"/>
              <w:textAlignment w:val="auto"/>
              <w:rPr>
                <w:rFonts w:hint="default" w:ascii="Times New Roman" w:hAnsi="Times New Roman" w:eastAsia="宋体" w:cs="Times New Roman"/>
                <w:color w:val="00B050"/>
                <w:spacing w:val="0"/>
                <w:sz w:val="21"/>
                <w:szCs w:val="21"/>
                <w:highlight w:val="none"/>
              </w:rPr>
            </w:pPr>
            <w:r>
              <w:rPr>
                <w:rFonts w:hint="default" w:ascii="Times New Roman" w:hAnsi="Times New Roman" w:eastAsia="宋体" w:cs="Times New Roman"/>
                <w:color w:val="00B050"/>
                <w:spacing w:val="0"/>
                <w:sz w:val="21"/>
                <w:szCs w:val="21"/>
                <w:highlight w:val="none"/>
                <w:lang w:val="en-US" w:eastAsia="zh-CN"/>
              </w:rPr>
              <w:t>颗粒物</w:t>
            </w:r>
          </w:p>
        </w:tc>
        <w:tc>
          <w:tcPr>
            <w:tcW w:w="916" w:type="pct"/>
            <w:vAlign w:val="center"/>
          </w:tcPr>
          <w:p w14:paraId="1AE3F142">
            <w:pPr>
              <w:pStyle w:val="42"/>
              <w:keepNext w:val="0"/>
              <w:keepLines w:val="0"/>
              <w:pageBreakBefore w:val="0"/>
              <w:widowControl w:val="0"/>
              <w:wordWrap/>
              <w:topLinePunct w:val="0"/>
              <w:autoSpaceDE w:val="0"/>
              <w:autoSpaceDN w:val="0"/>
              <w:bidi w:val="0"/>
              <w:adjustRightInd w:val="0"/>
              <w:spacing w:beforeLines="0" w:afterLines="0" w:line="240" w:lineRule="auto"/>
              <w:ind w:firstLine="0" w:firstLineChars="0"/>
              <w:jc w:val="center"/>
              <w:textAlignment w:val="auto"/>
              <w:rPr>
                <w:rFonts w:hint="default" w:ascii="Times New Roman" w:hAnsi="Times New Roman" w:eastAsia="宋体" w:cs="Times New Roman"/>
                <w:color w:val="00B050"/>
                <w:spacing w:val="0"/>
                <w:sz w:val="21"/>
                <w:szCs w:val="21"/>
                <w:highlight w:val="none"/>
                <w:lang w:val="en-US"/>
              </w:rPr>
            </w:pPr>
            <w:r>
              <w:rPr>
                <w:rFonts w:hint="eastAsia" w:ascii="Times New Roman" w:hAnsi="Times New Roman" w:cs="Times New Roman"/>
                <w:color w:val="00B050"/>
                <w:spacing w:val="0"/>
                <w:sz w:val="21"/>
                <w:szCs w:val="21"/>
                <w:highlight w:val="none"/>
                <w:lang w:val="en-US" w:eastAsia="zh-CN"/>
              </w:rPr>
              <w:t>2.22</w:t>
            </w:r>
          </w:p>
        </w:tc>
        <w:tc>
          <w:tcPr>
            <w:tcW w:w="893" w:type="pct"/>
            <w:shd w:val="clear" w:color="auto" w:fill="auto"/>
            <w:vAlign w:val="center"/>
          </w:tcPr>
          <w:p w14:paraId="550A7CB1">
            <w:pPr>
              <w:pStyle w:val="42"/>
              <w:keepNext w:val="0"/>
              <w:keepLines w:val="0"/>
              <w:pageBreakBefore w:val="0"/>
              <w:widowControl w:val="0"/>
              <w:wordWrap/>
              <w:topLinePunct w:val="0"/>
              <w:autoSpaceDE w:val="0"/>
              <w:autoSpaceDN w:val="0"/>
              <w:bidi w:val="0"/>
              <w:adjustRightInd w:val="0"/>
              <w:spacing w:beforeLines="0" w:afterLines="0" w:line="240" w:lineRule="auto"/>
              <w:ind w:firstLine="0" w:firstLineChars="0"/>
              <w:jc w:val="center"/>
              <w:textAlignment w:val="auto"/>
              <w:rPr>
                <w:rFonts w:hint="default" w:ascii="Times New Roman" w:hAnsi="Times New Roman" w:eastAsia="宋体" w:cs="Times New Roman"/>
                <w:color w:val="00B050"/>
                <w:spacing w:val="0"/>
                <w:sz w:val="21"/>
                <w:szCs w:val="21"/>
                <w:highlight w:val="none"/>
                <w:lang w:val="en-US"/>
              </w:rPr>
            </w:pPr>
            <w:r>
              <w:rPr>
                <w:rFonts w:hint="default" w:ascii="Times New Roman" w:hAnsi="Times New Roman" w:eastAsia="宋体" w:cs="Times New Roman"/>
                <w:color w:val="00B050"/>
                <w:spacing w:val="0"/>
                <w:sz w:val="21"/>
                <w:szCs w:val="21"/>
                <w:highlight w:val="none"/>
                <w:lang w:val="en-US" w:eastAsia="zh-CN"/>
              </w:rPr>
              <w:t>0.0</w:t>
            </w:r>
            <w:r>
              <w:rPr>
                <w:rFonts w:hint="eastAsia" w:ascii="Times New Roman" w:hAnsi="Times New Roman" w:cs="Times New Roman"/>
                <w:color w:val="00B050"/>
                <w:spacing w:val="0"/>
                <w:sz w:val="21"/>
                <w:szCs w:val="21"/>
                <w:highlight w:val="none"/>
                <w:lang w:val="en-US" w:eastAsia="zh-CN"/>
              </w:rPr>
              <w:t>30</w:t>
            </w:r>
          </w:p>
        </w:tc>
        <w:tc>
          <w:tcPr>
            <w:tcW w:w="932" w:type="pct"/>
            <w:shd w:val="clear" w:color="auto" w:fill="auto"/>
            <w:vAlign w:val="center"/>
          </w:tcPr>
          <w:p w14:paraId="2577C330">
            <w:pPr>
              <w:pStyle w:val="42"/>
              <w:keepNext w:val="0"/>
              <w:keepLines w:val="0"/>
              <w:pageBreakBefore w:val="0"/>
              <w:widowControl w:val="0"/>
              <w:wordWrap/>
              <w:topLinePunct w:val="0"/>
              <w:autoSpaceDE w:val="0"/>
              <w:autoSpaceDN w:val="0"/>
              <w:bidi w:val="0"/>
              <w:adjustRightInd w:val="0"/>
              <w:spacing w:beforeLines="0" w:afterLines="0" w:line="240" w:lineRule="auto"/>
              <w:ind w:firstLine="0" w:firstLineChars="0"/>
              <w:jc w:val="center"/>
              <w:textAlignment w:val="auto"/>
              <w:rPr>
                <w:rFonts w:hint="default" w:ascii="Times New Roman" w:hAnsi="Times New Roman" w:eastAsia="宋体" w:cs="Times New Roman"/>
                <w:color w:val="00B050"/>
                <w:spacing w:val="0"/>
                <w:sz w:val="21"/>
                <w:szCs w:val="21"/>
                <w:highlight w:val="none"/>
                <w:lang w:val="en-US" w:eastAsia="zh-CN"/>
              </w:rPr>
            </w:pPr>
            <w:r>
              <w:rPr>
                <w:rFonts w:hint="default" w:ascii="Times New Roman" w:hAnsi="Times New Roman" w:eastAsia="宋体" w:cs="Times New Roman"/>
                <w:color w:val="00B050"/>
                <w:spacing w:val="0"/>
                <w:sz w:val="21"/>
                <w:szCs w:val="21"/>
                <w:highlight w:val="none"/>
                <w:lang w:val="en-US" w:eastAsia="zh-CN"/>
              </w:rPr>
              <w:t>0.1</w:t>
            </w:r>
            <w:r>
              <w:rPr>
                <w:rFonts w:hint="eastAsia" w:ascii="Times New Roman" w:hAnsi="Times New Roman" w:cs="Times New Roman"/>
                <w:color w:val="00B050"/>
                <w:spacing w:val="0"/>
                <w:sz w:val="21"/>
                <w:szCs w:val="21"/>
                <w:highlight w:val="none"/>
                <w:lang w:val="en-US" w:eastAsia="zh-CN"/>
              </w:rPr>
              <w:t>44</w:t>
            </w:r>
          </w:p>
        </w:tc>
      </w:tr>
      <w:tr w14:paraId="08B8B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323" w:type="pct"/>
            <w:vAlign w:val="center"/>
          </w:tcPr>
          <w:p w14:paraId="0C40FA75">
            <w:pPr>
              <w:pStyle w:val="42"/>
              <w:keepNext w:val="0"/>
              <w:keepLines w:val="0"/>
              <w:pageBreakBefore w:val="0"/>
              <w:widowControl w:val="0"/>
              <w:wordWrap/>
              <w:topLinePunct w:val="0"/>
              <w:autoSpaceDE w:val="0"/>
              <w:autoSpaceDN w:val="0"/>
              <w:bidi w:val="0"/>
              <w:adjustRightInd w:val="0"/>
              <w:spacing w:beforeLines="0" w:afterLines="0" w:line="240" w:lineRule="auto"/>
              <w:ind w:firstLine="0" w:firstLineChars="0"/>
              <w:jc w:val="center"/>
              <w:textAlignment w:val="auto"/>
              <w:rPr>
                <w:rFonts w:hint="default" w:ascii="Times New Roman" w:hAnsi="Times New Roman" w:eastAsia="宋体" w:cs="Times New Roman"/>
                <w:color w:val="00B050"/>
                <w:spacing w:val="0"/>
                <w:sz w:val="21"/>
                <w:szCs w:val="21"/>
                <w:highlight w:val="none"/>
                <w:lang w:val="en-US" w:eastAsia="zh-CN"/>
              </w:rPr>
            </w:pPr>
            <w:r>
              <w:rPr>
                <w:rFonts w:hint="default" w:ascii="Times New Roman" w:hAnsi="Times New Roman" w:eastAsia="宋体" w:cs="Times New Roman"/>
                <w:color w:val="00B050"/>
                <w:spacing w:val="0"/>
                <w:sz w:val="21"/>
                <w:szCs w:val="21"/>
                <w:highlight w:val="none"/>
                <w:lang w:val="en-US" w:eastAsia="zh-CN"/>
              </w:rPr>
              <w:t>2</w:t>
            </w:r>
          </w:p>
        </w:tc>
        <w:tc>
          <w:tcPr>
            <w:tcW w:w="1338" w:type="pct"/>
            <w:vAlign w:val="center"/>
          </w:tcPr>
          <w:p w14:paraId="3312DDEE">
            <w:pPr>
              <w:pStyle w:val="42"/>
              <w:keepNext w:val="0"/>
              <w:keepLines w:val="0"/>
              <w:pageBreakBefore w:val="0"/>
              <w:widowControl w:val="0"/>
              <w:wordWrap/>
              <w:topLinePunct w:val="0"/>
              <w:autoSpaceDE w:val="0"/>
              <w:autoSpaceDN w:val="0"/>
              <w:bidi w:val="0"/>
              <w:adjustRightInd w:val="0"/>
              <w:spacing w:beforeLines="0" w:afterLines="0" w:line="240" w:lineRule="auto"/>
              <w:ind w:firstLine="0" w:firstLineChars="0"/>
              <w:jc w:val="center"/>
              <w:textAlignment w:val="auto"/>
              <w:rPr>
                <w:rFonts w:hint="default" w:ascii="Times New Roman" w:hAnsi="Times New Roman" w:eastAsia="宋体" w:cs="Times New Roman"/>
                <w:color w:val="00B050"/>
                <w:spacing w:val="0"/>
                <w:sz w:val="21"/>
                <w:szCs w:val="21"/>
                <w:highlight w:val="none"/>
                <w:lang w:val="en-US" w:eastAsia="zh-CN"/>
              </w:rPr>
            </w:pPr>
            <w:r>
              <w:rPr>
                <w:rFonts w:hint="default" w:ascii="Times New Roman" w:hAnsi="Times New Roman" w:eastAsia="宋体" w:cs="Times New Roman"/>
                <w:color w:val="00B050"/>
                <w:spacing w:val="0"/>
                <w:sz w:val="21"/>
                <w:szCs w:val="21"/>
                <w:highlight w:val="none"/>
                <w:lang w:val="en-US" w:eastAsia="zh-CN"/>
              </w:rPr>
              <w:t>烘干废气（DA002）</w:t>
            </w:r>
          </w:p>
        </w:tc>
        <w:tc>
          <w:tcPr>
            <w:tcW w:w="595" w:type="pct"/>
            <w:vAlign w:val="center"/>
          </w:tcPr>
          <w:p w14:paraId="6BDB7345">
            <w:pPr>
              <w:pStyle w:val="42"/>
              <w:keepNext w:val="0"/>
              <w:keepLines w:val="0"/>
              <w:pageBreakBefore w:val="0"/>
              <w:widowControl w:val="0"/>
              <w:wordWrap/>
              <w:topLinePunct w:val="0"/>
              <w:autoSpaceDE w:val="0"/>
              <w:autoSpaceDN w:val="0"/>
              <w:bidi w:val="0"/>
              <w:adjustRightInd w:val="0"/>
              <w:spacing w:beforeLines="0" w:afterLines="0" w:line="240" w:lineRule="auto"/>
              <w:ind w:firstLine="0" w:firstLineChars="0"/>
              <w:jc w:val="center"/>
              <w:textAlignment w:val="auto"/>
              <w:rPr>
                <w:rFonts w:hint="default" w:ascii="Times New Roman" w:hAnsi="Times New Roman" w:eastAsia="宋体" w:cs="Times New Roman"/>
                <w:color w:val="00B050"/>
                <w:spacing w:val="0"/>
                <w:sz w:val="21"/>
                <w:szCs w:val="21"/>
                <w:highlight w:val="none"/>
              </w:rPr>
            </w:pPr>
            <w:r>
              <w:rPr>
                <w:rFonts w:hint="default" w:ascii="Times New Roman" w:hAnsi="Times New Roman" w:eastAsia="宋体" w:cs="Times New Roman"/>
                <w:color w:val="00B050"/>
                <w:spacing w:val="0"/>
                <w:sz w:val="21"/>
                <w:szCs w:val="21"/>
                <w:highlight w:val="none"/>
                <w:lang w:val="en-US" w:eastAsia="zh-CN"/>
              </w:rPr>
              <w:t>颗粒物</w:t>
            </w:r>
          </w:p>
        </w:tc>
        <w:tc>
          <w:tcPr>
            <w:tcW w:w="916" w:type="pct"/>
            <w:vAlign w:val="center"/>
          </w:tcPr>
          <w:p w14:paraId="08ECBE12">
            <w:pPr>
              <w:keepNext w:val="0"/>
              <w:keepLines w:val="0"/>
              <w:pageBreakBefore w:val="0"/>
              <w:widowControl/>
              <w:suppressLineNumbers w:val="0"/>
              <w:kinsoku/>
              <w:wordWrap/>
              <w:overflowPunct/>
              <w:topLinePunct w:val="0"/>
              <w:bidi w:val="0"/>
              <w:snapToGrid/>
              <w:spacing w:line="240" w:lineRule="auto"/>
              <w:ind w:firstLine="0" w:firstLineChars="0"/>
              <w:jc w:val="center"/>
              <w:textAlignment w:val="center"/>
              <w:rPr>
                <w:rFonts w:hint="default" w:ascii="Times New Roman" w:hAnsi="Times New Roman" w:eastAsia="宋体" w:cs="Times New Roman"/>
                <w:color w:val="00B050"/>
                <w:spacing w:val="0"/>
                <w:sz w:val="21"/>
                <w:szCs w:val="21"/>
                <w:highlight w:val="none"/>
                <w:lang w:val="en-US"/>
              </w:rPr>
            </w:pPr>
            <w:r>
              <w:rPr>
                <w:rFonts w:hint="eastAsia" w:cs="Times New Roman"/>
                <w:i w:val="0"/>
                <w:iCs w:val="0"/>
                <w:color w:val="00B050"/>
                <w:kern w:val="0"/>
                <w:sz w:val="22"/>
                <w:szCs w:val="22"/>
                <w:highlight w:val="none"/>
                <w:u w:val="none"/>
                <w:lang w:val="en-US" w:eastAsia="zh-CN" w:bidi="ar"/>
              </w:rPr>
              <w:t>11.806</w:t>
            </w:r>
            <w:r>
              <w:rPr>
                <w:rFonts w:hint="default" w:ascii="Times New Roman" w:hAnsi="Times New Roman" w:eastAsia="宋体" w:cs="Times New Roman"/>
                <w:i w:val="0"/>
                <w:iCs w:val="0"/>
                <w:color w:val="00B050"/>
                <w:kern w:val="0"/>
                <w:sz w:val="22"/>
                <w:szCs w:val="22"/>
                <w:highlight w:val="none"/>
                <w:u w:val="none"/>
                <w:lang w:val="en-US" w:eastAsia="zh-CN" w:bidi="ar"/>
              </w:rPr>
              <w:t xml:space="preserve"> </w:t>
            </w:r>
          </w:p>
        </w:tc>
        <w:tc>
          <w:tcPr>
            <w:tcW w:w="893" w:type="pct"/>
            <w:shd w:val="clear" w:color="auto" w:fill="auto"/>
            <w:vAlign w:val="center"/>
          </w:tcPr>
          <w:p w14:paraId="42FE4D02">
            <w:pPr>
              <w:keepNext w:val="0"/>
              <w:keepLines w:val="0"/>
              <w:pageBreakBefore w:val="0"/>
              <w:widowControl/>
              <w:suppressLineNumbers w:val="0"/>
              <w:kinsoku/>
              <w:wordWrap/>
              <w:overflowPunct/>
              <w:topLinePunct w:val="0"/>
              <w:bidi w:val="0"/>
              <w:snapToGrid/>
              <w:spacing w:line="240" w:lineRule="auto"/>
              <w:ind w:firstLine="0" w:firstLineChars="0"/>
              <w:jc w:val="center"/>
              <w:textAlignment w:val="center"/>
              <w:rPr>
                <w:rFonts w:hint="default" w:ascii="Times New Roman" w:hAnsi="Times New Roman" w:eastAsia="宋体" w:cs="Times New Roman"/>
                <w:color w:val="00B050"/>
                <w:spacing w:val="0"/>
                <w:sz w:val="21"/>
                <w:szCs w:val="21"/>
                <w:highlight w:val="none"/>
                <w:lang w:val="en-US"/>
              </w:rPr>
            </w:pPr>
            <w:r>
              <w:rPr>
                <w:rFonts w:hint="eastAsia" w:cs="Times New Roman"/>
                <w:i w:val="0"/>
                <w:iCs w:val="0"/>
                <w:color w:val="00B050"/>
                <w:kern w:val="0"/>
                <w:sz w:val="22"/>
                <w:szCs w:val="22"/>
                <w:highlight w:val="none"/>
                <w:u w:val="none"/>
                <w:lang w:val="en-US" w:eastAsia="zh-CN" w:bidi="ar"/>
              </w:rPr>
              <w:t>0.142</w:t>
            </w:r>
          </w:p>
        </w:tc>
        <w:tc>
          <w:tcPr>
            <w:tcW w:w="932" w:type="pct"/>
            <w:shd w:val="clear" w:color="auto" w:fill="auto"/>
            <w:vAlign w:val="center"/>
          </w:tcPr>
          <w:p w14:paraId="54AAA427">
            <w:pPr>
              <w:keepNext w:val="0"/>
              <w:keepLines w:val="0"/>
              <w:pageBreakBefore w:val="0"/>
              <w:widowControl/>
              <w:suppressLineNumbers w:val="0"/>
              <w:kinsoku/>
              <w:wordWrap/>
              <w:overflowPunct/>
              <w:topLinePunct w:val="0"/>
              <w:bidi w:val="0"/>
              <w:snapToGrid/>
              <w:spacing w:line="240" w:lineRule="auto"/>
              <w:ind w:firstLine="0" w:firstLineChars="0"/>
              <w:jc w:val="center"/>
              <w:textAlignment w:val="center"/>
              <w:rPr>
                <w:rFonts w:hint="default" w:ascii="Times New Roman" w:hAnsi="Times New Roman" w:eastAsia="宋体" w:cs="Times New Roman"/>
                <w:color w:val="00B050"/>
                <w:spacing w:val="0"/>
                <w:sz w:val="21"/>
                <w:szCs w:val="21"/>
                <w:highlight w:val="none"/>
                <w:lang w:val="en-US" w:eastAsia="zh-CN"/>
              </w:rPr>
            </w:pPr>
            <w:r>
              <w:rPr>
                <w:rFonts w:hint="eastAsia" w:cs="Times New Roman"/>
                <w:i w:val="0"/>
                <w:iCs w:val="0"/>
                <w:color w:val="00B050"/>
                <w:kern w:val="0"/>
                <w:sz w:val="22"/>
                <w:szCs w:val="22"/>
                <w:highlight w:val="none"/>
                <w:u w:val="none"/>
                <w:lang w:val="en-US" w:eastAsia="zh-CN" w:bidi="ar"/>
              </w:rPr>
              <w:t>0.680</w:t>
            </w:r>
            <w:r>
              <w:rPr>
                <w:rFonts w:hint="default" w:ascii="Times New Roman" w:hAnsi="Times New Roman" w:eastAsia="宋体" w:cs="Times New Roman"/>
                <w:i w:val="0"/>
                <w:iCs w:val="0"/>
                <w:color w:val="00B050"/>
                <w:kern w:val="0"/>
                <w:sz w:val="22"/>
                <w:szCs w:val="22"/>
                <w:highlight w:val="none"/>
                <w:u w:val="none"/>
                <w:lang w:val="en-US" w:eastAsia="zh-CN" w:bidi="ar"/>
              </w:rPr>
              <w:t xml:space="preserve"> </w:t>
            </w:r>
          </w:p>
        </w:tc>
      </w:tr>
      <w:tr w14:paraId="4806C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1662" w:type="pct"/>
            <w:gridSpan w:val="2"/>
            <w:vAlign w:val="center"/>
          </w:tcPr>
          <w:p w14:paraId="1744F61D">
            <w:pPr>
              <w:pStyle w:val="42"/>
              <w:keepNext w:val="0"/>
              <w:keepLines w:val="0"/>
              <w:pageBreakBefore w:val="0"/>
              <w:widowControl w:val="0"/>
              <w:wordWrap/>
              <w:topLinePunct w:val="0"/>
              <w:autoSpaceDE w:val="0"/>
              <w:autoSpaceDN w:val="0"/>
              <w:bidi w:val="0"/>
              <w:adjustRightInd w:val="0"/>
              <w:spacing w:beforeLines="0" w:afterLines="0" w:line="240" w:lineRule="auto"/>
              <w:ind w:firstLine="0" w:firstLineChars="0"/>
              <w:jc w:val="center"/>
              <w:textAlignment w:val="auto"/>
              <w:rPr>
                <w:rFonts w:hint="default" w:ascii="Times New Roman" w:hAnsi="Times New Roman" w:eastAsia="宋体" w:cs="Times New Roman"/>
                <w:color w:val="00B050"/>
                <w:spacing w:val="0"/>
                <w:sz w:val="21"/>
                <w:szCs w:val="21"/>
                <w:highlight w:val="none"/>
                <w:lang w:val="en-US" w:eastAsia="zh-CN"/>
              </w:rPr>
            </w:pPr>
            <w:r>
              <w:rPr>
                <w:rFonts w:hint="default" w:ascii="Times New Roman" w:hAnsi="Times New Roman" w:eastAsia="宋体" w:cs="Times New Roman"/>
                <w:color w:val="00B050"/>
                <w:spacing w:val="0"/>
                <w:sz w:val="21"/>
                <w:szCs w:val="21"/>
                <w:highlight w:val="none"/>
                <w:lang w:val="en-US" w:eastAsia="zh-CN"/>
              </w:rPr>
              <w:t>有组织排放合计</w:t>
            </w:r>
          </w:p>
        </w:tc>
        <w:tc>
          <w:tcPr>
            <w:tcW w:w="2405" w:type="pct"/>
            <w:gridSpan w:val="3"/>
            <w:vAlign w:val="center"/>
          </w:tcPr>
          <w:p w14:paraId="1A7A807D">
            <w:pPr>
              <w:pStyle w:val="42"/>
              <w:keepNext w:val="0"/>
              <w:keepLines w:val="0"/>
              <w:pageBreakBefore w:val="0"/>
              <w:widowControl w:val="0"/>
              <w:wordWrap/>
              <w:topLinePunct w:val="0"/>
              <w:autoSpaceDE w:val="0"/>
              <w:autoSpaceDN w:val="0"/>
              <w:bidi w:val="0"/>
              <w:adjustRightInd w:val="0"/>
              <w:spacing w:beforeLines="0" w:afterLines="0" w:line="240" w:lineRule="auto"/>
              <w:ind w:firstLine="0" w:firstLineChars="0"/>
              <w:jc w:val="center"/>
              <w:textAlignment w:val="auto"/>
              <w:rPr>
                <w:rFonts w:hint="default" w:ascii="Times New Roman" w:hAnsi="Times New Roman" w:eastAsia="宋体" w:cs="Times New Roman"/>
                <w:color w:val="00B050"/>
                <w:spacing w:val="0"/>
                <w:sz w:val="21"/>
                <w:szCs w:val="21"/>
                <w:highlight w:val="none"/>
                <w:lang w:val="en-US" w:eastAsia="zh-CN"/>
              </w:rPr>
            </w:pPr>
            <w:r>
              <w:rPr>
                <w:rFonts w:hint="default" w:ascii="Times New Roman" w:hAnsi="Times New Roman" w:eastAsia="宋体" w:cs="Times New Roman"/>
                <w:color w:val="00B050"/>
                <w:spacing w:val="0"/>
                <w:sz w:val="21"/>
                <w:szCs w:val="21"/>
                <w:highlight w:val="none"/>
                <w:lang w:val="en-US" w:eastAsia="zh-CN"/>
              </w:rPr>
              <w:t>颗粒物</w:t>
            </w:r>
          </w:p>
        </w:tc>
        <w:tc>
          <w:tcPr>
            <w:tcW w:w="932" w:type="pct"/>
            <w:vAlign w:val="center"/>
          </w:tcPr>
          <w:p w14:paraId="5F023D4A">
            <w:pPr>
              <w:pStyle w:val="42"/>
              <w:keepNext w:val="0"/>
              <w:keepLines w:val="0"/>
              <w:pageBreakBefore w:val="0"/>
              <w:widowControl w:val="0"/>
              <w:wordWrap/>
              <w:topLinePunct w:val="0"/>
              <w:autoSpaceDE w:val="0"/>
              <w:autoSpaceDN w:val="0"/>
              <w:bidi w:val="0"/>
              <w:adjustRightInd w:val="0"/>
              <w:spacing w:beforeLines="0" w:afterLines="0" w:line="240" w:lineRule="auto"/>
              <w:ind w:firstLine="0" w:firstLineChars="0"/>
              <w:jc w:val="center"/>
              <w:textAlignment w:val="auto"/>
              <w:rPr>
                <w:rFonts w:hint="default" w:ascii="Times New Roman" w:hAnsi="Times New Roman" w:eastAsia="宋体" w:cs="Times New Roman"/>
                <w:color w:val="00B050"/>
                <w:spacing w:val="0"/>
                <w:sz w:val="21"/>
                <w:szCs w:val="21"/>
                <w:highlight w:val="none"/>
                <w:lang w:val="en-US" w:eastAsia="zh-CN"/>
              </w:rPr>
            </w:pPr>
            <w:r>
              <w:rPr>
                <w:rFonts w:hint="eastAsia" w:ascii="Times New Roman" w:hAnsi="Times New Roman" w:cs="Times New Roman"/>
                <w:color w:val="00B050"/>
                <w:spacing w:val="0"/>
                <w:sz w:val="21"/>
                <w:szCs w:val="21"/>
                <w:highlight w:val="none"/>
                <w:lang w:val="en-US" w:eastAsia="zh-CN"/>
              </w:rPr>
              <w:t>0.824</w:t>
            </w:r>
          </w:p>
        </w:tc>
      </w:tr>
    </w:tbl>
    <w:p w14:paraId="28E9476B">
      <w:pPr>
        <w:pStyle w:val="37"/>
        <w:rPr>
          <w:rFonts w:hint="default" w:ascii="Times New Roman" w:hAnsi="Times New Roman" w:cs="Times New Roman"/>
          <w:color w:val="auto"/>
          <w:highlight w:val="none"/>
        </w:rPr>
      </w:pPr>
    </w:p>
    <w:p w14:paraId="17A20FB0">
      <w:pPr>
        <w:pStyle w:val="14"/>
        <w:kinsoku w:val="0"/>
        <w:overflowPunct w:val="0"/>
        <w:spacing w:before="6" w:beforeLines="0" w:afterLines="0"/>
        <w:ind w:left="0"/>
        <w:rPr>
          <w:rFonts w:hint="default" w:ascii="Times New Roman" w:hAnsi="Times New Roman" w:cs="Times New Roman"/>
          <w:color w:val="auto"/>
          <w:sz w:val="8"/>
          <w:szCs w:val="24"/>
          <w:highlight w:val="none"/>
        </w:rPr>
      </w:pPr>
    </w:p>
    <w:p w14:paraId="3C2AA678">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项目无组织排放量核算结果见</w:t>
      </w:r>
      <w:r>
        <w:rPr>
          <w:rFonts w:hint="default" w:ascii="Times New Roman" w:hAnsi="Times New Roman" w:cs="Times New Roman"/>
          <w:color w:val="auto"/>
          <w:sz w:val="24"/>
          <w:szCs w:val="24"/>
          <w:highlight w:val="none"/>
          <w:lang w:val="en-US" w:eastAsia="zh-CN"/>
        </w:rPr>
        <w:t>下</w:t>
      </w:r>
      <w:r>
        <w:rPr>
          <w:rFonts w:hint="default" w:ascii="Times New Roman" w:hAnsi="Times New Roman" w:cs="Times New Roman"/>
          <w:color w:val="auto"/>
          <w:sz w:val="24"/>
          <w:szCs w:val="24"/>
          <w:highlight w:val="none"/>
        </w:rPr>
        <w:t>表。</w:t>
      </w:r>
    </w:p>
    <w:p w14:paraId="5D9DE1C0">
      <w:pPr>
        <w:pStyle w:val="45"/>
        <w:bidi w:val="0"/>
        <w:rPr>
          <w:rFonts w:hint="default" w:ascii="Times New Roman" w:hAnsi="Times New Roman" w:cs="Times New Roman"/>
          <w:color w:val="auto"/>
          <w:highlight w:val="none"/>
        </w:rPr>
      </w:pPr>
    </w:p>
    <w:p w14:paraId="3CED1223">
      <w:pPr>
        <w:pStyle w:val="45"/>
        <w:bidi w:val="0"/>
        <w:rPr>
          <w:rFonts w:hint="default" w:ascii="Times New Roman" w:hAnsi="Times New Roman" w:cs="Times New Roman"/>
          <w:color w:val="auto"/>
          <w:highlight w:val="none"/>
        </w:rPr>
      </w:pPr>
    </w:p>
    <w:p w14:paraId="75A5D1D7">
      <w:pPr>
        <w:pStyle w:val="45"/>
        <w:bidi w:val="0"/>
        <w:rPr>
          <w:rFonts w:hint="default" w:ascii="Times New Roman" w:hAnsi="Times New Roman" w:cs="Times New Roman"/>
          <w:color w:val="auto"/>
          <w:highlight w:val="none"/>
        </w:rPr>
      </w:pPr>
    </w:p>
    <w:p w14:paraId="7DACF1AB">
      <w:pPr>
        <w:pStyle w:val="45"/>
        <w:bidi w:val="0"/>
        <w:rPr>
          <w:rFonts w:hint="default" w:ascii="Times New Roman" w:hAnsi="Times New Roman" w:cs="Times New Roman"/>
          <w:color w:val="auto"/>
          <w:highlight w:val="none"/>
        </w:rPr>
      </w:pPr>
    </w:p>
    <w:p w14:paraId="70B130A0">
      <w:pPr>
        <w:pStyle w:val="45"/>
        <w:bidi w:val="0"/>
        <w:rPr>
          <w:rFonts w:hint="default" w:ascii="Times New Roman" w:hAnsi="Times New Roman" w:cs="Times New Roman"/>
          <w:color w:val="auto"/>
          <w:highlight w:val="none"/>
        </w:rPr>
      </w:pPr>
    </w:p>
    <w:p w14:paraId="6B37099D">
      <w:pPr>
        <w:pStyle w:val="45"/>
        <w:bidi w:val="0"/>
        <w:rPr>
          <w:rFonts w:hint="default" w:ascii="Times New Roman" w:hAnsi="Times New Roman" w:cs="Times New Roman"/>
          <w:color w:val="auto"/>
          <w:highlight w:val="none"/>
        </w:rPr>
      </w:pPr>
    </w:p>
    <w:p w14:paraId="3DEF4DFC">
      <w:pPr>
        <w:pStyle w:val="45"/>
        <w:bidi w:val="0"/>
        <w:rPr>
          <w:rFonts w:hint="default" w:ascii="Times New Roman" w:hAnsi="Times New Roman" w:cs="Times New Roman"/>
          <w:color w:val="auto"/>
          <w:highlight w:val="none"/>
        </w:rPr>
      </w:pPr>
    </w:p>
    <w:p w14:paraId="393B77DE">
      <w:pPr>
        <w:pStyle w:val="45"/>
        <w:bidi w:val="0"/>
        <w:rPr>
          <w:rFonts w:hint="default" w:ascii="Times New Roman" w:hAnsi="Times New Roman" w:cs="Times New Roman"/>
          <w:color w:val="auto"/>
          <w:highlight w:val="none"/>
        </w:rPr>
      </w:pPr>
    </w:p>
    <w:p w14:paraId="7433C5C2">
      <w:pPr>
        <w:pStyle w:val="45"/>
        <w:bidi w:val="0"/>
        <w:rPr>
          <w:rFonts w:hint="default" w:ascii="Times New Roman" w:hAnsi="Times New Roman" w:cs="Times New Roman"/>
          <w:color w:val="auto"/>
          <w:highlight w:val="none"/>
        </w:rPr>
      </w:pPr>
    </w:p>
    <w:p w14:paraId="5C30E7F0">
      <w:pPr>
        <w:pStyle w:val="45"/>
        <w:bidi w:val="0"/>
        <w:rPr>
          <w:rFonts w:hint="default" w:ascii="Times New Roman" w:hAnsi="Times New Roman" w:cs="Times New Roman"/>
          <w:color w:val="auto"/>
          <w:highlight w:val="none"/>
        </w:rPr>
      </w:pPr>
    </w:p>
    <w:p w14:paraId="5B62A5D2">
      <w:pPr>
        <w:pStyle w:val="45"/>
        <w:bidi w:val="0"/>
        <w:rPr>
          <w:rFonts w:hint="default" w:ascii="Times New Roman" w:hAnsi="Times New Roman" w:cs="Times New Roman"/>
          <w:color w:val="auto"/>
          <w:highlight w:val="none"/>
        </w:rPr>
      </w:pPr>
    </w:p>
    <w:p w14:paraId="71F790D7">
      <w:pPr>
        <w:pStyle w:val="45"/>
        <w:bidi w:val="0"/>
        <w:rPr>
          <w:rFonts w:hint="default" w:ascii="Times New Roman" w:hAnsi="Times New Roman" w:cs="Times New Roman"/>
          <w:color w:val="auto"/>
          <w:highlight w:val="none"/>
        </w:rPr>
      </w:pPr>
    </w:p>
    <w:p w14:paraId="46D4A18A">
      <w:pPr>
        <w:pStyle w:val="45"/>
        <w:bidi w:val="0"/>
        <w:rPr>
          <w:rFonts w:hint="default" w:ascii="Times New Roman" w:hAnsi="Times New Roman" w:cs="Times New Roman"/>
          <w:color w:val="auto"/>
          <w:highlight w:val="none"/>
        </w:rPr>
      </w:pPr>
    </w:p>
    <w:p w14:paraId="4FC70AE3">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表5.2-1</w:t>
      </w:r>
      <w:r>
        <w:rPr>
          <w:rFonts w:hint="eastAsia" w:ascii="Times New Roman" w:hAnsi="Times New Roman" w:cs="Times New Roman"/>
          <w:color w:val="auto"/>
          <w:highlight w:val="none"/>
          <w:lang w:val="en-US" w:eastAsia="zh-CN"/>
        </w:rPr>
        <w:t>6</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大气污染物无组织排放量核算</w:t>
      </w:r>
      <w:bookmarkStart w:id="292" w:name="5.2.1.8大气环境影响评价自查表"/>
      <w:bookmarkEnd w:id="292"/>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6"/>
        <w:gridCol w:w="629"/>
        <w:gridCol w:w="594"/>
        <w:gridCol w:w="650"/>
        <w:gridCol w:w="2209"/>
        <w:gridCol w:w="2355"/>
        <w:gridCol w:w="1128"/>
        <w:gridCol w:w="1315"/>
      </w:tblGrid>
      <w:tr w14:paraId="1417C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 w:type="pct"/>
            <w:vMerge w:val="restart"/>
            <w:vAlign w:val="center"/>
          </w:tcPr>
          <w:p w14:paraId="0E5BCC00">
            <w:pPr>
              <w:pStyle w:val="48"/>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序号</w:t>
            </w:r>
          </w:p>
        </w:tc>
        <w:tc>
          <w:tcPr>
            <w:tcW w:w="336" w:type="pct"/>
            <w:vMerge w:val="restart"/>
            <w:vAlign w:val="center"/>
          </w:tcPr>
          <w:p w14:paraId="5C320CD0">
            <w:pPr>
              <w:pStyle w:val="48"/>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排放口编号</w:t>
            </w:r>
          </w:p>
        </w:tc>
        <w:tc>
          <w:tcPr>
            <w:tcW w:w="317" w:type="pct"/>
            <w:vMerge w:val="restart"/>
            <w:vAlign w:val="center"/>
          </w:tcPr>
          <w:p w14:paraId="11420003">
            <w:pPr>
              <w:pStyle w:val="48"/>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产污环节</w:t>
            </w:r>
          </w:p>
        </w:tc>
        <w:tc>
          <w:tcPr>
            <w:tcW w:w="345" w:type="pct"/>
            <w:vMerge w:val="restart"/>
            <w:vAlign w:val="center"/>
          </w:tcPr>
          <w:p w14:paraId="6EE9AB88">
            <w:pPr>
              <w:pStyle w:val="48"/>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污染物</w:t>
            </w:r>
          </w:p>
        </w:tc>
        <w:tc>
          <w:tcPr>
            <w:tcW w:w="1179" w:type="pct"/>
            <w:vMerge w:val="restart"/>
            <w:vAlign w:val="center"/>
          </w:tcPr>
          <w:p w14:paraId="42511636">
            <w:pPr>
              <w:pStyle w:val="48"/>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主要污染物治理措施</w:t>
            </w:r>
          </w:p>
        </w:tc>
        <w:tc>
          <w:tcPr>
            <w:tcW w:w="1859" w:type="pct"/>
            <w:gridSpan w:val="2"/>
            <w:vAlign w:val="center"/>
          </w:tcPr>
          <w:p w14:paraId="55D3761F">
            <w:pPr>
              <w:pStyle w:val="48"/>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国家或地方污染物排放标准</w:t>
            </w:r>
          </w:p>
        </w:tc>
        <w:tc>
          <w:tcPr>
            <w:tcW w:w="700" w:type="pct"/>
            <w:vMerge w:val="restart"/>
            <w:vAlign w:val="center"/>
          </w:tcPr>
          <w:p w14:paraId="0A5BA575">
            <w:pPr>
              <w:pStyle w:val="48"/>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年排放量</w:t>
            </w:r>
          </w:p>
        </w:tc>
      </w:tr>
      <w:tr w14:paraId="37E2B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 w:type="pct"/>
            <w:vMerge w:val="continue"/>
            <w:vAlign w:val="center"/>
          </w:tcPr>
          <w:p w14:paraId="0A2C17A4">
            <w:pPr>
              <w:pStyle w:val="48"/>
              <w:bidi w:val="0"/>
              <w:jc w:val="center"/>
              <w:rPr>
                <w:rFonts w:hint="default" w:ascii="Times New Roman" w:hAnsi="Times New Roman" w:cs="Times New Roman"/>
                <w:color w:val="auto"/>
                <w:sz w:val="21"/>
                <w:szCs w:val="21"/>
                <w:highlight w:val="none"/>
              </w:rPr>
            </w:pPr>
          </w:p>
        </w:tc>
        <w:tc>
          <w:tcPr>
            <w:tcW w:w="336" w:type="pct"/>
            <w:vMerge w:val="continue"/>
            <w:vAlign w:val="center"/>
          </w:tcPr>
          <w:p w14:paraId="0645AE4F">
            <w:pPr>
              <w:pStyle w:val="48"/>
              <w:bidi w:val="0"/>
              <w:jc w:val="center"/>
              <w:rPr>
                <w:rFonts w:hint="default" w:ascii="Times New Roman" w:hAnsi="Times New Roman" w:cs="Times New Roman"/>
                <w:color w:val="auto"/>
                <w:sz w:val="21"/>
                <w:szCs w:val="21"/>
                <w:highlight w:val="none"/>
              </w:rPr>
            </w:pPr>
          </w:p>
        </w:tc>
        <w:tc>
          <w:tcPr>
            <w:tcW w:w="317" w:type="pct"/>
            <w:vMerge w:val="continue"/>
            <w:vAlign w:val="center"/>
          </w:tcPr>
          <w:p w14:paraId="59A4C03B">
            <w:pPr>
              <w:pStyle w:val="48"/>
              <w:bidi w:val="0"/>
              <w:jc w:val="center"/>
              <w:rPr>
                <w:rFonts w:hint="default" w:ascii="Times New Roman" w:hAnsi="Times New Roman" w:cs="Times New Roman"/>
                <w:color w:val="auto"/>
                <w:sz w:val="21"/>
                <w:szCs w:val="21"/>
                <w:highlight w:val="none"/>
              </w:rPr>
            </w:pPr>
          </w:p>
        </w:tc>
        <w:tc>
          <w:tcPr>
            <w:tcW w:w="345" w:type="pct"/>
            <w:vMerge w:val="continue"/>
            <w:vAlign w:val="center"/>
          </w:tcPr>
          <w:p w14:paraId="24EB82E4">
            <w:pPr>
              <w:pStyle w:val="48"/>
              <w:bidi w:val="0"/>
              <w:jc w:val="center"/>
              <w:rPr>
                <w:rFonts w:hint="default" w:ascii="Times New Roman" w:hAnsi="Times New Roman" w:cs="Times New Roman"/>
                <w:color w:val="auto"/>
                <w:sz w:val="21"/>
                <w:szCs w:val="21"/>
                <w:highlight w:val="none"/>
              </w:rPr>
            </w:pPr>
          </w:p>
        </w:tc>
        <w:tc>
          <w:tcPr>
            <w:tcW w:w="1179" w:type="pct"/>
            <w:vMerge w:val="continue"/>
            <w:vAlign w:val="center"/>
          </w:tcPr>
          <w:p w14:paraId="324DC4A0">
            <w:pPr>
              <w:pStyle w:val="48"/>
              <w:bidi w:val="0"/>
              <w:jc w:val="center"/>
              <w:rPr>
                <w:rFonts w:hint="default" w:ascii="Times New Roman" w:hAnsi="Times New Roman" w:cs="Times New Roman"/>
                <w:color w:val="auto"/>
                <w:sz w:val="21"/>
                <w:szCs w:val="21"/>
                <w:highlight w:val="none"/>
              </w:rPr>
            </w:pPr>
          </w:p>
        </w:tc>
        <w:tc>
          <w:tcPr>
            <w:tcW w:w="1257" w:type="pct"/>
            <w:vAlign w:val="center"/>
          </w:tcPr>
          <w:p w14:paraId="39E94739">
            <w:pPr>
              <w:pStyle w:val="48"/>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标准名称</w:t>
            </w:r>
          </w:p>
        </w:tc>
        <w:tc>
          <w:tcPr>
            <w:tcW w:w="602" w:type="pct"/>
            <w:vAlign w:val="center"/>
          </w:tcPr>
          <w:p w14:paraId="7F90E1A4">
            <w:pPr>
              <w:pStyle w:val="48"/>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浓度限值</w:t>
            </w:r>
          </w:p>
        </w:tc>
        <w:tc>
          <w:tcPr>
            <w:tcW w:w="700" w:type="pct"/>
            <w:vMerge w:val="continue"/>
            <w:vAlign w:val="center"/>
          </w:tcPr>
          <w:p w14:paraId="51A04AC7">
            <w:pPr>
              <w:pStyle w:val="48"/>
              <w:bidi w:val="0"/>
              <w:jc w:val="center"/>
              <w:rPr>
                <w:rFonts w:hint="default" w:ascii="Times New Roman" w:hAnsi="Times New Roman" w:cs="Times New Roman"/>
                <w:color w:val="auto"/>
                <w:sz w:val="21"/>
                <w:szCs w:val="21"/>
                <w:highlight w:val="none"/>
                <w:lang w:val="en-US" w:eastAsia="zh-CN"/>
              </w:rPr>
            </w:pPr>
          </w:p>
        </w:tc>
      </w:tr>
      <w:tr w14:paraId="29982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 w:type="pct"/>
            <w:vAlign w:val="center"/>
          </w:tcPr>
          <w:p w14:paraId="6E42B9CA">
            <w:pPr>
              <w:pStyle w:val="48"/>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336" w:type="pct"/>
            <w:vAlign w:val="center"/>
          </w:tcPr>
          <w:p w14:paraId="08B56121">
            <w:pPr>
              <w:pStyle w:val="48"/>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317" w:type="pct"/>
            <w:vAlign w:val="center"/>
          </w:tcPr>
          <w:p w14:paraId="6ECB58D6">
            <w:pPr>
              <w:pStyle w:val="48"/>
              <w:spacing w:beforeLines="0" w:afterLines="0"/>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开采</w:t>
            </w:r>
          </w:p>
        </w:tc>
        <w:tc>
          <w:tcPr>
            <w:tcW w:w="345" w:type="pct"/>
            <w:vAlign w:val="center"/>
          </w:tcPr>
          <w:p w14:paraId="6A780CB8">
            <w:pPr>
              <w:pStyle w:val="48"/>
              <w:spacing w:beforeLines="0" w:afterLines="0"/>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颗粒物</w:t>
            </w:r>
          </w:p>
        </w:tc>
        <w:tc>
          <w:tcPr>
            <w:tcW w:w="1179" w:type="pct"/>
            <w:vAlign w:val="center"/>
          </w:tcPr>
          <w:p w14:paraId="5F16C637">
            <w:pPr>
              <w:pStyle w:val="48"/>
              <w:spacing w:beforeLines="0" w:afterLines="0"/>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移动雾炮除尘，分区分片开采</w:t>
            </w:r>
          </w:p>
        </w:tc>
        <w:tc>
          <w:tcPr>
            <w:tcW w:w="1257" w:type="pct"/>
            <w:vMerge w:val="restart"/>
            <w:vAlign w:val="center"/>
          </w:tcPr>
          <w:p w14:paraId="051827C1">
            <w:pPr>
              <w:pStyle w:val="48"/>
              <w:spacing w:beforeLines="0" w:afterLine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《大气污染物综合排放标准》</w:t>
            </w:r>
          </w:p>
          <w:p w14:paraId="4936F801">
            <w:pPr>
              <w:pStyle w:val="48"/>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（GB16297-1996）表2新污染源大气污染物无组织排放限值</w:t>
            </w:r>
          </w:p>
        </w:tc>
        <w:tc>
          <w:tcPr>
            <w:tcW w:w="602" w:type="pct"/>
            <w:vMerge w:val="restart"/>
            <w:vAlign w:val="center"/>
          </w:tcPr>
          <w:p w14:paraId="676572AE">
            <w:pPr>
              <w:pStyle w:val="48"/>
              <w:spacing w:beforeLines="0" w:afterLines="0"/>
              <w:ind w:firstLine="0" w:firstLineChars="0"/>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1.0mg/m</w:t>
            </w:r>
            <w:r>
              <w:rPr>
                <w:rFonts w:hint="default" w:ascii="Times New Roman" w:hAnsi="Times New Roman" w:cs="Times New Roman"/>
                <w:color w:val="auto"/>
                <w:sz w:val="21"/>
                <w:szCs w:val="21"/>
                <w:highlight w:val="none"/>
                <w:vertAlign w:val="superscript"/>
                <w:lang w:val="en-US" w:eastAsia="zh-CN"/>
              </w:rPr>
              <w:t>3</w:t>
            </w:r>
          </w:p>
        </w:tc>
        <w:tc>
          <w:tcPr>
            <w:tcW w:w="700" w:type="pct"/>
            <w:vAlign w:val="center"/>
          </w:tcPr>
          <w:p w14:paraId="1C5225EC">
            <w:pPr>
              <w:pStyle w:val="48"/>
              <w:spacing w:beforeLines="0" w:afterLines="0"/>
              <w:ind w:firstLine="0" w:firstLineChars="0"/>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9.84</w:t>
            </w:r>
            <w:r>
              <w:rPr>
                <w:rFonts w:hint="default" w:ascii="Times New Roman" w:hAnsi="Times New Roman" w:cs="Times New Roman"/>
                <w:color w:val="auto"/>
                <w:sz w:val="21"/>
                <w:szCs w:val="21"/>
                <w:highlight w:val="none"/>
                <w:lang w:val="en-US" w:eastAsia="zh-CN"/>
              </w:rPr>
              <w:t>t/a</w:t>
            </w:r>
          </w:p>
        </w:tc>
      </w:tr>
      <w:tr w14:paraId="6018B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 w:type="pct"/>
            <w:vAlign w:val="center"/>
          </w:tcPr>
          <w:p w14:paraId="75F46752">
            <w:pPr>
              <w:pStyle w:val="48"/>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c>
          <w:tcPr>
            <w:tcW w:w="336" w:type="pct"/>
            <w:vAlign w:val="center"/>
          </w:tcPr>
          <w:p w14:paraId="04490491">
            <w:pPr>
              <w:pStyle w:val="48"/>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317" w:type="pct"/>
            <w:vAlign w:val="center"/>
          </w:tcPr>
          <w:p w14:paraId="6640019A">
            <w:pPr>
              <w:pStyle w:val="48"/>
              <w:spacing w:beforeLines="0" w:afterLines="0"/>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表土堆场</w:t>
            </w:r>
          </w:p>
        </w:tc>
        <w:tc>
          <w:tcPr>
            <w:tcW w:w="345" w:type="pct"/>
            <w:vAlign w:val="center"/>
          </w:tcPr>
          <w:p w14:paraId="521F2948">
            <w:pPr>
              <w:pStyle w:val="48"/>
              <w:spacing w:beforeLines="0" w:afterLines="0"/>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颗粒物</w:t>
            </w:r>
          </w:p>
        </w:tc>
        <w:tc>
          <w:tcPr>
            <w:tcW w:w="1179" w:type="pct"/>
            <w:vAlign w:val="center"/>
          </w:tcPr>
          <w:p w14:paraId="591E90E7">
            <w:pPr>
              <w:pStyle w:val="48"/>
              <w:spacing w:beforeLines="0" w:afterLines="0"/>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定期洒水，篷布覆盖</w:t>
            </w:r>
          </w:p>
        </w:tc>
        <w:tc>
          <w:tcPr>
            <w:tcW w:w="1257" w:type="pct"/>
            <w:vMerge w:val="continue"/>
            <w:vAlign w:val="center"/>
          </w:tcPr>
          <w:p w14:paraId="18FE5AA3">
            <w:pPr>
              <w:pStyle w:val="48"/>
              <w:bidi w:val="0"/>
              <w:jc w:val="center"/>
              <w:rPr>
                <w:rFonts w:hint="default" w:ascii="Times New Roman" w:hAnsi="Times New Roman" w:cs="Times New Roman"/>
                <w:color w:val="auto"/>
                <w:sz w:val="21"/>
                <w:szCs w:val="21"/>
                <w:highlight w:val="none"/>
              </w:rPr>
            </w:pPr>
          </w:p>
        </w:tc>
        <w:tc>
          <w:tcPr>
            <w:tcW w:w="602" w:type="pct"/>
            <w:vMerge w:val="continue"/>
            <w:vAlign w:val="center"/>
          </w:tcPr>
          <w:p w14:paraId="25D9FB8F">
            <w:pPr>
              <w:pStyle w:val="48"/>
              <w:bidi w:val="0"/>
              <w:jc w:val="center"/>
              <w:rPr>
                <w:rFonts w:hint="default" w:ascii="Times New Roman" w:hAnsi="Times New Roman" w:cs="Times New Roman"/>
                <w:color w:val="auto"/>
                <w:sz w:val="21"/>
                <w:szCs w:val="21"/>
                <w:highlight w:val="none"/>
              </w:rPr>
            </w:pPr>
          </w:p>
        </w:tc>
        <w:tc>
          <w:tcPr>
            <w:tcW w:w="700" w:type="pct"/>
            <w:vAlign w:val="center"/>
          </w:tcPr>
          <w:p w14:paraId="3290DA03">
            <w:pPr>
              <w:pStyle w:val="48"/>
              <w:spacing w:beforeLines="0" w:afterLines="0"/>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0.</w:t>
            </w:r>
            <w:r>
              <w:rPr>
                <w:rFonts w:hint="eastAsia" w:ascii="Times New Roman" w:hAnsi="Times New Roman" w:cs="Times New Roman"/>
                <w:color w:val="auto"/>
                <w:sz w:val="21"/>
                <w:szCs w:val="21"/>
                <w:highlight w:val="none"/>
                <w:lang w:val="en-US" w:eastAsia="zh-CN"/>
              </w:rPr>
              <w:t>922</w:t>
            </w:r>
            <w:r>
              <w:rPr>
                <w:rFonts w:hint="default" w:ascii="Times New Roman" w:hAnsi="Times New Roman" w:cs="Times New Roman"/>
                <w:color w:val="auto"/>
                <w:sz w:val="21"/>
                <w:szCs w:val="21"/>
                <w:highlight w:val="none"/>
                <w:lang w:val="en-US" w:eastAsia="zh-CN"/>
              </w:rPr>
              <w:t>t/a</w:t>
            </w:r>
          </w:p>
        </w:tc>
      </w:tr>
      <w:tr w14:paraId="0E72D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 w:type="pct"/>
            <w:vAlign w:val="center"/>
          </w:tcPr>
          <w:p w14:paraId="423F7FD9">
            <w:pPr>
              <w:pStyle w:val="48"/>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w:t>
            </w:r>
          </w:p>
        </w:tc>
        <w:tc>
          <w:tcPr>
            <w:tcW w:w="336" w:type="pct"/>
            <w:vAlign w:val="center"/>
          </w:tcPr>
          <w:p w14:paraId="5DE5FB69">
            <w:pPr>
              <w:pStyle w:val="48"/>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317" w:type="pct"/>
            <w:vAlign w:val="center"/>
          </w:tcPr>
          <w:p w14:paraId="50C66A2D">
            <w:pPr>
              <w:pStyle w:val="48"/>
              <w:spacing w:beforeLines="0" w:afterLines="0"/>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排土场</w:t>
            </w:r>
          </w:p>
        </w:tc>
        <w:tc>
          <w:tcPr>
            <w:tcW w:w="345" w:type="pct"/>
            <w:vAlign w:val="center"/>
          </w:tcPr>
          <w:p w14:paraId="4ED60C6E">
            <w:pPr>
              <w:pStyle w:val="48"/>
              <w:spacing w:beforeLines="0" w:afterLines="0"/>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颗粒物</w:t>
            </w:r>
          </w:p>
        </w:tc>
        <w:tc>
          <w:tcPr>
            <w:tcW w:w="1179" w:type="pct"/>
            <w:vAlign w:val="center"/>
          </w:tcPr>
          <w:p w14:paraId="48F1C206">
            <w:pPr>
              <w:pStyle w:val="48"/>
              <w:spacing w:beforeLines="0" w:afterLines="0"/>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定期洒水，篷布覆盖</w:t>
            </w:r>
          </w:p>
        </w:tc>
        <w:tc>
          <w:tcPr>
            <w:tcW w:w="1257" w:type="pct"/>
            <w:vMerge w:val="continue"/>
            <w:vAlign w:val="center"/>
          </w:tcPr>
          <w:p w14:paraId="5DA33118">
            <w:pPr>
              <w:pStyle w:val="48"/>
              <w:bidi w:val="0"/>
              <w:jc w:val="center"/>
              <w:rPr>
                <w:rFonts w:hint="default" w:ascii="Times New Roman" w:hAnsi="Times New Roman" w:cs="Times New Roman"/>
                <w:color w:val="auto"/>
                <w:sz w:val="21"/>
                <w:szCs w:val="21"/>
                <w:highlight w:val="none"/>
              </w:rPr>
            </w:pPr>
          </w:p>
        </w:tc>
        <w:tc>
          <w:tcPr>
            <w:tcW w:w="602" w:type="pct"/>
            <w:vMerge w:val="continue"/>
            <w:vAlign w:val="center"/>
          </w:tcPr>
          <w:p w14:paraId="379676AE">
            <w:pPr>
              <w:pStyle w:val="48"/>
              <w:bidi w:val="0"/>
              <w:jc w:val="center"/>
              <w:rPr>
                <w:rFonts w:hint="default" w:ascii="Times New Roman" w:hAnsi="Times New Roman" w:cs="Times New Roman"/>
                <w:color w:val="auto"/>
                <w:sz w:val="21"/>
                <w:szCs w:val="21"/>
                <w:highlight w:val="none"/>
              </w:rPr>
            </w:pPr>
          </w:p>
        </w:tc>
        <w:tc>
          <w:tcPr>
            <w:tcW w:w="700" w:type="pct"/>
            <w:vAlign w:val="center"/>
          </w:tcPr>
          <w:p w14:paraId="6E82514D">
            <w:pPr>
              <w:pStyle w:val="48"/>
              <w:spacing w:beforeLines="0" w:afterLines="0"/>
              <w:ind w:firstLine="0" w:firstLineChars="0"/>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2.1958</w:t>
            </w:r>
            <w:r>
              <w:rPr>
                <w:rFonts w:hint="default" w:ascii="Times New Roman" w:hAnsi="Times New Roman" w:cs="Times New Roman"/>
                <w:color w:val="auto"/>
                <w:sz w:val="21"/>
                <w:szCs w:val="21"/>
                <w:highlight w:val="none"/>
                <w:lang w:val="en-US" w:eastAsia="zh-CN"/>
              </w:rPr>
              <w:t>t/a</w:t>
            </w:r>
          </w:p>
        </w:tc>
      </w:tr>
      <w:tr w14:paraId="467DD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 w:type="pct"/>
            <w:vAlign w:val="center"/>
          </w:tcPr>
          <w:p w14:paraId="5005294B">
            <w:pPr>
              <w:pStyle w:val="48"/>
              <w:bidi w:val="0"/>
              <w:jc w:val="center"/>
              <w:rPr>
                <w:rFonts w:hint="default" w:ascii="Times New Roman" w:hAnsi="Times New Roman" w:cs="Times New Roman"/>
                <w:color w:val="FF0000"/>
                <w:sz w:val="21"/>
                <w:szCs w:val="21"/>
                <w:highlight w:val="none"/>
                <w:lang w:val="en-US" w:eastAsia="zh-CN"/>
              </w:rPr>
            </w:pPr>
            <w:r>
              <w:rPr>
                <w:rFonts w:hint="eastAsia" w:ascii="Times New Roman" w:hAnsi="Times New Roman" w:cs="Times New Roman"/>
                <w:color w:val="FF0000"/>
                <w:sz w:val="21"/>
                <w:szCs w:val="21"/>
                <w:highlight w:val="none"/>
                <w:lang w:val="en-US" w:eastAsia="zh-CN"/>
              </w:rPr>
              <w:t>4</w:t>
            </w:r>
          </w:p>
        </w:tc>
        <w:tc>
          <w:tcPr>
            <w:tcW w:w="336" w:type="pct"/>
            <w:vAlign w:val="center"/>
          </w:tcPr>
          <w:p w14:paraId="523E88E3">
            <w:pPr>
              <w:pStyle w:val="48"/>
              <w:bidi w:val="0"/>
              <w:jc w:val="center"/>
              <w:rPr>
                <w:rFonts w:hint="default" w:ascii="Times New Roman" w:hAnsi="Times New Roman" w:cs="Times New Roman"/>
                <w:color w:val="FF0000"/>
                <w:sz w:val="21"/>
                <w:szCs w:val="21"/>
                <w:highlight w:val="none"/>
                <w:lang w:val="en-US" w:eastAsia="zh-CN"/>
              </w:rPr>
            </w:pPr>
            <w:r>
              <w:rPr>
                <w:rFonts w:hint="eastAsia" w:ascii="Times New Roman" w:hAnsi="Times New Roman" w:cs="Times New Roman"/>
                <w:color w:val="FF0000"/>
                <w:sz w:val="21"/>
                <w:szCs w:val="21"/>
                <w:highlight w:val="none"/>
                <w:lang w:val="en-US" w:eastAsia="zh-CN"/>
              </w:rPr>
              <w:t>/</w:t>
            </w:r>
          </w:p>
        </w:tc>
        <w:tc>
          <w:tcPr>
            <w:tcW w:w="317" w:type="pct"/>
            <w:vAlign w:val="center"/>
          </w:tcPr>
          <w:p w14:paraId="13AD2308">
            <w:pPr>
              <w:pStyle w:val="48"/>
              <w:spacing w:beforeLines="0" w:afterLines="0"/>
              <w:ind w:firstLine="0" w:firstLineChars="0"/>
              <w:rPr>
                <w:rFonts w:hint="default" w:ascii="Times New Roman" w:hAnsi="Times New Roman" w:cs="Times New Roman"/>
                <w:color w:val="FF0000"/>
                <w:sz w:val="21"/>
                <w:szCs w:val="21"/>
                <w:highlight w:val="none"/>
                <w:lang w:val="en-US" w:eastAsia="zh-CN"/>
              </w:rPr>
            </w:pPr>
            <w:r>
              <w:rPr>
                <w:rFonts w:hint="eastAsia" w:ascii="Times New Roman" w:hAnsi="Times New Roman" w:cs="Times New Roman"/>
                <w:color w:val="FF0000"/>
                <w:sz w:val="21"/>
                <w:szCs w:val="21"/>
                <w:highlight w:val="none"/>
                <w:lang w:val="en-US" w:eastAsia="zh-CN"/>
              </w:rPr>
              <w:t>原料堆场</w:t>
            </w:r>
          </w:p>
        </w:tc>
        <w:tc>
          <w:tcPr>
            <w:tcW w:w="345" w:type="pct"/>
            <w:vAlign w:val="center"/>
          </w:tcPr>
          <w:p w14:paraId="41217438">
            <w:pPr>
              <w:pStyle w:val="48"/>
              <w:spacing w:beforeLines="0" w:afterLines="0"/>
              <w:ind w:firstLine="0" w:firstLineChars="0"/>
              <w:rPr>
                <w:rFonts w:hint="default" w:ascii="Times New Roman" w:hAnsi="Times New Roman" w:cs="Times New Roman"/>
                <w:color w:val="FF0000"/>
                <w:sz w:val="21"/>
                <w:szCs w:val="21"/>
                <w:highlight w:val="none"/>
                <w:lang w:val="en-US" w:eastAsia="zh-CN"/>
              </w:rPr>
            </w:pPr>
            <w:r>
              <w:rPr>
                <w:rFonts w:hint="eastAsia" w:ascii="Times New Roman" w:hAnsi="Times New Roman" w:cs="Times New Roman"/>
                <w:color w:val="FF0000"/>
                <w:sz w:val="21"/>
                <w:szCs w:val="21"/>
                <w:highlight w:val="none"/>
                <w:lang w:val="en-US" w:eastAsia="zh-CN"/>
              </w:rPr>
              <w:t>颗粒物</w:t>
            </w:r>
          </w:p>
        </w:tc>
        <w:tc>
          <w:tcPr>
            <w:tcW w:w="1179" w:type="pct"/>
            <w:vAlign w:val="center"/>
          </w:tcPr>
          <w:p w14:paraId="1CADE67B">
            <w:pPr>
              <w:pStyle w:val="48"/>
              <w:spacing w:beforeLines="0" w:afterLines="0"/>
              <w:ind w:firstLine="0" w:firstLineChars="0"/>
              <w:rPr>
                <w:rFonts w:hint="default" w:ascii="Times New Roman" w:hAnsi="Times New Roman" w:cs="Times New Roman"/>
                <w:color w:val="FF0000"/>
                <w:sz w:val="21"/>
                <w:szCs w:val="21"/>
                <w:highlight w:val="none"/>
                <w:lang w:val="en-US" w:eastAsia="zh-CN"/>
              </w:rPr>
            </w:pPr>
            <w:r>
              <w:rPr>
                <w:rFonts w:hint="eastAsia" w:ascii="Times New Roman" w:hAnsi="Times New Roman" w:cs="Times New Roman"/>
                <w:color w:val="FF0000"/>
                <w:sz w:val="21"/>
                <w:szCs w:val="21"/>
                <w:highlight w:val="none"/>
                <w:lang w:val="en-US" w:eastAsia="zh-CN"/>
              </w:rPr>
              <w:t>全封闭厂房设置</w:t>
            </w:r>
          </w:p>
        </w:tc>
        <w:tc>
          <w:tcPr>
            <w:tcW w:w="1257" w:type="pct"/>
            <w:vMerge w:val="continue"/>
            <w:vAlign w:val="center"/>
          </w:tcPr>
          <w:p w14:paraId="28FD3A71">
            <w:pPr>
              <w:pStyle w:val="48"/>
              <w:bidi w:val="0"/>
              <w:jc w:val="center"/>
              <w:rPr>
                <w:rFonts w:hint="default" w:ascii="Times New Roman" w:hAnsi="Times New Roman" w:cs="Times New Roman"/>
                <w:color w:val="FF0000"/>
                <w:sz w:val="21"/>
                <w:szCs w:val="21"/>
                <w:highlight w:val="none"/>
              </w:rPr>
            </w:pPr>
          </w:p>
        </w:tc>
        <w:tc>
          <w:tcPr>
            <w:tcW w:w="602" w:type="pct"/>
            <w:vMerge w:val="continue"/>
            <w:vAlign w:val="center"/>
          </w:tcPr>
          <w:p w14:paraId="65FB5A08">
            <w:pPr>
              <w:pStyle w:val="48"/>
              <w:bidi w:val="0"/>
              <w:jc w:val="center"/>
              <w:rPr>
                <w:rFonts w:hint="default" w:ascii="Times New Roman" w:hAnsi="Times New Roman" w:cs="Times New Roman"/>
                <w:color w:val="FF0000"/>
                <w:sz w:val="21"/>
                <w:szCs w:val="21"/>
                <w:highlight w:val="none"/>
              </w:rPr>
            </w:pPr>
          </w:p>
        </w:tc>
        <w:tc>
          <w:tcPr>
            <w:tcW w:w="700" w:type="pct"/>
            <w:vAlign w:val="center"/>
          </w:tcPr>
          <w:p w14:paraId="0E47A09B">
            <w:pPr>
              <w:pStyle w:val="48"/>
              <w:spacing w:beforeLines="0" w:afterLines="0"/>
              <w:ind w:firstLine="0" w:firstLineChars="0"/>
              <w:rPr>
                <w:rFonts w:hint="default" w:ascii="Times New Roman" w:hAnsi="Times New Roman" w:cs="Times New Roman"/>
                <w:color w:val="FF0000"/>
                <w:sz w:val="21"/>
                <w:szCs w:val="21"/>
                <w:highlight w:val="none"/>
                <w:lang w:val="en-US" w:eastAsia="zh-CN"/>
              </w:rPr>
            </w:pPr>
            <w:r>
              <w:rPr>
                <w:rFonts w:hint="eastAsia" w:ascii="Times New Roman" w:hAnsi="Times New Roman" w:cs="Times New Roman"/>
                <w:color w:val="FF0000"/>
                <w:sz w:val="21"/>
                <w:szCs w:val="21"/>
                <w:highlight w:val="none"/>
                <w:lang w:val="en-US" w:eastAsia="zh-CN"/>
              </w:rPr>
              <w:t>0.26t/a</w:t>
            </w:r>
          </w:p>
        </w:tc>
      </w:tr>
      <w:tr w14:paraId="61A18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 w:type="pct"/>
            <w:vAlign w:val="center"/>
          </w:tcPr>
          <w:p w14:paraId="26211653">
            <w:pPr>
              <w:pStyle w:val="48"/>
              <w:bidi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w:t>
            </w:r>
          </w:p>
        </w:tc>
        <w:tc>
          <w:tcPr>
            <w:tcW w:w="336" w:type="pct"/>
            <w:vAlign w:val="center"/>
          </w:tcPr>
          <w:p w14:paraId="4FBE9178">
            <w:pPr>
              <w:pStyle w:val="48"/>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317" w:type="pct"/>
            <w:vAlign w:val="center"/>
          </w:tcPr>
          <w:p w14:paraId="09DD45E9">
            <w:pPr>
              <w:pStyle w:val="48"/>
              <w:spacing w:beforeLines="0" w:afterLines="0"/>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运输扬尘</w:t>
            </w:r>
          </w:p>
        </w:tc>
        <w:tc>
          <w:tcPr>
            <w:tcW w:w="345" w:type="pct"/>
            <w:vAlign w:val="center"/>
          </w:tcPr>
          <w:p w14:paraId="2B01E296">
            <w:pPr>
              <w:pStyle w:val="48"/>
              <w:spacing w:beforeLines="0" w:afterLines="0"/>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颗粒物</w:t>
            </w:r>
          </w:p>
        </w:tc>
        <w:tc>
          <w:tcPr>
            <w:tcW w:w="1179" w:type="pct"/>
            <w:vAlign w:val="center"/>
          </w:tcPr>
          <w:p w14:paraId="31767C9D">
            <w:pPr>
              <w:pStyle w:val="48"/>
              <w:spacing w:beforeLines="0" w:afterLines="0"/>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道路定期洒水，物料篷布覆盖，降低车速</w:t>
            </w:r>
          </w:p>
        </w:tc>
        <w:tc>
          <w:tcPr>
            <w:tcW w:w="1257" w:type="pct"/>
            <w:vMerge w:val="continue"/>
            <w:vAlign w:val="center"/>
          </w:tcPr>
          <w:p w14:paraId="65FE3F54">
            <w:pPr>
              <w:pStyle w:val="48"/>
              <w:bidi w:val="0"/>
              <w:jc w:val="center"/>
              <w:rPr>
                <w:rFonts w:hint="default" w:ascii="Times New Roman" w:hAnsi="Times New Roman" w:cs="Times New Roman"/>
                <w:color w:val="auto"/>
                <w:sz w:val="21"/>
                <w:szCs w:val="21"/>
                <w:highlight w:val="none"/>
              </w:rPr>
            </w:pPr>
          </w:p>
        </w:tc>
        <w:tc>
          <w:tcPr>
            <w:tcW w:w="602" w:type="pct"/>
            <w:vMerge w:val="continue"/>
            <w:vAlign w:val="center"/>
          </w:tcPr>
          <w:p w14:paraId="7EBA3393">
            <w:pPr>
              <w:pStyle w:val="48"/>
              <w:spacing w:beforeLines="0" w:afterLines="0"/>
              <w:ind w:firstLine="0" w:firstLineChars="0"/>
              <w:rPr>
                <w:rFonts w:hint="default" w:ascii="Times New Roman" w:hAnsi="Times New Roman" w:cs="Times New Roman"/>
                <w:color w:val="auto"/>
                <w:sz w:val="21"/>
                <w:szCs w:val="21"/>
                <w:highlight w:val="none"/>
              </w:rPr>
            </w:pPr>
          </w:p>
        </w:tc>
        <w:tc>
          <w:tcPr>
            <w:tcW w:w="700" w:type="pct"/>
            <w:vAlign w:val="center"/>
          </w:tcPr>
          <w:p w14:paraId="3A0EB569">
            <w:pPr>
              <w:pStyle w:val="48"/>
              <w:spacing w:beforeLines="0" w:afterLines="0"/>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1.44t/a</w:t>
            </w:r>
          </w:p>
        </w:tc>
      </w:tr>
      <w:tr w14:paraId="6FFA1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 w:type="pct"/>
            <w:vAlign w:val="center"/>
          </w:tcPr>
          <w:p w14:paraId="6403DA22">
            <w:pPr>
              <w:pStyle w:val="48"/>
              <w:bidi w:val="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w:t>
            </w:r>
          </w:p>
        </w:tc>
        <w:tc>
          <w:tcPr>
            <w:tcW w:w="336" w:type="pct"/>
            <w:vAlign w:val="center"/>
          </w:tcPr>
          <w:p w14:paraId="287B03DC">
            <w:pPr>
              <w:pStyle w:val="48"/>
              <w:bidi w:val="0"/>
              <w:jc w:val="center"/>
              <w:rPr>
                <w:rFonts w:hint="default" w:ascii="Times New Roman" w:hAnsi="Times New Roman" w:cs="Times New Roman"/>
                <w:color w:val="auto"/>
                <w:sz w:val="21"/>
                <w:szCs w:val="21"/>
                <w:highlight w:val="none"/>
                <w:lang w:val="en-US" w:eastAsia="zh-CN"/>
              </w:rPr>
            </w:pPr>
          </w:p>
        </w:tc>
        <w:tc>
          <w:tcPr>
            <w:tcW w:w="317" w:type="pct"/>
            <w:vAlign w:val="center"/>
          </w:tcPr>
          <w:p w14:paraId="206E85A5">
            <w:pPr>
              <w:pStyle w:val="48"/>
              <w:spacing w:beforeLines="0" w:afterLines="0"/>
              <w:ind w:firstLine="0" w:firstLineChars="0"/>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食堂</w:t>
            </w:r>
          </w:p>
        </w:tc>
        <w:tc>
          <w:tcPr>
            <w:tcW w:w="345" w:type="pct"/>
            <w:vAlign w:val="center"/>
          </w:tcPr>
          <w:p w14:paraId="006C251E">
            <w:pPr>
              <w:pStyle w:val="48"/>
              <w:spacing w:beforeLines="0" w:afterLines="0"/>
              <w:ind w:firstLine="0" w:firstLineChars="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油烟</w:t>
            </w:r>
          </w:p>
        </w:tc>
        <w:tc>
          <w:tcPr>
            <w:tcW w:w="1179" w:type="pct"/>
            <w:vAlign w:val="center"/>
          </w:tcPr>
          <w:p w14:paraId="109B289E">
            <w:pPr>
              <w:pStyle w:val="48"/>
              <w:spacing w:beforeLines="0" w:afterLines="0"/>
              <w:ind w:firstLine="0" w:firstLineChars="0"/>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油烟净化器</w:t>
            </w:r>
          </w:p>
        </w:tc>
        <w:tc>
          <w:tcPr>
            <w:tcW w:w="1257" w:type="pct"/>
            <w:vAlign w:val="center"/>
          </w:tcPr>
          <w:p w14:paraId="722B34B0">
            <w:pPr>
              <w:pStyle w:val="48"/>
              <w:bidi w:val="0"/>
              <w:jc w:val="center"/>
              <w:rPr>
                <w:rFonts w:hint="default" w:ascii="Times New Roman" w:hAnsi="Times New Roman" w:cs="Times New Roman"/>
                <w:color w:val="auto"/>
                <w:sz w:val="21"/>
                <w:szCs w:val="21"/>
                <w:highlight w:val="none"/>
              </w:rPr>
            </w:pPr>
            <w:r>
              <w:rPr>
                <w:rFonts w:hint="default"/>
                <w:color w:val="00B050"/>
                <w:sz w:val="24"/>
                <w:szCs w:val="24"/>
                <w:highlight w:val="none"/>
                <w:lang w:val="en-US" w:eastAsia="zh-CN"/>
              </w:rPr>
              <w:t>《饮食业油烟</w:t>
            </w:r>
            <w:r>
              <w:rPr>
                <w:rFonts w:hint="default" w:ascii="Times New Roman" w:hAnsi="Times New Roman" w:eastAsia="宋体" w:cs="Times New Roman"/>
                <w:color w:val="00B050"/>
                <w:spacing w:val="0"/>
                <w:kern w:val="2"/>
                <w:sz w:val="24"/>
                <w:szCs w:val="24"/>
                <w:highlight w:val="none"/>
                <w:lang w:val="en-US" w:eastAsia="zh-CN" w:bidi="ar-SA"/>
              </w:rPr>
              <w:t>排放标准（试行）》（GB18483-2001）</w:t>
            </w:r>
          </w:p>
        </w:tc>
        <w:tc>
          <w:tcPr>
            <w:tcW w:w="602" w:type="pct"/>
            <w:vAlign w:val="center"/>
          </w:tcPr>
          <w:p w14:paraId="36F1AE2C">
            <w:pPr>
              <w:pStyle w:val="48"/>
              <w:bidi w:val="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lang w:val="en-US" w:eastAsia="zh-CN"/>
              </w:rPr>
              <w:t>mg/m</w:t>
            </w:r>
            <w:r>
              <w:rPr>
                <w:rFonts w:hint="default" w:ascii="Times New Roman" w:hAnsi="Times New Roman" w:cs="Times New Roman"/>
                <w:color w:val="auto"/>
                <w:sz w:val="21"/>
                <w:szCs w:val="21"/>
                <w:highlight w:val="none"/>
                <w:vertAlign w:val="superscript"/>
                <w:lang w:val="en-US" w:eastAsia="zh-CN"/>
              </w:rPr>
              <w:t>3</w:t>
            </w:r>
          </w:p>
        </w:tc>
        <w:tc>
          <w:tcPr>
            <w:tcW w:w="700" w:type="pct"/>
            <w:vAlign w:val="center"/>
          </w:tcPr>
          <w:p w14:paraId="6310C0E5">
            <w:pPr>
              <w:pStyle w:val="48"/>
              <w:spacing w:beforeLines="0" w:afterLines="0"/>
              <w:ind w:firstLine="0" w:firstLineChars="0"/>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1.358kg/a</w:t>
            </w:r>
          </w:p>
        </w:tc>
      </w:tr>
      <w:tr w14:paraId="76FD6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8"/>
            <w:vAlign w:val="center"/>
          </w:tcPr>
          <w:p w14:paraId="180EE972">
            <w:pPr>
              <w:pStyle w:val="48"/>
              <w:spacing w:beforeLines="0" w:afterLines="0"/>
              <w:ind w:firstLine="0" w:firstLineChars="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无组织排放总计</w:t>
            </w:r>
          </w:p>
        </w:tc>
      </w:tr>
      <w:tr w14:paraId="6646B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pct"/>
            <w:gridSpan w:val="4"/>
            <w:vMerge w:val="restart"/>
            <w:vAlign w:val="center"/>
          </w:tcPr>
          <w:p w14:paraId="76916002">
            <w:pPr>
              <w:pStyle w:val="48"/>
              <w:spacing w:beforeLines="0" w:afterLines="0"/>
              <w:ind w:firstLine="0" w:firstLineChars="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无组织排放总计</w:t>
            </w:r>
          </w:p>
        </w:tc>
        <w:tc>
          <w:tcPr>
            <w:tcW w:w="3038" w:type="pct"/>
            <w:gridSpan w:val="3"/>
            <w:vAlign w:val="center"/>
          </w:tcPr>
          <w:p w14:paraId="1E262E60">
            <w:pPr>
              <w:pStyle w:val="48"/>
              <w:bidi w:val="0"/>
              <w:jc w:val="center"/>
              <w:rPr>
                <w:rFonts w:hint="default" w:ascii="Times New Roman" w:hAnsi="Times New Roman" w:cs="Times New Roman"/>
                <w:color w:val="FF0000"/>
                <w:sz w:val="21"/>
                <w:szCs w:val="21"/>
                <w:highlight w:val="none"/>
                <w:lang w:val="en-US" w:eastAsia="zh-CN"/>
              </w:rPr>
            </w:pPr>
            <w:r>
              <w:rPr>
                <w:rFonts w:hint="default" w:ascii="Times New Roman" w:hAnsi="Times New Roman" w:cs="Times New Roman"/>
                <w:color w:val="FF0000"/>
                <w:sz w:val="21"/>
                <w:szCs w:val="21"/>
                <w:highlight w:val="none"/>
                <w:lang w:val="en-US" w:eastAsia="zh-CN"/>
              </w:rPr>
              <w:t>颗粒物</w:t>
            </w:r>
          </w:p>
        </w:tc>
        <w:tc>
          <w:tcPr>
            <w:tcW w:w="700" w:type="pct"/>
            <w:vAlign w:val="center"/>
          </w:tcPr>
          <w:p w14:paraId="7B2005FE">
            <w:pPr>
              <w:pStyle w:val="48"/>
              <w:spacing w:beforeLines="0" w:afterLines="0"/>
              <w:ind w:firstLine="0" w:firstLineChars="0"/>
              <w:rPr>
                <w:rFonts w:hint="default" w:ascii="Times New Roman" w:hAnsi="Times New Roman" w:cs="Times New Roman"/>
                <w:color w:val="FF0000"/>
                <w:sz w:val="21"/>
                <w:szCs w:val="21"/>
                <w:highlight w:val="none"/>
                <w:lang w:val="en-US" w:eastAsia="zh-CN"/>
              </w:rPr>
            </w:pPr>
            <w:r>
              <w:rPr>
                <w:rFonts w:hint="eastAsia" w:ascii="Times New Roman" w:hAnsi="Times New Roman" w:cs="Times New Roman"/>
                <w:color w:val="FF0000"/>
                <w:sz w:val="21"/>
                <w:szCs w:val="21"/>
                <w:highlight w:val="none"/>
                <w:lang w:val="en-US" w:eastAsia="zh-CN"/>
              </w:rPr>
              <w:t>14.6578</w:t>
            </w:r>
            <w:r>
              <w:rPr>
                <w:rFonts w:hint="default" w:ascii="Times New Roman" w:hAnsi="Times New Roman" w:cs="Times New Roman"/>
                <w:color w:val="FF0000"/>
                <w:sz w:val="21"/>
                <w:szCs w:val="21"/>
                <w:highlight w:val="none"/>
                <w:lang w:val="en-US" w:eastAsia="zh-CN"/>
              </w:rPr>
              <w:t>t/a</w:t>
            </w:r>
          </w:p>
        </w:tc>
      </w:tr>
      <w:tr w14:paraId="266D9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pct"/>
            <w:gridSpan w:val="4"/>
            <w:vMerge w:val="continue"/>
            <w:vAlign w:val="center"/>
          </w:tcPr>
          <w:p w14:paraId="1241A201">
            <w:pPr>
              <w:pStyle w:val="48"/>
              <w:spacing w:beforeLines="0" w:afterLines="0"/>
              <w:ind w:firstLine="0" w:firstLineChars="0"/>
              <w:rPr>
                <w:rFonts w:hint="default" w:ascii="Times New Roman" w:hAnsi="Times New Roman" w:cs="Times New Roman"/>
                <w:color w:val="auto"/>
                <w:sz w:val="21"/>
                <w:szCs w:val="21"/>
                <w:highlight w:val="none"/>
                <w:lang w:val="en-US" w:eastAsia="zh-CN"/>
              </w:rPr>
            </w:pPr>
            <w:bookmarkStart w:id="293" w:name="_Toc26424"/>
          </w:p>
        </w:tc>
        <w:tc>
          <w:tcPr>
            <w:tcW w:w="3038" w:type="pct"/>
            <w:gridSpan w:val="3"/>
            <w:vAlign w:val="center"/>
          </w:tcPr>
          <w:p w14:paraId="13DF10D4">
            <w:pPr>
              <w:pStyle w:val="48"/>
              <w:bidi w:val="0"/>
              <w:jc w:val="center"/>
              <w:rPr>
                <w:rFonts w:hint="default" w:ascii="Times New Roman" w:hAnsi="Times New Roman" w:cs="Times New Roman"/>
                <w:color w:val="00B050"/>
                <w:sz w:val="21"/>
                <w:szCs w:val="21"/>
                <w:highlight w:val="none"/>
                <w:lang w:val="en-US" w:eastAsia="zh-CN"/>
              </w:rPr>
            </w:pPr>
            <w:r>
              <w:rPr>
                <w:rFonts w:hint="eastAsia" w:ascii="Times New Roman" w:hAnsi="Times New Roman" w:cs="Times New Roman"/>
                <w:color w:val="00B050"/>
                <w:sz w:val="21"/>
                <w:szCs w:val="21"/>
                <w:highlight w:val="none"/>
                <w:lang w:val="en-US" w:eastAsia="zh-CN"/>
              </w:rPr>
              <w:t>油烟</w:t>
            </w:r>
          </w:p>
        </w:tc>
        <w:tc>
          <w:tcPr>
            <w:tcW w:w="700" w:type="pct"/>
            <w:vAlign w:val="center"/>
          </w:tcPr>
          <w:p w14:paraId="23984CE9">
            <w:pPr>
              <w:pStyle w:val="48"/>
              <w:spacing w:beforeLines="0" w:afterLines="0"/>
              <w:ind w:firstLine="0" w:firstLineChars="0"/>
              <w:rPr>
                <w:rFonts w:hint="default" w:ascii="Times New Roman" w:hAnsi="Times New Roman" w:cs="Times New Roman"/>
                <w:color w:val="00B050"/>
                <w:sz w:val="21"/>
                <w:szCs w:val="21"/>
                <w:highlight w:val="none"/>
                <w:lang w:val="en-US" w:eastAsia="zh-CN"/>
              </w:rPr>
            </w:pPr>
            <w:r>
              <w:rPr>
                <w:rFonts w:hint="eastAsia" w:ascii="Times New Roman" w:hAnsi="Times New Roman" w:cs="Times New Roman"/>
                <w:color w:val="00B050"/>
                <w:sz w:val="21"/>
                <w:szCs w:val="21"/>
                <w:highlight w:val="none"/>
                <w:lang w:val="en-US" w:eastAsia="zh-CN"/>
              </w:rPr>
              <w:t>1.358kg/a</w:t>
            </w:r>
          </w:p>
        </w:tc>
      </w:tr>
    </w:tbl>
    <w:p w14:paraId="754041F3">
      <w:pPr>
        <w:pStyle w:val="5"/>
        <w:bidi w:val="0"/>
        <w:rPr>
          <w:rFonts w:hint="default"/>
        </w:rPr>
      </w:pPr>
      <w:r>
        <w:rPr>
          <w:rFonts w:hint="default"/>
        </w:rPr>
        <w:t>大气环境影响评价自查表</w:t>
      </w:r>
      <w:bookmarkEnd w:id="293"/>
    </w:p>
    <w:p w14:paraId="5D140B2E">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项目大气环境影响评价自查表具体情况见</w:t>
      </w:r>
      <w:r>
        <w:rPr>
          <w:rFonts w:hint="default" w:ascii="Times New Roman" w:hAnsi="Times New Roman" w:cs="Times New Roman"/>
          <w:color w:val="auto"/>
          <w:sz w:val="24"/>
          <w:szCs w:val="24"/>
          <w:highlight w:val="none"/>
          <w:lang w:val="en-US" w:eastAsia="zh-CN"/>
        </w:rPr>
        <w:t>下</w:t>
      </w:r>
      <w:r>
        <w:rPr>
          <w:rFonts w:hint="default" w:ascii="Times New Roman" w:hAnsi="Times New Roman" w:cs="Times New Roman"/>
          <w:color w:val="auto"/>
          <w:sz w:val="24"/>
          <w:szCs w:val="24"/>
          <w:highlight w:val="none"/>
        </w:rPr>
        <w:t>表。</w:t>
      </w:r>
    </w:p>
    <w:p w14:paraId="45714461">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表5.2-1</w:t>
      </w:r>
      <w:r>
        <w:rPr>
          <w:rFonts w:hint="eastAsia" w:ascii="Times New Roman" w:hAnsi="Times New Roman" w:cs="Times New Roman"/>
          <w:color w:val="auto"/>
          <w:highlight w:val="none"/>
          <w:lang w:val="en-US" w:eastAsia="zh-CN"/>
        </w:rPr>
        <w:t>7</w:t>
      </w:r>
      <w:r>
        <w:rPr>
          <w:rFonts w:hint="default" w:ascii="Times New Roman" w:hAnsi="Times New Roman" w:cs="Times New Roman"/>
          <w:color w:val="auto"/>
          <w:highlight w:val="none"/>
          <w:lang w:val="en-US" w:eastAsia="zh-CN"/>
        </w:rPr>
        <w:t xml:space="preserve">    建设项目大气环境影响评价自查表</w:t>
      </w:r>
    </w:p>
    <w:tbl>
      <w:tblPr>
        <w:tblStyle w:val="31"/>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67"/>
        <w:gridCol w:w="1616"/>
        <w:gridCol w:w="1006"/>
        <w:gridCol w:w="385"/>
        <w:gridCol w:w="288"/>
        <w:gridCol w:w="801"/>
        <w:gridCol w:w="578"/>
        <w:gridCol w:w="1000"/>
        <w:gridCol w:w="212"/>
        <w:gridCol w:w="667"/>
        <w:gridCol w:w="164"/>
        <w:gridCol w:w="349"/>
        <w:gridCol w:w="330"/>
        <w:gridCol w:w="303"/>
        <w:gridCol w:w="592"/>
      </w:tblGrid>
      <w:tr w14:paraId="5DB9F4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1359" w:type="pct"/>
            <w:gridSpan w:val="2"/>
            <w:tcBorders>
              <w:tl2br w:val="nil"/>
              <w:tr2bl w:val="nil"/>
            </w:tcBorders>
            <w:noWrap w:val="0"/>
            <w:vAlign w:val="center"/>
          </w:tcPr>
          <w:p w14:paraId="72F8C420">
            <w:pPr>
              <w:pStyle w:val="47"/>
              <w:keepNext w:val="0"/>
              <w:keepLines w:val="0"/>
              <w:pageBreakBefore w:val="0"/>
              <w:widowControl w:val="0"/>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工作内容</w:t>
            </w:r>
          </w:p>
        </w:tc>
        <w:tc>
          <w:tcPr>
            <w:tcW w:w="3640" w:type="pct"/>
            <w:gridSpan w:val="13"/>
            <w:tcBorders>
              <w:tl2br w:val="nil"/>
              <w:tr2bl w:val="nil"/>
            </w:tcBorders>
            <w:noWrap w:val="0"/>
            <w:vAlign w:val="center"/>
          </w:tcPr>
          <w:p w14:paraId="004049D7">
            <w:pPr>
              <w:pStyle w:val="47"/>
              <w:keepNext w:val="0"/>
              <w:keepLines w:val="0"/>
              <w:pageBreakBefore w:val="0"/>
              <w:widowControl w:val="0"/>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自查项目</w:t>
            </w:r>
          </w:p>
        </w:tc>
      </w:tr>
      <w:tr w14:paraId="2F9898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5" w:type="pct"/>
            <w:vMerge w:val="restart"/>
            <w:tcBorders>
              <w:tl2br w:val="nil"/>
              <w:tr2bl w:val="nil"/>
            </w:tcBorders>
            <w:noWrap w:val="0"/>
            <w:vAlign w:val="center"/>
          </w:tcPr>
          <w:p w14:paraId="1AAA1C98">
            <w:pPr>
              <w:pStyle w:val="47"/>
              <w:keepNext w:val="0"/>
              <w:keepLines w:val="0"/>
              <w:pageBreakBefore w:val="0"/>
              <w:widowControl w:val="0"/>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评价等级与范围</w:t>
            </w:r>
          </w:p>
        </w:tc>
        <w:tc>
          <w:tcPr>
            <w:tcW w:w="884" w:type="pct"/>
            <w:tcBorders>
              <w:tl2br w:val="nil"/>
              <w:tr2bl w:val="nil"/>
            </w:tcBorders>
            <w:noWrap w:val="0"/>
            <w:vAlign w:val="center"/>
          </w:tcPr>
          <w:p w14:paraId="180758BC">
            <w:pPr>
              <w:pStyle w:val="47"/>
              <w:keepNext w:val="0"/>
              <w:keepLines w:val="0"/>
              <w:pageBreakBefore w:val="0"/>
              <w:widowControl w:val="0"/>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评价等级</w:t>
            </w:r>
          </w:p>
        </w:tc>
        <w:tc>
          <w:tcPr>
            <w:tcW w:w="1361" w:type="pct"/>
            <w:gridSpan w:val="4"/>
            <w:tcBorders>
              <w:tl2br w:val="nil"/>
              <w:tr2bl w:val="nil"/>
            </w:tcBorders>
            <w:noWrap w:val="0"/>
            <w:vAlign w:val="center"/>
          </w:tcPr>
          <w:p w14:paraId="484A62FA">
            <w:pPr>
              <w:pStyle w:val="47"/>
              <w:keepNext w:val="0"/>
              <w:keepLines w:val="0"/>
              <w:pageBreakBefore w:val="0"/>
              <w:widowControl w:val="0"/>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一级□</w:t>
            </w:r>
          </w:p>
        </w:tc>
        <w:tc>
          <w:tcPr>
            <w:tcW w:w="1606" w:type="pct"/>
            <w:gridSpan w:val="6"/>
            <w:tcBorders>
              <w:tl2br w:val="nil"/>
              <w:tr2bl w:val="nil"/>
            </w:tcBorders>
            <w:noWrap w:val="0"/>
            <w:vAlign w:val="center"/>
          </w:tcPr>
          <w:p w14:paraId="02FF08BC">
            <w:pPr>
              <w:pStyle w:val="47"/>
              <w:keepNext w:val="0"/>
              <w:keepLines w:val="0"/>
              <w:pageBreakBefore w:val="0"/>
              <w:widowControl w:val="0"/>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二级</w:t>
            </w:r>
            <w:r>
              <w:rPr>
                <w:rFonts w:hint="default" w:ascii="Times New Roman" w:hAnsi="Times New Roman" w:eastAsia="宋体" w:cs="Times New Roman"/>
                <w:color w:val="auto"/>
                <w:sz w:val="21"/>
                <w:szCs w:val="21"/>
                <w:highlight w:val="none"/>
                <w:lang w:val="en-US" w:eastAsia="zh-CN"/>
              </w:rPr>
              <w:t>√</w:t>
            </w:r>
          </w:p>
        </w:tc>
        <w:tc>
          <w:tcPr>
            <w:tcW w:w="672" w:type="pct"/>
            <w:gridSpan w:val="3"/>
            <w:tcBorders>
              <w:tl2br w:val="nil"/>
              <w:tr2bl w:val="nil"/>
            </w:tcBorders>
            <w:noWrap w:val="0"/>
            <w:vAlign w:val="center"/>
          </w:tcPr>
          <w:p w14:paraId="62E1AC31">
            <w:pPr>
              <w:pStyle w:val="47"/>
              <w:keepNext w:val="0"/>
              <w:keepLines w:val="0"/>
              <w:pageBreakBefore w:val="0"/>
              <w:widowControl w:val="0"/>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三级□</w:t>
            </w:r>
          </w:p>
        </w:tc>
      </w:tr>
      <w:tr w14:paraId="0D6F4F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5" w:type="pct"/>
            <w:vMerge w:val="continue"/>
            <w:tcBorders>
              <w:tl2br w:val="nil"/>
              <w:tr2bl w:val="nil"/>
            </w:tcBorders>
            <w:noWrap w:val="0"/>
            <w:vAlign w:val="center"/>
          </w:tcPr>
          <w:p w14:paraId="16E49C6C">
            <w:pPr>
              <w:keepNext w:val="0"/>
              <w:keepLines w:val="0"/>
              <w:pageBreakBefore w:val="0"/>
              <w:widowControl w:val="0"/>
              <w:kinsoku/>
              <w:wordWrap/>
              <w:overflowPunct/>
              <w:topLinePunct w:val="0"/>
              <w:autoSpaceDE w:val="0"/>
              <w:autoSpaceDN w:val="0"/>
              <w:bidi w:val="0"/>
              <w:adjustRightInd/>
              <w:snapToGrid/>
              <w:spacing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884" w:type="pct"/>
            <w:tcBorders>
              <w:tl2br w:val="nil"/>
              <w:tr2bl w:val="nil"/>
            </w:tcBorders>
            <w:noWrap w:val="0"/>
            <w:vAlign w:val="center"/>
          </w:tcPr>
          <w:p w14:paraId="7D07EFC7">
            <w:pPr>
              <w:pStyle w:val="47"/>
              <w:keepNext w:val="0"/>
              <w:keepLines w:val="0"/>
              <w:pageBreakBefore w:val="0"/>
              <w:widowControl w:val="0"/>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评价范围</w:t>
            </w:r>
          </w:p>
        </w:tc>
        <w:tc>
          <w:tcPr>
            <w:tcW w:w="1361" w:type="pct"/>
            <w:gridSpan w:val="4"/>
            <w:tcBorders>
              <w:tl2br w:val="nil"/>
              <w:tr2bl w:val="nil"/>
            </w:tcBorders>
            <w:noWrap w:val="0"/>
            <w:vAlign w:val="center"/>
          </w:tcPr>
          <w:p w14:paraId="263C710A">
            <w:pPr>
              <w:pStyle w:val="47"/>
              <w:keepNext w:val="0"/>
              <w:keepLines w:val="0"/>
              <w:pageBreakBefore w:val="0"/>
              <w:widowControl w:val="0"/>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边长=50km□</w:t>
            </w:r>
          </w:p>
        </w:tc>
        <w:tc>
          <w:tcPr>
            <w:tcW w:w="1606" w:type="pct"/>
            <w:gridSpan w:val="6"/>
            <w:tcBorders>
              <w:tl2br w:val="nil"/>
              <w:tr2bl w:val="nil"/>
            </w:tcBorders>
            <w:noWrap w:val="0"/>
            <w:vAlign w:val="center"/>
          </w:tcPr>
          <w:p w14:paraId="1C82C2C8">
            <w:pPr>
              <w:pStyle w:val="47"/>
              <w:keepNext w:val="0"/>
              <w:keepLines w:val="0"/>
              <w:pageBreakBefore w:val="0"/>
              <w:widowControl w:val="0"/>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边长5～50km□</w:t>
            </w:r>
          </w:p>
        </w:tc>
        <w:tc>
          <w:tcPr>
            <w:tcW w:w="672" w:type="pct"/>
            <w:gridSpan w:val="3"/>
            <w:tcBorders>
              <w:tl2br w:val="nil"/>
              <w:tr2bl w:val="nil"/>
            </w:tcBorders>
            <w:noWrap w:val="0"/>
            <w:vAlign w:val="center"/>
          </w:tcPr>
          <w:p w14:paraId="56CD4C17">
            <w:pPr>
              <w:pStyle w:val="47"/>
              <w:keepNext w:val="0"/>
              <w:keepLines w:val="0"/>
              <w:pageBreakBefore w:val="0"/>
              <w:widowControl w:val="0"/>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边长=5km</w:t>
            </w:r>
            <w:r>
              <w:rPr>
                <w:rFonts w:hint="default" w:ascii="Times New Roman" w:hAnsi="Times New Roman" w:eastAsia="宋体" w:cs="Times New Roman"/>
                <w:color w:val="auto"/>
                <w:sz w:val="21"/>
                <w:szCs w:val="21"/>
                <w:highlight w:val="none"/>
                <w:lang w:val="en-US" w:eastAsia="zh-CN"/>
              </w:rPr>
              <w:t>√</w:t>
            </w:r>
          </w:p>
        </w:tc>
      </w:tr>
      <w:tr w14:paraId="210E9C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5" w:type="pct"/>
            <w:vMerge w:val="restart"/>
            <w:tcBorders>
              <w:tl2br w:val="nil"/>
              <w:tr2bl w:val="nil"/>
            </w:tcBorders>
            <w:noWrap w:val="0"/>
            <w:vAlign w:val="center"/>
          </w:tcPr>
          <w:p w14:paraId="36A5C1E2">
            <w:pPr>
              <w:pStyle w:val="47"/>
              <w:keepNext w:val="0"/>
              <w:keepLines w:val="0"/>
              <w:pageBreakBefore w:val="0"/>
              <w:widowControl w:val="0"/>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评价因子</w:t>
            </w:r>
          </w:p>
        </w:tc>
        <w:tc>
          <w:tcPr>
            <w:tcW w:w="884" w:type="pct"/>
            <w:tcBorders>
              <w:tl2br w:val="nil"/>
              <w:tr2bl w:val="nil"/>
            </w:tcBorders>
            <w:noWrap w:val="0"/>
            <w:vAlign w:val="center"/>
          </w:tcPr>
          <w:p w14:paraId="1F3A94B7">
            <w:pPr>
              <w:pStyle w:val="47"/>
              <w:keepNext w:val="0"/>
              <w:keepLines w:val="0"/>
              <w:pageBreakBefore w:val="0"/>
              <w:widowControl w:val="0"/>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position w:val="1"/>
                <w:sz w:val="21"/>
                <w:szCs w:val="21"/>
                <w:highlight w:val="none"/>
              </w:rPr>
              <w:t>SO</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 xml:space="preserve"> </w:t>
            </w:r>
            <w:r>
              <w:rPr>
                <w:rFonts w:hint="default" w:ascii="Times New Roman" w:hAnsi="Times New Roman" w:eastAsia="宋体" w:cs="Times New Roman"/>
                <w:color w:val="auto"/>
                <w:position w:val="1"/>
                <w:sz w:val="21"/>
                <w:szCs w:val="21"/>
                <w:highlight w:val="none"/>
              </w:rPr>
              <w:t>+NO</w:t>
            </w:r>
            <w:r>
              <w:rPr>
                <w:rFonts w:hint="default" w:ascii="Times New Roman" w:hAnsi="Times New Roman" w:eastAsia="宋体" w:cs="Times New Roman"/>
                <w:i/>
                <w:color w:val="auto"/>
                <w:sz w:val="21"/>
                <w:szCs w:val="21"/>
                <w:highlight w:val="none"/>
              </w:rPr>
              <w:t>x</w:t>
            </w:r>
            <w:r>
              <w:rPr>
                <w:rFonts w:hint="default" w:ascii="Times New Roman" w:hAnsi="Times New Roman" w:eastAsia="宋体" w:cs="Times New Roman"/>
                <w:color w:val="auto"/>
                <w:position w:val="1"/>
                <w:sz w:val="21"/>
                <w:szCs w:val="21"/>
                <w:highlight w:val="none"/>
              </w:rPr>
              <w:t>排放量</w:t>
            </w:r>
          </w:p>
        </w:tc>
        <w:tc>
          <w:tcPr>
            <w:tcW w:w="1361" w:type="pct"/>
            <w:gridSpan w:val="4"/>
            <w:tcBorders>
              <w:tl2br w:val="nil"/>
              <w:tr2bl w:val="nil"/>
            </w:tcBorders>
            <w:noWrap w:val="0"/>
            <w:vAlign w:val="center"/>
          </w:tcPr>
          <w:p w14:paraId="3F5A4211">
            <w:pPr>
              <w:pStyle w:val="47"/>
              <w:keepNext w:val="0"/>
              <w:keepLines w:val="0"/>
              <w:pageBreakBefore w:val="0"/>
              <w:widowControl w:val="0"/>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 2000t/a</w:t>
            </w:r>
            <w:r>
              <w:rPr>
                <w:rFonts w:hint="default" w:ascii="Times New Roman" w:hAnsi="Times New Roman" w:eastAsia="宋体" w:cs="Times New Roman"/>
                <w:color w:val="auto"/>
                <w:sz w:val="21"/>
                <w:szCs w:val="21"/>
                <w:highlight w:val="none"/>
                <w:lang w:eastAsia="zh-CN"/>
              </w:rPr>
              <w:t>□</w:t>
            </w:r>
          </w:p>
        </w:tc>
        <w:tc>
          <w:tcPr>
            <w:tcW w:w="1606" w:type="pct"/>
            <w:gridSpan w:val="6"/>
            <w:tcBorders>
              <w:tl2br w:val="nil"/>
              <w:tr2bl w:val="nil"/>
            </w:tcBorders>
            <w:noWrap w:val="0"/>
            <w:vAlign w:val="center"/>
          </w:tcPr>
          <w:p w14:paraId="599A3F3D">
            <w:pPr>
              <w:pStyle w:val="47"/>
              <w:keepNext w:val="0"/>
              <w:keepLines w:val="0"/>
              <w:pageBreakBefore w:val="0"/>
              <w:widowControl w:val="0"/>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500</w:t>
            </w:r>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2000t/a□</w:t>
            </w:r>
          </w:p>
        </w:tc>
        <w:tc>
          <w:tcPr>
            <w:tcW w:w="672" w:type="pct"/>
            <w:gridSpan w:val="3"/>
            <w:tcBorders>
              <w:tl2br w:val="nil"/>
              <w:tr2bl w:val="nil"/>
            </w:tcBorders>
            <w:noWrap w:val="0"/>
            <w:vAlign w:val="center"/>
          </w:tcPr>
          <w:p w14:paraId="44A6B37B">
            <w:pPr>
              <w:pStyle w:val="47"/>
              <w:keepNext w:val="0"/>
              <w:keepLines w:val="0"/>
              <w:pageBreakBefore w:val="0"/>
              <w:widowControl w:val="0"/>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＜500t/a</w:t>
            </w:r>
            <w:r>
              <w:rPr>
                <w:rFonts w:hint="default" w:ascii="Times New Roman" w:hAnsi="Times New Roman" w:eastAsia="宋体" w:cs="Times New Roman"/>
                <w:color w:val="auto"/>
                <w:sz w:val="21"/>
                <w:szCs w:val="21"/>
                <w:highlight w:val="none"/>
                <w:lang w:val="en-US" w:eastAsia="zh-CN"/>
              </w:rPr>
              <w:t>√</w:t>
            </w:r>
          </w:p>
        </w:tc>
      </w:tr>
      <w:tr w14:paraId="2AA20F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5" w:type="pct"/>
            <w:vMerge w:val="continue"/>
            <w:tcBorders>
              <w:tl2br w:val="nil"/>
              <w:tr2bl w:val="nil"/>
            </w:tcBorders>
            <w:noWrap w:val="0"/>
            <w:vAlign w:val="center"/>
          </w:tcPr>
          <w:p w14:paraId="2DA82571">
            <w:pPr>
              <w:keepNext w:val="0"/>
              <w:keepLines w:val="0"/>
              <w:pageBreakBefore w:val="0"/>
              <w:widowControl w:val="0"/>
              <w:kinsoku/>
              <w:wordWrap/>
              <w:overflowPunct/>
              <w:topLinePunct w:val="0"/>
              <w:autoSpaceDE w:val="0"/>
              <w:autoSpaceDN w:val="0"/>
              <w:bidi w:val="0"/>
              <w:adjustRightInd/>
              <w:snapToGrid/>
              <w:spacing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884" w:type="pct"/>
            <w:tcBorders>
              <w:tl2br w:val="nil"/>
              <w:tr2bl w:val="nil"/>
            </w:tcBorders>
            <w:noWrap w:val="0"/>
            <w:vAlign w:val="center"/>
          </w:tcPr>
          <w:p w14:paraId="4D49CFD1">
            <w:pPr>
              <w:pStyle w:val="47"/>
              <w:keepNext w:val="0"/>
              <w:keepLines w:val="0"/>
              <w:pageBreakBefore w:val="0"/>
              <w:widowControl w:val="0"/>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评价因子</w:t>
            </w:r>
          </w:p>
        </w:tc>
        <w:tc>
          <w:tcPr>
            <w:tcW w:w="2318" w:type="pct"/>
            <w:gridSpan w:val="7"/>
            <w:tcBorders>
              <w:tl2br w:val="nil"/>
              <w:tr2bl w:val="nil"/>
            </w:tcBorders>
            <w:noWrap w:val="0"/>
            <w:vAlign w:val="center"/>
          </w:tcPr>
          <w:p w14:paraId="68A6ECC6">
            <w:pPr>
              <w:pStyle w:val="47"/>
              <w:keepNext w:val="0"/>
              <w:keepLines w:val="0"/>
              <w:pageBreakBefore w:val="0"/>
              <w:widowControl w:val="0"/>
              <w:tabs>
                <w:tab w:val="left" w:pos="3078"/>
              </w:tabs>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基本污染物</w:t>
            </w:r>
            <w:r>
              <w:rPr>
                <w:rFonts w:hint="default" w:ascii="Times New Roman" w:hAnsi="Times New Roman" w:eastAsia="宋体" w:cs="Times New Roman"/>
                <w:color w:val="auto"/>
                <w:sz w:val="21"/>
                <w:szCs w:val="21"/>
                <w:highlight w:val="none"/>
                <w:vertAlign w:val="baseline"/>
                <w:lang w:eastAsia="zh-CN"/>
              </w:rPr>
              <w:t>（</w:t>
            </w:r>
            <w:r>
              <w:rPr>
                <w:rFonts w:hint="default" w:ascii="Times New Roman" w:hAnsi="Times New Roman" w:eastAsia="宋体" w:cs="Times New Roman"/>
                <w:color w:val="auto"/>
                <w:sz w:val="21"/>
                <w:szCs w:val="21"/>
                <w:highlight w:val="none"/>
                <w:vertAlign w:val="baseline"/>
                <w:lang w:val="en-US" w:eastAsia="zh-CN"/>
              </w:rPr>
              <w:t>SO</w:t>
            </w:r>
            <w:r>
              <w:rPr>
                <w:rFonts w:hint="default" w:ascii="Times New Roman" w:hAnsi="Times New Roman" w:eastAsia="宋体" w:cs="Times New Roman"/>
                <w:color w:val="auto"/>
                <w:sz w:val="21"/>
                <w:szCs w:val="21"/>
                <w:highlight w:val="none"/>
                <w:vertAlign w:val="subscript"/>
                <w:lang w:val="en-US" w:eastAsia="zh-CN"/>
              </w:rPr>
              <w:t>2</w:t>
            </w:r>
            <w:r>
              <w:rPr>
                <w:rFonts w:hint="default" w:ascii="Times New Roman" w:hAnsi="Times New Roman" w:eastAsia="宋体" w:cs="Times New Roman"/>
                <w:color w:val="auto"/>
                <w:sz w:val="21"/>
                <w:szCs w:val="21"/>
                <w:highlight w:val="none"/>
                <w:vertAlign w:val="baseline"/>
                <w:lang w:val="en-US" w:eastAsia="zh-CN"/>
              </w:rPr>
              <w:t>、NO</w:t>
            </w:r>
            <w:r>
              <w:rPr>
                <w:rFonts w:hint="default" w:ascii="Times New Roman" w:hAnsi="Times New Roman" w:eastAsia="宋体" w:cs="Times New Roman"/>
                <w:color w:val="auto"/>
                <w:sz w:val="21"/>
                <w:szCs w:val="21"/>
                <w:highlight w:val="none"/>
                <w:vertAlign w:val="subscript"/>
                <w:lang w:val="en-US" w:eastAsia="zh-CN"/>
              </w:rPr>
              <w:t>2</w:t>
            </w:r>
            <w:r>
              <w:rPr>
                <w:rFonts w:hint="default" w:ascii="Times New Roman" w:hAnsi="Times New Roman" w:eastAsia="宋体" w:cs="Times New Roman"/>
                <w:color w:val="auto"/>
                <w:sz w:val="21"/>
                <w:szCs w:val="21"/>
                <w:highlight w:val="none"/>
                <w:vertAlign w:val="baseline"/>
                <w:lang w:val="en-US" w:eastAsia="zh-CN"/>
              </w:rPr>
              <w:t>、PM</w:t>
            </w:r>
            <w:r>
              <w:rPr>
                <w:rFonts w:hint="default" w:ascii="Times New Roman" w:hAnsi="Times New Roman" w:eastAsia="宋体" w:cs="Times New Roman"/>
                <w:color w:val="auto"/>
                <w:sz w:val="21"/>
                <w:szCs w:val="21"/>
                <w:highlight w:val="none"/>
                <w:vertAlign w:val="subscript"/>
                <w:lang w:val="en-US" w:eastAsia="zh-CN"/>
              </w:rPr>
              <w:t>2.5</w:t>
            </w:r>
            <w:r>
              <w:rPr>
                <w:rFonts w:hint="default" w:ascii="Times New Roman" w:hAnsi="Times New Roman" w:eastAsia="宋体"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lang w:val="en-US" w:eastAsia="zh-CN"/>
              </w:rPr>
              <w:t>PM</w:t>
            </w:r>
            <w:r>
              <w:rPr>
                <w:rFonts w:hint="default" w:ascii="Times New Roman" w:hAnsi="Times New Roman" w:eastAsia="宋体" w:cs="Times New Roman"/>
                <w:color w:val="auto"/>
                <w:sz w:val="21"/>
                <w:szCs w:val="21"/>
                <w:highlight w:val="none"/>
                <w:vertAlign w:val="subscript"/>
                <w:lang w:val="en-US" w:eastAsia="zh-CN"/>
              </w:rPr>
              <w:t>10</w:t>
            </w:r>
            <w:r>
              <w:rPr>
                <w:rFonts w:hint="default" w:ascii="Times New Roman" w:hAnsi="Times New Roman" w:eastAsia="宋体" w:cs="Times New Roman"/>
                <w:color w:val="auto"/>
                <w:sz w:val="21"/>
                <w:szCs w:val="21"/>
                <w:highlight w:val="none"/>
                <w:vertAlign w:val="baseline"/>
                <w:lang w:val="en-US" w:eastAsia="zh-CN"/>
              </w:rPr>
              <w:t>、CO、O</w:t>
            </w:r>
            <w:r>
              <w:rPr>
                <w:rFonts w:hint="default" w:ascii="Times New Roman" w:hAnsi="Times New Roman" w:eastAsia="宋体" w:cs="Times New Roman"/>
                <w:color w:val="auto"/>
                <w:sz w:val="21"/>
                <w:szCs w:val="21"/>
                <w:highlight w:val="none"/>
                <w:vertAlign w:val="subscript"/>
                <w:lang w:val="en-US" w:eastAsia="zh-CN"/>
              </w:rPr>
              <w:t>3</w:t>
            </w:r>
            <w:r>
              <w:rPr>
                <w:rFonts w:hint="default" w:ascii="Times New Roman" w:hAnsi="Times New Roman" w:eastAsia="宋体" w:cs="Times New Roman"/>
                <w:color w:val="auto"/>
                <w:sz w:val="21"/>
                <w:szCs w:val="21"/>
                <w:highlight w:val="none"/>
                <w:lang w:eastAsia="zh-CN"/>
              </w:rPr>
              <w:t>）</w:t>
            </w:r>
          </w:p>
          <w:p w14:paraId="69F3BB66">
            <w:pPr>
              <w:pStyle w:val="47"/>
              <w:keepNext w:val="0"/>
              <w:keepLines w:val="0"/>
              <w:pageBreakBefore w:val="0"/>
              <w:widowControl w:val="0"/>
              <w:tabs>
                <w:tab w:val="left" w:pos="3078"/>
              </w:tabs>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其他污染物</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TSP</w:t>
            </w:r>
            <w:r>
              <w:rPr>
                <w:rFonts w:hint="default" w:ascii="Times New Roman" w:hAnsi="Times New Roman" w:eastAsia="宋体" w:cs="Times New Roman"/>
                <w:color w:val="auto"/>
                <w:sz w:val="21"/>
                <w:szCs w:val="21"/>
                <w:highlight w:val="none"/>
                <w:lang w:eastAsia="zh-CN"/>
              </w:rPr>
              <w:t>）</w:t>
            </w:r>
          </w:p>
        </w:tc>
        <w:tc>
          <w:tcPr>
            <w:tcW w:w="1321" w:type="pct"/>
            <w:gridSpan w:val="6"/>
            <w:tcBorders>
              <w:tl2br w:val="nil"/>
              <w:tr2bl w:val="nil"/>
            </w:tcBorders>
            <w:noWrap w:val="0"/>
            <w:vAlign w:val="center"/>
          </w:tcPr>
          <w:p w14:paraId="5DCCB63A">
            <w:pPr>
              <w:pStyle w:val="47"/>
              <w:keepNext w:val="0"/>
              <w:keepLines w:val="0"/>
              <w:pageBreakBefore w:val="0"/>
              <w:widowControl w:val="0"/>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position w:val="1"/>
                <w:sz w:val="21"/>
                <w:szCs w:val="21"/>
                <w:highlight w:val="none"/>
              </w:rPr>
              <w:t>包括二次PM</w:t>
            </w:r>
            <w:r>
              <w:rPr>
                <w:rFonts w:hint="default" w:ascii="Times New Roman" w:hAnsi="Times New Roman" w:eastAsia="宋体" w:cs="Times New Roman"/>
                <w:color w:val="auto"/>
                <w:sz w:val="21"/>
                <w:szCs w:val="21"/>
                <w:highlight w:val="none"/>
                <w:vertAlign w:val="subscript"/>
              </w:rPr>
              <w:t>2.5</w:t>
            </w:r>
            <w:r>
              <w:rPr>
                <w:rFonts w:hint="default" w:ascii="Times New Roman" w:hAnsi="Times New Roman" w:eastAsia="宋体" w:cs="Times New Roman"/>
                <w:color w:val="auto"/>
                <w:position w:val="1"/>
                <w:sz w:val="21"/>
                <w:szCs w:val="21"/>
                <w:highlight w:val="none"/>
              </w:rPr>
              <w:t>□</w:t>
            </w:r>
          </w:p>
          <w:p w14:paraId="337804BC">
            <w:pPr>
              <w:pStyle w:val="47"/>
              <w:keepNext w:val="0"/>
              <w:keepLines w:val="0"/>
              <w:pageBreakBefore w:val="0"/>
              <w:widowControl w:val="0"/>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position w:val="1"/>
                <w:sz w:val="21"/>
                <w:szCs w:val="21"/>
                <w:highlight w:val="none"/>
              </w:rPr>
              <w:t>不包括二次PM</w:t>
            </w:r>
            <w:r>
              <w:rPr>
                <w:rFonts w:hint="default" w:ascii="Times New Roman" w:hAnsi="Times New Roman" w:eastAsia="宋体" w:cs="Times New Roman"/>
                <w:color w:val="auto"/>
                <w:sz w:val="21"/>
                <w:szCs w:val="21"/>
                <w:highlight w:val="none"/>
                <w:vertAlign w:val="subscript"/>
              </w:rPr>
              <w:t>2.5</w:t>
            </w:r>
            <w:r>
              <w:rPr>
                <w:rFonts w:hint="default" w:ascii="Times New Roman" w:hAnsi="Times New Roman" w:eastAsia="宋体" w:cs="Times New Roman"/>
                <w:color w:val="auto"/>
                <w:sz w:val="21"/>
                <w:szCs w:val="21"/>
                <w:highlight w:val="none"/>
                <w:lang w:val="en-US" w:eastAsia="zh-CN"/>
              </w:rPr>
              <w:t>√</w:t>
            </w:r>
          </w:p>
        </w:tc>
      </w:tr>
      <w:tr w14:paraId="1C0248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5" w:type="pct"/>
            <w:tcBorders>
              <w:tl2br w:val="nil"/>
              <w:tr2bl w:val="nil"/>
            </w:tcBorders>
            <w:noWrap w:val="0"/>
            <w:vAlign w:val="center"/>
          </w:tcPr>
          <w:p w14:paraId="1E37DE8D">
            <w:pPr>
              <w:pStyle w:val="47"/>
              <w:keepNext w:val="0"/>
              <w:keepLines w:val="0"/>
              <w:pageBreakBefore w:val="0"/>
              <w:widowControl w:val="0"/>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评价标准</w:t>
            </w:r>
          </w:p>
        </w:tc>
        <w:tc>
          <w:tcPr>
            <w:tcW w:w="884" w:type="pct"/>
            <w:tcBorders>
              <w:tl2br w:val="nil"/>
              <w:tr2bl w:val="nil"/>
            </w:tcBorders>
            <w:noWrap w:val="0"/>
            <w:vAlign w:val="center"/>
          </w:tcPr>
          <w:p w14:paraId="77422497">
            <w:pPr>
              <w:pStyle w:val="47"/>
              <w:keepNext w:val="0"/>
              <w:keepLines w:val="0"/>
              <w:pageBreakBefore w:val="0"/>
              <w:widowControl w:val="0"/>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评价标准</w:t>
            </w:r>
          </w:p>
        </w:tc>
        <w:tc>
          <w:tcPr>
            <w:tcW w:w="1361" w:type="pct"/>
            <w:gridSpan w:val="4"/>
            <w:tcBorders>
              <w:tl2br w:val="nil"/>
              <w:tr2bl w:val="nil"/>
            </w:tcBorders>
            <w:noWrap w:val="0"/>
            <w:vAlign w:val="center"/>
          </w:tcPr>
          <w:p w14:paraId="24698243">
            <w:pPr>
              <w:pStyle w:val="47"/>
              <w:keepNext w:val="0"/>
              <w:keepLines w:val="0"/>
              <w:pageBreakBefore w:val="0"/>
              <w:widowControl w:val="0"/>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国家标准</w:t>
            </w:r>
            <w:r>
              <w:rPr>
                <w:rFonts w:hint="default" w:ascii="Times New Roman" w:hAnsi="Times New Roman" w:eastAsia="宋体" w:cs="Times New Roman"/>
                <w:color w:val="auto"/>
                <w:sz w:val="21"/>
                <w:szCs w:val="21"/>
                <w:highlight w:val="none"/>
                <w:lang w:val="en-US" w:eastAsia="zh-CN"/>
              </w:rPr>
              <w:t>√</w:t>
            </w:r>
          </w:p>
        </w:tc>
        <w:tc>
          <w:tcPr>
            <w:tcW w:w="957" w:type="pct"/>
            <w:gridSpan w:val="3"/>
            <w:tcBorders>
              <w:tl2br w:val="nil"/>
              <w:tr2bl w:val="nil"/>
            </w:tcBorders>
            <w:noWrap w:val="0"/>
            <w:vAlign w:val="center"/>
          </w:tcPr>
          <w:p w14:paraId="75E0C51F">
            <w:pPr>
              <w:pStyle w:val="47"/>
              <w:keepNext w:val="0"/>
              <w:keepLines w:val="0"/>
              <w:pageBreakBefore w:val="0"/>
              <w:widowControl w:val="0"/>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地方标准</w:t>
            </w:r>
            <w:r>
              <w:rPr>
                <w:rFonts w:hint="default" w:ascii="Times New Roman" w:hAnsi="Times New Roman" w:eastAsia="宋体" w:cs="Times New Roman"/>
                <w:color w:val="auto"/>
                <w:sz w:val="21"/>
                <w:szCs w:val="21"/>
                <w:highlight w:val="none"/>
                <w:lang w:eastAsia="zh-CN"/>
              </w:rPr>
              <w:t>□</w:t>
            </w:r>
          </w:p>
        </w:tc>
        <w:tc>
          <w:tcPr>
            <w:tcW w:w="648" w:type="pct"/>
            <w:gridSpan w:val="3"/>
            <w:tcBorders>
              <w:tl2br w:val="nil"/>
              <w:tr2bl w:val="nil"/>
            </w:tcBorders>
            <w:noWrap w:val="0"/>
            <w:vAlign w:val="center"/>
          </w:tcPr>
          <w:p w14:paraId="1CE887B4">
            <w:pPr>
              <w:pStyle w:val="47"/>
              <w:keepNext w:val="0"/>
              <w:keepLines w:val="0"/>
              <w:pageBreakBefore w:val="0"/>
              <w:widowControl w:val="0"/>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附录D</w:t>
            </w:r>
            <w:r>
              <w:rPr>
                <w:rFonts w:hint="default" w:ascii="Times New Roman" w:hAnsi="Times New Roman" w:eastAsia="宋体" w:cs="Times New Roman"/>
                <w:color w:val="auto"/>
                <w:sz w:val="21"/>
                <w:szCs w:val="21"/>
                <w:highlight w:val="none"/>
                <w:lang w:eastAsia="zh-CN"/>
              </w:rPr>
              <w:t>□</w:t>
            </w:r>
          </w:p>
        </w:tc>
        <w:tc>
          <w:tcPr>
            <w:tcW w:w="672" w:type="pct"/>
            <w:gridSpan w:val="3"/>
            <w:tcBorders>
              <w:tl2br w:val="nil"/>
              <w:tr2bl w:val="nil"/>
            </w:tcBorders>
            <w:noWrap w:val="0"/>
            <w:vAlign w:val="center"/>
          </w:tcPr>
          <w:p w14:paraId="2B9AB271">
            <w:pPr>
              <w:pStyle w:val="47"/>
              <w:keepNext w:val="0"/>
              <w:keepLines w:val="0"/>
              <w:pageBreakBefore w:val="0"/>
              <w:widowControl w:val="0"/>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 xml:space="preserve">其他标准 </w:t>
            </w:r>
            <w:r>
              <w:rPr>
                <w:rFonts w:hint="default" w:ascii="Times New Roman" w:hAnsi="Times New Roman" w:eastAsia="宋体" w:cs="Times New Roman"/>
                <w:color w:val="auto"/>
                <w:sz w:val="21"/>
                <w:szCs w:val="21"/>
                <w:highlight w:val="none"/>
                <w:lang w:eastAsia="zh-CN"/>
              </w:rPr>
              <w:t>□</w:t>
            </w:r>
          </w:p>
        </w:tc>
      </w:tr>
      <w:tr w14:paraId="1A0A77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5" w:type="pct"/>
            <w:vMerge w:val="restart"/>
            <w:tcBorders>
              <w:tl2br w:val="nil"/>
              <w:tr2bl w:val="nil"/>
            </w:tcBorders>
            <w:noWrap w:val="0"/>
            <w:vAlign w:val="center"/>
          </w:tcPr>
          <w:p w14:paraId="0C88A516">
            <w:pPr>
              <w:pStyle w:val="47"/>
              <w:keepNext w:val="0"/>
              <w:keepLines w:val="0"/>
              <w:pageBreakBefore w:val="0"/>
              <w:widowControl w:val="0"/>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现状评价</w:t>
            </w:r>
          </w:p>
        </w:tc>
        <w:tc>
          <w:tcPr>
            <w:tcW w:w="884" w:type="pct"/>
            <w:tcBorders>
              <w:tl2br w:val="nil"/>
              <w:tr2bl w:val="nil"/>
            </w:tcBorders>
            <w:noWrap w:val="0"/>
            <w:vAlign w:val="center"/>
          </w:tcPr>
          <w:p w14:paraId="30F915F3">
            <w:pPr>
              <w:pStyle w:val="47"/>
              <w:keepNext w:val="0"/>
              <w:keepLines w:val="0"/>
              <w:pageBreakBefore w:val="0"/>
              <w:widowControl w:val="0"/>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环境功能区</w:t>
            </w:r>
          </w:p>
        </w:tc>
        <w:tc>
          <w:tcPr>
            <w:tcW w:w="1361" w:type="pct"/>
            <w:gridSpan w:val="4"/>
            <w:tcBorders>
              <w:tl2br w:val="nil"/>
              <w:tr2bl w:val="nil"/>
            </w:tcBorders>
            <w:noWrap w:val="0"/>
            <w:vAlign w:val="center"/>
          </w:tcPr>
          <w:p w14:paraId="036B1B15">
            <w:pPr>
              <w:pStyle w:val="47"/>
              <w:keepNext w:val="0"/>
              <w:keepLines w:val="0"/>
              <w:pageBreakBefore w:val="0"/>
              <w:widowControl w:val="0"/>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一类区□</w:t>
            </w:r>
          </w:p>
        </w:tc>
        <w:tc>
          <w:tcPr>
            <w:tcW w:w="1606" w:type="pct"/>
            <w:gridSpan w:val="6"/>
            <w:tcBorders>
              <w:tl2br w:val="nil"/>
              <w:tr2bl w:val="nil"/>
            </w:tcBorders>
            <w:noWrap w:val="0"/>
            <w:vAlign w:val="center"/>
          </w:tcPr>
          <w:p w14:paraId="73C166F6">
            <w:pPr>
              <w:pStyle w:val="47"/>
              <w:keepNext w:val="0"/>
              <w:keepLines w:val="0"/>
              <w:pageBreakBefore w:val="0"/>
              <w:widowControl w:val="0"/>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二类区</w:t>
            </w:r>
            <w:r>
              <w:rPr>
                <w:rFonts w:hint="default" w:ascii="Times New Roman" w:hAnsi="Times New Roman" w:eastAsia="宋体" w:cs="Times New Roman"/>
                <w:color w:val="auto"/>
                <w:sz w:val="21"/>
                <w:szCs w:val="21"/>
                <w:highlight w:val="none"/>
                <w:lang w:val="en-US" w:eastAsia="zh-CN"/>
              </w:rPr>
              <w:t>√</w:t>
            </w:r>
          </w:p>
        </w:tc>
        <w:tc>
          <w:tcPr>
            <w:tcW w:w="672" w:type="pct"/>
            <w:gridSpan w:val="3"/>
            <w:tcBorders>
              <w:tl2br w:val="nil"/>
              <w:tr2bl w:val="nil"/>
            </w:tcBorders>
            <w:noWrap w:val="0"/>
            <w:vAlign w:val="center"/>
          </w:tcPr>
          <w:p w14:paraId="2A00DAB8">
            <w:pPr>
              <w:pStyle w:val="47"/>
              <w:keepNext w:val="0"/>
              <w:keepLines w:val="0"/>
              <w:pageBreakBefore w:val="0"/>
              <w:widowControl w:val="0"/>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一类区和二类区□</w:t>
            </w:r>
          </w:p>
        </w:tc>
      </w:tr>
      <w:tr w14:paraId="6547C7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5" w:type="pct"/>
            <w:vMerge w:val="continue"/>
            <w:tcBorders>
              <w:tl2br w:val="nil"/>
              <w:tr2bl w:val="nil"/>
            </w:tcBorders>
            <w:noWrap w:val="0"/>
            <w:vAlign w:val="center"/>
          </w:tcPr>
          <w:p w14:paraId="3103D6EA">
            <w:pPr>
              <w:keepNext w:val="0"/>
              <w:keepLines w:val="0"/>
              <w:pageBreakBefore w:val="0"/>
              <w:widowControl w:val="0"/>
              <w:kinsoku/>
              <w:wordWrap/>
              <w:overflowPunct/>
              <w:topLinePunct w:val="0"/>
              <w:autoSpaceDE w:val="0"/>
              <w:autoSpaceDN w:val="0"/>
              <w:bidi w:val="0"/>
              <w:adjustRightInd/>
              <w:snapToGrid/>
              <w:spacing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884" w:type="pct"/>
            <w:tcBorders>
              <w:tl2br w:val="nil"/>
              <w:tr2bl w:val="nil"/>
            </w:tcBorders>
            <w:noWrap w:val="0"/>
            <w:vAlign w:val="center"/>
          </w:tcPr>
          <w:p w14:paraId="7D9D3C92">
            <w:pPr>
              <w:pStyle w:val="47"/>
              <w:keepNext w:val="0"/>
              <w:keepLines w:val="0"/>
              <w:pageBreakBefore w:val="0"/>
              <w:widowControl w:val="0"/>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评价基准年</w:t>
            </w:r>
          </w:p>
        </w:tc>
        <w:tc>
          <w:tcPr>
            <w:tcW w:w="3640" w:type="pct"/>
            <w:gridSpan w:val="13"/>
            <w:tcBorders>
              <w:tl2br w:val="nil"/>
              <w:tr2bl w:val="nil"/>
            </w:tcBorders>
            <w:noWrap w:val="0"/>
            <w:vAlign w:val="center"/>
          </w:tcPr>
          <w:p w14:paraId="48159A6B">
            <w:pPr>
              <w:pStyle w:val="47"/>
              <w:keepNext w:val="0"/>
              <w:keepLines w:val="0"/>
              <w:pageBreakBefore w:val="0"/>
              <w:widowControl w:val="0"/>
              <w:tabs>
                <w:tab w:val="left" w:pos="658"/>
              </w:tabs>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202</w:t>
            </w:r>
            <w:r>
              <w:rPr>
                <w:rFonts w:hint="default" w:ascii="Times New Roman" w:hAnsi="Times New Roman"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）年</w:t>
            </w:r>
          </w:p>
        </w:tc>
      </w:tr>
      <w:tr w14:paraId="2D7300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5" w:type="pct"/>
            <w:vMerge w:val="continue"/>
            <w:tcBorders>
              <w:tl2br w:val="nil"/>
              <w:tr2bl w:val="nil"/>
            </w:tcBorders>
            <w:noWrap w:val="0"/>
            <w:vAlign w:val="center"/>
          </w:tcPr>
          <w:p w14:paraId="31C7A38F">
            <w:pPr>
              <w:keepNext w:val="0"/>
              <w:keepLines w:val="0"/>
              <w:pageBreakBefore w:val="0"/>
              <w:widowControl w:val="0"/>
              <w:kinsoku/>
              <w:wordWrap/>
              <w:overflowPunct/>
              <w:topLinePunct w:val="0"/>
              <w:autoSpaceDE w:val="0"/>
              <w:autoSpaceDN w:val="0"/>
              <w:bidi w:val="0"/>
              <w:adjustRightInd/>
              <w:snapToGrid/>
              <w:spacing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884" w:type="pct"/>
            <w:tcBorders>
              <w:tl2br w:val="nil"/>
              <w:tr2bl w:val="nil"/>
            </w:tcBorders>
            <w:noWrap w:val="0"/>
            <w:vAlign w:val="center"/>
          </w:tcPr>
          <w:p w14:paraId="21F77A1D">
            <w:pPr>
              <w:pStyle w:val="47"/>
              <w:keepNext w:val="0"/>
              <w:keepLines w:val="0"/>
              <w:pageBreakBefore w:val="0"/>
              <w:widowControl w:val="0"/>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环境空气质量现状调查数据来源</w:t>
            </w:r>
          </w:p>
        </w:tc>
        <w:tc>
          <w:tcPr>
            <w:tcW w:w="1361" w:type="pct"/>
            <w:gridSpan w:val="4"/>
            <w:tcBorders>
              <w:tl2br w:val="nil"/>
              <w:tr2bl w:val="nil"/>
            </w:tcBorders>
            <w:noWrap w:val="0"/>
            <w:vAlign w:val="center"/>
          </w:tcPr>
          <w:p w14:paraId="2F62C96A">
            <w:pPr>
              <w:pStyle w:val="47"/>
              <w:keepNext w:val="0"/>
              <w:keepLines w:val="0"/>
              <w:pageBreakBefore w:val="0"/>
              <w:widowControl w:val="0"/>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长期例行监测数据□</w:t>
            </w:r>
          </w:p>
        </w:tc>
        <w:tc>
          <w:tcPr>
            <w:tcW w:w="1606" w:type="pct"/>
            <w:gridSpan w:val="6"/>
            <w:tcBorders>
              <w:tl2br w:val="nil"/>
              <w:tr2bl w:val="nil"/>
            </w:tcBorders>
            <w:noWrap w:val="0"/>
            <w:vAlign w:val="center"/>
          </w:tcPr>
          <w:p w14:paraId="3175C86A">
            <w:pPr>
              <w:pStyle w:val="47"/>
              <w:keepNext w:val="0"/>
              <w:keepLines w:val="0"/>
              <w:pageBreakBefore w:val="0"/>
              <w:widowControl w:val="0"/>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主管部门发布的数据</w:t>
            </w:r>
            <w:r>
              <w:rPr>
                <w:rFonts w:hint="default" w:ascii="Times New Roman" w:hAnsi="Times New Roman" w:eastAsia="宋体" w:cs="Times New Roman"/>
                <w:color w:val="auto"/>
                <w:sz w:val="21"/>
                <w:szCs w:val="21"/>
                <w:highlight w:val="none"/>
                <w:lang w:val="en-US" w:eastAsia="zh-CN"/>
              </w:rPr>
              <w:t>√</w:t>
            </w:r>
          </w:p>
        </w:tc>
        <w:tc>
          <w:tcPr>
            <w:tcW w:w="672" w:type="pct"/>
            <w:gridSpan w:val="3"/>
            <w:tcBorders>
              <w:tl2br w:val="nil"/>
              <w:tr2bl w:val="nil"/>
            </w:tcBorders>
            <w:noWrap w:val="0"/>
            <w:vAlign w:val="center"/>
          </w:tcPr>
          <w:p w14:paraId="514F8BC7">
            <w:pPr>
              <w:pStyle w:val="47"/>
              <w:keepNext w:val="0"/>
              <w:keepLines w:val="0"/>
              <w:pageBreakBefore w:val="0"/>
              <w:widowControl w:val="0"/>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现状补充监测</w:t>
            </w:r>
            <w:r>
              <w:rPr>
                <w:rFonts w:hint="default" w:ascii="Times New Roman" w:hAnsi="Times New Roman" w:eastAsia="宋体" w:cs="Times New Roman"/>
                <w:color w:val="auto"/>
                <w:sz w:val="21"/>
                <w:szCs w:val="21"/>
                <w:highlight w:val="none"/>
                <w:lang w:val="en-US" w:eastAsia="zh-CN"/>
              </w:rPr>
              <w:t>√</w:t>
            </w:r>
          </w:p>
        </w:tc>
      </w:tr>
      <w:tr w14:paraId="42512A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5" w:type="pct"/>
            <w:vMerge w:val="continue"/>
            <w:tcBorders>
              <w:tl2br w:val="nil"/>
              <w:tr2bl w:val="nil"/>
            </w:tcBorders>
            <w:noWrap w:val="0"/>
            <w:vAlign w:val="center"/>
          </w:tcPr>
          <w:p w14:paraId="66C3B24F">
            <w:pPr>
              <w:keepNext w:val="0"/>
              <w:keepLines w:val="0"/>
              <w:pageBreakBefore w:val="0"/>
              <w:widowControl w:val="0"/>
              <w:kinsoku/>
              <w:wordWrap/>
              <w:overflowPunct/>
              <w:topLinePunct w:val="0"/>
              <w:autoSpaceDE w:val="0"/>
              <w:autoSpaceDN w:val="0"/>
              <w:bidi w:val="0"/>
              <w:adjustRightInd/>
              <w:snapToGrid/>
              <w:spacing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884" w:type="pct"/>
            <w:tcBorders>
              <w:tl2br w:val="nil"/>
              <w:tr2bl w:val="nil"/>
            </w:tcBorders>
            <w:noWrap w:val="0"/>
            <w:vAlign w:val="center"/>
          </w:tcPr>
          <w:p w14:paraId="52A547BA">
            <w:pPr>
              <w:pStyle w:val="47"/>
              <w:keepNext w:val="0"/>
              <w:keepLines w:val="0"/>
              <w:pageBreakBefore w:val="0"/>
              <w:widowControl w:val="0"/>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现状评价</w:t>
            </w:r>
          </w:p>
        </w:tc>
        <w:tc>
          <w:tcPr>
            <w:tcW w:w="2318" w:type="pct"/>
            <w:gridSpan w:val="7"/>
            <w:tcBorders>
              <w:tl2br w:val="nil"/>
              <w:tr2bl w:val="nil"/>
            </w:tcBorders>
            <w:noWrap w:val="0"/>
            <w:vAlign w:val="center"/>
          </w:tcPr>
          <w:p w14:paraId="51ECA58E">
            <w:pPr>
              <w:pStyle w:val="47"/>
              <w:keepNext w:val="0"/>
              <w:keepLines w:val="0"/>
              <w:pageBreakBefore w:val="0"/>
              <w:widowControl w:val="0"/>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达标区□</w:t>
            </w:r>
          </w:p>
        </w:tc>
        <w:tc>
          <w:tcPr>
            <w:tcW w:w="1321" w:type="pct"/>
            <w:gridSpan w:val="6"/>
            <w:tcBorders>
              <w:tl2br w:val="nil"/>
              <w:tr2bl w:val="nil"/>
            </w:tcBorders>
            <w:noWrap w:val="0"/>
            <w:vAlign w:val="center"/>
          </w:tcPr>
          <w:p w14:paraId="473098B7">
            <w:pPr>
              <w:pStyle w:val="47"/>
              <w:keepNext w:val="0"/>
              <w:keepLines w:val="0"/>
              <w:pageBreakBefore w:val="0"/>
              <w:widowControl w:val="0"/>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不达标区</w:t>
            </w:r>
            <w:r>
              <w:rPr>
                <w:rFonts w:hint="default" w:ascii="Times New Roman" w:hAnsi="Times New Roman" w:eastAsia="宋体" w:cs="Times New Roman"/>
                <w:color w:val="auto"/>
                <w:sz w:val="21"/>
                <w:szCs w:val="21"/>
                <w:highlight w:val="none"/>
                <w:lang w:val="en-US" w:eastAsia="zh-CN"/>
              </w:rPr>
              <w:t>√</w:t>
            </w:r>
          </w:p>
        </w:tc>
      </w:tr>
      <w:tr w14:paraId="70A4C3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5" w:type="pct"/>
            <w:tcBorders>
              <w:tl2br w:val="nil"/>
              <w:tr2bl w:val="nil"/>
            </w:tcBorders>
            <w:noWrap w:val="0"/>
            <w:vAlign w:val="center"/>
          </w:tcPr>
          <w:p w14:paraId="1D1618A8">
            <w:pPr>
              <w:pStyle w:val="47"/>
              <w:keepNext w:val="0"/>
              <w:keepLines w:val="0"/>
              <w:pageBreakBefore w:val="0"/>
              <w:widowControl w:val="0"/>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污染源调查</w:t>
            </w:r>
          </w:p>
        </w:tc>
        <w:tc>
          <w:tcPr>
            <w:tcW w:w="884" w:type="pct"/>
            <w:tcBorders>
              <w:tl2br w:val="nil"/>
              <w:tr2bl w:val="nil"/>
            </w:tcBorders>
            <w:noWrap w:val="0"/>
            <w:vAlign w:val="center"/>
          </w:tcPr>
          <w:p w14:paraId="3295BDE8">
            <w:pPr>
              <w:pStyle w:val="47"/>
              <w:keepNext w:val="0"/>
              <w:keepLines w:val="0"/>
              <w:pageBreakBefore w:val="0"/>
              <w:widowControl w:val="0"/>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调查内容</w:t>
            </w:r>
          </w:p>
        </w:tc>
        <w:tc>
          <w:tcPr>
            <w:tcW w:w="1361" w:type="pct"/>
            <w:gridSpan w:val="4"/>
            <w:tcBorders>
              <w:tl2br w:val="nil"/>
              <w:tr2bl w:val="nil"/>
            </w:tcBorders>
            <w:noWrap w:val="0"/>
            <w:vAlign w:val="center"/>
          </w:tcPr>
          <w:p w14:paraId="63A2A0C3">
            <w:pPr>
              <w:pStyle w:val="47"/>
              <w:keepNext w:val="0"/>
              <w:keepLines w:val="0"/>
              <w:pageBreakBefore w:val="0"/>
              <w:widowControl w:val="0"/>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本工程</w:t>
            </w:r>
            <w:r>
              <w:rPr>
                <w:rFonts w:hint="default" w:ascii="Times New Roman" w:hAnsi="Times New Roman" w:eastAsia="宋体" w:cs="Times New Roman"/>
                <w:color w:val="auto"/>
                <w:sz w:val="21"/>
                <w:szCs w:val="21"/>
                <w:highlight w:val="none"/>
              </w:rPr>
              <w:t>正常排放源</w:t>
            </w:r>
            <w:r>
              <w:rPr>
                <w:rFonts w:hint="default" w:ascii="Times New Roman" w:hAnsi="Times New Roman" w:eastAsia="宋体" w:cs="Times New Roman"/>
                <w:color w:val="auto"/>
                <w:sz w:val="21"/>
                <w:szCs w:val="21"/>
                <w:highlight w:val="none"/>
                <w:lang w:val="en-US" w:eastAsia="zh-CN"/>
              </w:rPr>
              <w:t>√</w:t>
            </w:r>
          </w:p>
          <w:p w14:paraId="2310A55A">
            <w:pPr>
              <w:pStyle w:val="47"/>
              <w:keepNext w:val="0"/>
              <w:keepLines w:val="0"/>
              <w:pageBreakBefore w:val="0"/>
              <w:widowControl w:val="0"/>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本工程</w:t>
            </w:r>
            <w:r>
              <w:rPr>
                <w:rFonts w:hint="default" w:ascii="Times New Roman" w:hAnsi="Times New Roman" w:eastAsia="宋体" w:cs="Times New Roman"/>
                <w:color w:val="auto"/>
                <w:sz w:val="21"/>
                <w:szCs w:val="21"/>
                <w:highlight w:val="none"/>
              </w:rPr>
              <w:t>非正常排放源</w:t>
            </w:r>
            <w:r>
              <w:rPr>
                <w:rFonts w:hint="default" w:ascii="Times New Roman" w:hAnsi="Times New Roman" w:eastAsia="宋体" w:cs="Times New Roman"/>
                <w:color w:val="auto"/>
                <w:sz w:val="21"/>
                <w:szCs w:val="21"/>
                <w:highlight w:val="none"/>
                <w:lang w:val="en-US" w:eastAsia="zh-CN"/>
              </w:rPr>
              <w:t>√</w:t>
            </w:r>
          </w:p>
          <w:p w14:paraId="177CA411">
            <w:pPr>
              <w:pStyle w:val="47"/>
              <w:keepNext w:val="0"/>
              <w:keepLines w:val="0"/>
              <w:pageBreakBefore w:val="0"/>
              <w:widowControl w:val="0"/>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现有污染源</w:t>
            </w:r>
            <w:r>
              <w:rPr>
                <w:rFonts w:hint="default" w:ascii="Times New Roman" w:hAnsi="Times New Roman" w:eastAsia="宋体" w:cs="Times New Roman"/>
                <w:color w:val="auto"/>
                <w:sz w:val="21"/>
                <w:szCs w:val="21"/>
                <w:highlight w:val="none"/>
                <w:lang w:eastAsia="zh-CN"/>
              </w:rPr>
              <w:t>□</w:t>
            </w:r>
          </w:p>
        </w:tc>
        <w:tc>
          <w:tcPr>
            <w:tcW w:w="957" w:type="pct"/>
            <w:gridSpan w:val="3"/>
            <w:tcBorders>
              <w:tl2br w:val="nil"/>
              <w:tr2bl w:val="nil"/>
            </w:tcBorders>
            <w:noWrap w:val="0"/>
            <w:vAlign w:val="center"/>
          </w:tcPr>
          <w:p w14:paraId="329F0787">
            <w:pPr>
              <w:pStyle w:val="47"/>
              <w:keepNext w:val="0"/>
              <w:keepLines w:val="0"/>
              <w:pageBreakBefore w:val="0"/>
              <w:widowControl w:val="0"/>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拟替代的污染源</w:t>
            </w:r>
            <w:r>
              <w:rPr>
                <w:rFonts w:hint="default" w:ascii="Times New Roman" w:hAnsi="Times New Roman" w:eastAsia="宋体" w:cs="Times New Roman"/>
                <w:color w:val="auto"/>
                <w:sz w:val="21"/>
                <w:szCs w:val="21"/>
                <w:highlight w:val="none"/>
                <w:lang w:eastAsia="zh-CN"/>
              </w:rPr>
              <w:t>□</w:t>
            </w:r>
          </w:p>
        </w:tc>
        <w:tc>
          <w:tcPr>
            <w:tcW w:w="830" w:type="pct"/>
            <w:gridSpan w:val="4"/>
            <w:tcBorders>
              <w:tl2br w:val="nil"/>
              <w:tr2bl w:val="nil"/>
            </w:tcBorders>
            <w:noWrap w:val="0"/>
            <w:vAlign w:val="center"/>
          </w:tcPr>
          <w:p w14:paraId="402E3F54">
            <w:pPr>
              <w:pStyle w:val="47"/>
              <w:keepNext w:val="0"/>
              <w:keepLines w:val="0"/>
              <w:pageBreakBefore w:val="0"/>
              <w:widowControl w:val="0"/>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其他在建、拟建项目污染源□</w:t>
            </w:r>
          </w:p>
        </w:tc>
        <w:tc>
          <w:tcPr>
            <w:tcW w:w="491" w:type="pct"/>
            <w:gridSpan w:val="2"/>
            <w:tcBorders>
              <w:tl2br w:val="nil"/>
              <w:tr2bl w:val="nil"/>
            </w:tcBorders>
            <w:noWrap w:val="0"/>
            <w:vAlign w:val="center"/>
          </w:tcPr>
          <w:p w14:paraId="7C1E0125">
            <w:pPr>
              <w:pStyle w:val="47"/>
              <w:keepNext w:val="0"/>
              <w:keepLines w:val="0"/>
              <w:pageBreakBefore w:val="0"/>
              <w:widowControl w:val="0"/>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区域污染源□</w:t>
            </w:r>
          </w:p>
        </w:tc>
      </w:tr>
      <w:tr w14:paraId="5E86E4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5" w:type="pct"/>
            <w:vMerge w:val="restart"/>
            <w:tcBorders>
              <w:tl2br w:val="nil"/>
              <w:tr2bl w:val="nil"/>
            </w:tcBorders>
            <w:noWrap w:val="0"/>
            <w:vAlign w:val="center"/>
          </w:tcPr>
          <w:p w14:paraId="7DAE1924">
            <w:pPr>
              <w:pStyle w:val="47"/>
              <w:keepNext w:val="0"/>
              <w:keepLines w:val="0"/>
              <w:pageBreakBefore w:val="0"/>
              <w:widowControl w:val="0"/>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大气环境影响预测与评价</w:t>
            </w:r>
          </w:p>
        </w:tc>
        <w:tc>
          <w:tcPr>
            <w:tcW w:w="884" w:type="pct"/>
            <w:tcBorders>
              <w:tl2br w:val="nil"/>
              <w:tr2bl w:val="nil"/>
            </w:tcBorders>
            <w:noWrap w:val="0"/>
            <w:vAlign w:val="center"/>
          </w:tcPr>
          <w:p w14:paraId="538418D3">
            <w:pPr>
              <w:pStyle w:val="47"/>
              <w:keepNext w:val="0"/>
              <w:keepLines w:val="0"/>
              <w:pageBreakBefore w:val="0"/>
              <w:widowControl w:val="0"/>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预测模型</w:t>
            </w:r>
          </w:p>
        </w:tc>
        <w:tc>
          <w:tcPr>
            <w:tcW w:w="551" w:type="pct"/>
            <w:tcBorders>
              <w:tl2br w:val="nil"/>
              <w:tr2bl w:val="nil"/>
            </w:tcBorders>
            <w:noWrap w:val="0"/>
            <w:vAlign w:val="center"/>
          </w:tcPr>
          <w:p w14:paraId="10C107AB">
            <w:pPr>
              <w:pStyle w:val="47"/>
              <w:keepNext w:val="0"/>
              <w:keepLines w:val="0"/>
              <w:pageBreakBefore w:val="0"/>
              <w:widowControl w:val="0"/>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AERMOD</w:t>
            </w:r>
          </w:p>
          <w:p w14:paraId="3A456C08">
            <w:pPr>
              <w:pStyle w:val="47"/>
              <w:keepNext w:val="0"/>
              <w:keepLines w:val="0"/>
              <w:pageBreakBefore w:val="0"/>
              <w:widowControl w:val="0"/>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w:t>
            </w:r>
          </w:p>
        </w:tc>
        <w:tc>
          <w:tcPr>
            <w:tcW w:w="370" w:type="pct"/>
            <w:gridSpan w:val="2"/>
            <w:tcBorders>
              <w:tl2br w:val="nil"/>
              <w:tr2bl w:val="nil"/>
            </w:tcBorders>
            <w:noWrap w:val="0"/>
            <w:vAlign w:val="center"/>
          </w:tcPr>
          <w:p w14:paraId="0F357BC9">
            <w:pPr>
              <w:pStyle w:val="47"/>
              <w:keepNext w:val="0"/>
              <w:keepLines w:val="0"/>
              <w:pageBreakBefore w:val="0"/>
              <w:widowControl w:val="0"/>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ADMS</w:t>
            </w:r>
          </w:p>
          <w:p w14:paraId="0AF92C24">
            <w:pPr>
              <w:pStyle w:val="47"/>
              <w:keepNext w:val="0"/>
              <w:keepLines w:val="0"/>
              <w:pageBreakBefore w:val="0"/>
              <w:widowControl w:val="0"/>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756" w:type="pct"/>
            <w:gridSpan w:val="2"/>
            <w:tcBorders>
              <w:tl2br w:val="nil"/>
              <w:tr2bl w:val="nil"/>
            </w:tcBorders>
            <w:noWrap w:val="0"/>
            <w:vAlign w:val="center"/>
          </w:tcPr>
          <w:p w14:paraId="0577C74D">
            <w:pPr>
              <w:pStyle w:val="47"/>
              <w:keepNext w:val="0"/>
              <w:keepLines w:val="0"/>
              <w:pageBreakBefore w:val="0"/>
              <w:widowControl w:val="0"/>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AUSTAL2000</w:t>
            </w:r>
          </w:p>
          <w:p w14:paraId="3F91B18E">
            <w:pPr>
              <w:pStyle w:val="47"/>
              <w:keepNext w:val="0"/>
              <w:keepLines w:val="0"/>
              <w:pageBreakBefore w:val="0"/>
              <w:widowControl w:val="0"/>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639" w:type="pct"/>
            <w:gridSpan w:val="2"/>
            <w:tcBorders>
              <w:tl2br w:val="nil"/>
              <w:tr2bl w:val="nil"/>
            </w:tcBorders>
            <w:noWrap w:val="0"/>
            <w:vAlign w:val="center"/>
          </w:tcPr>
          <w:p w14:paraId="30B82EA7">
            <w:pPr>
              <w:pStyle w:val="47"/>
              <w:keepNext w:val="0"/>
              <w:keepLines w:val="0"/>
              <w:pageBreakBefore w:val="0"/>
              <w:widowControl w:val="0"/>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EDMS/AEDT</w:t>
            </w:r>
          </w:p>
          <w:p w14:paraId="01686074">
            <w:pPr>
              <w:pStyle w:val="47"/>
              <w:keepNext w:val="0"/>
              <w:keepLines w:val="0"/>
              <w:pageBreakBefore w:val="0"/>
              <w:widowControl w:val="0"/>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648" w:type="pct"/>
            <w:gridSpan w:val="3"/>
            <w:tcBorders>
              <w:tl2br w:val="nil"/>
              <w:tr2bl w:val="nil"/>
            </w:tcBorders>
            <w:noWrap w:val="0"/>
            <w:vAlign w:val="center"/>
          </w:tcPr>
          <w:p w14:paraId="2708163F">
            <w:pPr>
              <w:pStyle w:val="47"/>
              <w:keepNext w:val="0"/>
              <w:keepLines w:val="0"/>
              <w:pageBreakBefore w:val="0"/>
              <w:widowControl w:val="0"/>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CALPUFF</w:t>
            </w:r>
          </w:p>
          <w:p w14:paraId="11A7F275">
            <w:pPr>
              <w:pStyle w:val="47"/>
              <w:keepNext w:val="0"/>
              <w:keepLines w:val="0"/>
              <w:pageBreakBefore w:val="0"/>
              <w:widowControl w:val="0"/>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349" w:type="pct"/>
            <w:gridSpan w:val="2"/>
            <w:tcBorders>
              <w:tl2br w:val="nil"/>
              <w:tr2bl w:val="nil"/>
            </w:tcBorders>
            <w:noWrap w:val="0"/>
            <w:vAlign w:val="center"/>
          </w:tcPr>
          <w:p w14:paraId="7866174D">
            <w:pPr>
              <w:pStyle w:val="47"/>
              <w:keepNext w:val="0"/>
              <w:keepLines w:val="0"/>
              <w:pageBreakBefore w:val="0"/>
              <w:widowControl w:val="0"/>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网格模型</w:t>
            </w:r>
          </w:p>
          <w:p w14:paraId="39BDDB9B">
            <w:pPr>
              <w:pStyle w:val="47"/>
              <w:keepNext w:val="0"/>
              <w:keepLines w:val="0"/>
              <w:pageBreakBefore w:val="0"/>
              <w:widowControl w:val="0"/>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323" w:type="pct"/>
            <w:tcBorders>
              <w:tl2br w:val="nil"/>
              <w:tr2bl w:val="nil"/>
            </w:tcBorders>
            <w:noWrap w:val="0"/>
            <w:vAlign w:val="center"/>
          </w:tcPr>
          <w:p w14:paraId="6AC8F68F">
            <w:pPr>
              <w:pStyle w:val="47"/>
              <w:keepNext w:val="0"/>
              <w:keepLines w:val="0"/>
              <w:pageBreakBefore w:val="0"/>
              <w:widowControl w:val="0"/>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其他</w:t>
            </w:r>
          </w:p>
          <w:p w14:paraId="0A9E310C">
            <w:pPr>
              <w:pStyle w:val="47"/>
              <w:keepNext w:val="0"/>
              <w:keepLines w:val="0"/>
              <w:pageBreakBefore w:val="0"/>
              <w:widowControl w:val="0"/>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sym w:font="Wingdings 2" w:char="00A3"/>
            </w:r>
          </w:p>
        </w:tc>
      </w:tr>
      <w:tr w14:paraId="26566D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5" w:type="pct"/>
            <w:vMerge w:val="continue"/>
            <w:tcBorders>
              <w:tl2br w:val="nil"/>
              <w:tr2bl w:val="nil"/>
            </w:tcBorders>
            <w:noWrap w:val="0"/>
            <w:vAlign w:val="center"/>
          </w:tcPr>
          <w:p w14:paraId="261CF9F8">
            <w:pPr>
              <w:keepNext w:val="0"/>
              <w:keepLines w:val="0"/>
              <w:pageBreakBefore w:val="0"/>
              <w:widowControl w:val="0"/>
              <w:kinsoku/>
              <w:wordWrap/>
              <w:overflowPunct/>
              <w:topLinePunct w:val="0"/>
              <w:autoSpaceDE w:val="0"/>
              <w:autoSpaceDN w:val="0"/>
              <w:bidi w:val="0"/>
              <w:adjustRightInd/>
              <w:snapToGrid/>
              <w:spacing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884" w:type="pct"/>
            <w:tcBorders>
              <w:tl2br w:val="nil"/>
              <w:tr2bl w:val="nil"/>
            </w:tcBorders>
            <w:noWrap w:val="0"/>
            <w:vAlign w:val="center"/>
          </w:tcPr>
          <w:p w14:paraId="491CD2A4">
            <w:pPr>
              <w:pStyle w:val="47"/>
              <w:keepNext w:val="0"/>
              <w:keepLines w:val="0"/>
              <w:pageBreakBefore w:val="0"/>
              <w:widowControl w:val="0"/>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预测范围</w:t>
            </w:r>
          </w:p>
        </w:tc>
        <w:tc>
          <w:tcPr>
            <w:tcW w:w="922" w:type="pct"/>
            <w:gridSpan w:val="3"/>
            <w:tcBorders>
              <w:tl2br w:val="nil"/>
              <w:tr2bl w:val="nil"/>
            </w:tcBorders>
            <w:noWrap w:val="0"/>
            <w:vAlign w:val="center"/>
          </w:tcPr>
          <w:p w14:paraId="6AEF7A6B">
            <w:pPr>
              <w:pStyle w:val="47"/>
              <w:keepNext w:val="0"/>
              <w:keepLines w:val="0"/>
              <w:pageBreakBefore w:val="0"/>
              <w:widowControl w:val="0"/>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边长≥ 50km□</w:t>
            </w:r>
          </w:p>
        </w:tc>
        <w:tc>
          <w:tcPr>
            <w:tcW w:w="1762" w:type="pct"/>
            <w:gridSpan w:val="5"/>
            <w:tcBorders>
              <w:tl2br w:val="nil"/>
              <w:tr2bl w:val="nil"/>
            </w:tcBorders>
            <w:noWrap w:val="0"/>
            <w:vAlign w:val="center"/>
          </w:tcPr>
          <w:p w14:paraId="75375171">
            <w:pPr>
              <w:pStyle w:val="47"/>
              <w:keepNext w:val="0"/>
              <w:keepLines w:val="0"/>
              <w:pageBreakBefore w:val="0"/>
              <w:widowControl w:val="0"/>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边长 5～50km □</w:t>
            </w:r>
          </w:p>
        </w:tc>
        <w:tc>
          <w:tcPr>
            <w:tcW w:w="954" w:type="pct"/>
            <w:gridSpan w:val="5"/>
            <w:tcBorders>
              <w:tl2br w:val="nil"/>
              <w:tr2bl w:val="nil"/>
            </w:tcBorders>
            <w:noWrap w:val="0"/>
            <w:vAlign w:val="center"/>
          </w:tcPr>
          <w:p w14:paraId="1B1DC690">
            <w:pPr>
              <w:pStyle w:val="47"/>
              <w:keepNext w:val="0"/>
              <w:keepLines w:val="0"/>
              <w:pageBreakBefore w:val="0"/>
              <w:widowControl w:val="0"/>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边长 = 5 km </w:t>
            </w:r>
            <w:r>
              <w:rPr>
                <w:rFonts w:hint="default" w:ascii="Times New Roman" w:hAnsi="Times New Roman" w:eastAsia="宋体" w:cs="Times New Roman"/>
                <w:color w:val="auto"/>
                <w:sz w:val="21"/>
                <w:szCs w:val="21"/>
                <w:highlight w:val="none"/>
              </w:rPr>
              <w:sym w:font="Wingdings 2" w:char="00A3"/>
            </w:r>
          </w:p>
        </w:tc>
      </w:tr>
      <w:tr w14:paraId="7CE990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5" w:type="pct"/>
            <w:vMerge w:val="continue"/>
            <w:tcBorders>
              <w:tl2br w:val="nil"/>
              <w:tr2bl w:val="nil"/>
            </w:tcBorders>
            <w:noWrap w:val="0"/>
            <w:vAlign w:val="center"/>
          </w:tcPr>
          <w:p w14:paraId="5863D268">
            <w:pPr>
              <w:keepNext w:val="0"/>
              <w:keepLines w:val="0"/>
              <w:pageBreakBefore w:val="0"/>
              <w:widowControl w:val="0"/>
              <w:kinsoku/>
              <w:wordWrap/>
              <w:overflowPunct/>
              <w:topLinePunct w:val="0"/>
              <w:autoSpaceDE w:val="0"/>
              <w:autoSpaceDN w:val="0"/>
              <w:bidi w:val="0"/>
              <w:adjustRightInd/>
              <w:snapToGrid/>
              <w:spacing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884" w:type="pct"/>
            <w:tcBorders>
              <w:tl2br w:val="nil"/>
              <w:tr2bl w:val="nil"/>
            </w:tcBorders>
            <w:noWrap w:val="0"/>
            <w:vAlign w:val="center"/>
          </w:tcPr>
          <w:p w14:paraId="5E76CEB4">
            <w:pPr>
              <w:pStyle w:val="47"/>
              <w:keepNext w:val="0"/>
              <w:keepLines w:val="0"/>
              <w:pageBreakBefore w:val="0"/>
              <w:widowControl w:val="0"/>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预测因子</w:t>
            </w:r>
          </w:p>
        </w:tc>
        <w:tc>
          <w:tcPr>
            <w:tcW w:w="2206" w:type="pct"/>
            <w:gridSpan w:val="6"/>
            <w:tcBorders>
              <w:tl2br w:val="nil"/>
              <w:tr2bl w:val="nil"/>
            </w:tcBorders>
            <w:noWrap w:val="0"/>
            <w:vAlign w:val="center"/>
          </w:tcPr>
          <w:p w14:paraId="4431FB93">
            <w:pPr>
              <w:pStyle w:val="47"/>
              <w:keepNext w:val="0"/>
              <w:keepLines w:val="0"/>
              <w:pageBreakBefore w:val="0"/>
              <w:widowControl w:val="0"/>
              <w:tabs>
                <w:tab w:val="left" w:pos="2989"/>
              </w:tabs>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预测因子</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TSP</w:t>
            </w:r>
            <w:r>
              <w:rPr>
                <w:rFonts w:hint="default" w:ascii="Times New Roman" w:hAnsi="Times New Roman" w:eastAsia="宋体" w:cs="Times New Roman"/>
                <w:color w:val="auto"/>
                <w:sz w:val="21"/>
                <w:szCs w:val="21"/>
                <w:highlight w:val="none"/>
                <w:lang w:eastAsia="zh-CN"/>
              </w:rPr>
              <w:t>）</w:t>
            </w:r>
          </w:p>
        </w:tc>
        <w:tc>
          <w:tcPr>
            <w:tcW w:w="1433" w:type="pct"/>
            <w:gridSpan w:val="7"/>
            <w:tcBorders>
              <w:tl2br w:val="nil"/>
              <w:tr2bl w:val="nil"/>
            </w:tcBorders>
            <w:noWrap w:val="0"/>
            <w:vAlign w:val="center"/>
          </w:tcPr>
          <w:p w14:paraId="37C8302F">
            <w:pPr>
              <w:pStyle w:val="47"/>
              <w:keepNext w:val="0"/>
              <w:keepLines w:val="0"/>
              <w:pageBreakBefore w:val="0"/>
              <w:widowControl w:val="0"/>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position w:val="1"/>
                <w:sz w:val="21"/>
                <w:szCs w:val="21"/>
                <w:highlight w:val="none"/>
              </w:rPr>
              <w:t>包括二次 PM</w:t>
            </w:r>
            <w:r>
              <w:rPr>
                <w:rFonts w:hint="default" w:ascii="Times New Roman" w:hAnsi="Times New Roman" w:eastAsia="宋体" w:cs="Times New Roman"/>
                <w:color w:val="auto"/>
                <w:sz w:val="21"/>
                <w:szCs w:val="21"/>
                <w:highlight w:val="none"/>
                <w:vertAlign w:val="subscript"/>
              </w:rPr>
              <w:t>2.5</w:t>
            </w:r>
            <w:r>
              <w:rPr>
                <w:rFonts w:hint="default" w:ascii="Times New Roman" w:hAnsi="Times New Roman" w:eastAsia="宋体" w:cs="Times New Roman"/>
                <w:color w:val="auto"/>
                <w:spacing w:val="14"/>
                <w:sz w:val="21"/>
                <w:szCs w:val="21"/>
                <w:highlight w:val="none"/>
              </w:rPr>
              <w:t xml:space="preserve">  </w:t>
            </w:r>
            <w:r>
              <w:rPr>
                <w:rFonts w:hint="default" w:ascii="Times New Roman" w:hAnsi="Times New Roman" w:eastAsia="宋体" w:cs="Times New Roman"/>
                <w:color w:val="auto"/>
                <w:position w:val="1"/>
                <w:sz w:val="21"/>
                <w:szCs w:val="21"/>
                <w:highlight w:val="none"/>
              </w:rPr>
              <w:t>□</w:t>
            </w:r>
          </w:p>
          <w:p w14:paraId="70095882">
            <w:pPr>
              <w:pStyle w:val="47"/>
              <w:keepNext w:val="0"/>
              <w:keepLines w:val="0"/>
              <w:pageBreakBefore w:val="0"/>
              <w:widowControl w:val="0"/>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position w:val="1"/>
                <w:sz w:val="21"/>
                <w:szCs w:val="21"/>
                <w:highlight w:val="none"/>
              </w:rPr>
              <w:t>不包括二次 PM</w:t>
            </w:r>
            <w:r>
              <w:rPr>
                <w:rFonts w:hint="default" w:ascii="Times New Roman" w:hAnsi="Times New Roman" w:eastAsia="宋体" w:cs="Times New Roman"/>
                <w:color w:val="auto"/>
                <w:sz w:val="21"/>
                <w:szCs w:val="21"/>
                <w:highlight w:val="none"/>
                <w:vertAlign w:val="subscript"/>
              </w:rPr>
              <w:t>2.5</w:t>
            </w:r>
            <w:r>
              <w:rPr>
                <w:rFonts w:hint="default" w:ascii="Times New Roman" w:hAnsi="Times New Roman" w:eastAsia="宋体" w:cs="Times New Roman"/>
                <w:color w:val="auto"/>
                <w:spacing w:val="14"/>
                <w:sz w:val="21"/>
                <w:szCs w:val="21"/>
                <w:highlight w:val="none"/>
              </w:rPr>
              <w:t xml:space="preserve">  </w:t>
            </w:r>
            <w:r>
              <w:rPr>
                <w:rFonts w:hint="default" w:ascii="Times New Roman" w:hAnsi="Times New Roman" w:eastAsia="宋体" w:cs="Times New Roman"/>
                <w:color w:val="auto"/>
                <w:sz w:val="21"/>
                <w:szCs w:val="21"/>
                <w:highlight w:val="none"/>
              </w:rPr>
              <w:sym w:font="Wingdings 2" w:char="00A3"/>
            </w:r>
          </w:p>
        </w:tc>
      </w:tr>
      <w:tr w14:paraId="642C9C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5" w:type="pct"/>
            <w:vMerge w:val="continue"/>
            <w:tcBorders>
              <w:tl2br w:val="nil"/>
              <w:tr2bl w:val="nil"/>
            </w:tcBorders>
            <w:noWrap w:val="0"/>
            <w:vAlign w:val="center"/>
          </w:tcPr>
          <w:p w14:paraId="7BA919CE">
            <w:pPr>
              <w:keepNext w:val="0"/>
              <w:keepLines w:val="0"/>
              <w:pageBreakBefore w:val="0"/>
              <w:widowControl w:val="0"/>
              <w:kinsoku/>
              <w:wordWrap/>
              <w:overflowPunct/>
              <w:topLinePunct w:val="0"/>
              <w:autoSpaceDE w:val="0"/>
              <w:autoSpaceDN w:val="0"/>
              <w:bidi w:val="0"/>
              <w:adjustRightInd/>
              <w:snapToGrid/>
              <w:spacing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884" w:type="pct"/>
            <w:tcBorders>
              <w:tl2br w:val="nil"/>
              <w:tr2bl w:val="nil"/>
            </w:tcBorders>
            <w:noWrap w:val="0"/>
            <w:vAlign w:val="center"/>
          </w:tcPr>
          <w:p w14:paraId="4A74BC5C">
            <w:pPr>
              <w:pStyle w:val="47"/>
              <w:keepNext w:val="0"/>
              <w:keepLines w:val="0"/>
              <w:pageBreakBefore w:val="0"/>
              <w:widowControl w:val="0"/>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正常排放短期浓度贡献值</w:t>
            </w:r>
          </w:p>
        </w:tc>
        <w:tc>
          <w:tcPr>
            <w:tcW w:w="2206" w:type="pct"/>
            <w:gridSpan w:val="6"/>
            <w:tcBorders>
              <w:tl2br w:val="nil"/>
              <w:tr2bl w:val="nil"/>
            </w:tcBorders>
            <w:noWrap w:val="0"/>
            <w:vAlign w:val="center"/>
          </w:tcPr>
          <w:p w14:paraId="2AC968CB">
            <w:pPr>
              <w:pStyle w:val="47"/>
              <w:keepNext w:val="0"/>
              <w:keepLines w:val="0"/>
              <w:pageBreakBefore w:val="0"/>
              <w:widowControl w:val="0"/>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C</w:t>
            </w:r>
            <w:r>
              <w:rPr>
                <w:rFonts w:hint="default" w:ascii="Times New Roman" w:hAnsi="Times New Roman" w:eastAsia="宋体" w:cs="Times New Roman"/>
                <w:color w:val="auto"/>
                <w:position w:val="-5"/>
                <w:sz w:val="21"/>
                <w:szCs w:val="21"/>
                <w:highlight w:val="none"/>
                <w:lang w:eastAsia="zh-CN"/>
              </w:rPr>
              <w:t>本工程</w:t>
            </w:r>
            <w:r>
              <w:rPr>
                <w:rFonts w:hint="default" w:ascii="Times New Roman" w:hAnsi="Times New Roman" w:eastAsia="宋体" w:cs="Times New Roman"/>
                <w:color w:val="auto"/>
                <w:sz w:val="21"/>
                <w:szCs w:val="21"/>
                <w:highlight w:val="none"/>
              </w:rPr>
              <w:t>最大占标率≤100%</w:t>
            </w:r>
            <w:r>
              <w:rPr>
                <w:rFonts w:hint="default" w:ascii="Times New Roman" w:hAnsi="Times New Roman" w:eastAsia="宋体" w:cs="Times New Roman"/>
                <w:color w:val="auto"/>
                <w:sz w:val="21"/>
                <w:szCs w:val="21"/>
                <w:highlight w:val="none"/>
              </w:rPr>
              <w:sym w:font="Wingdings 2" w:char="00A3"/>
            </w:r>
          </w:p>
        </w:tc>
        <w:tc>
          <w:tcPr>
            <w:tcW w:w="1433" w:type="pct"/>
            <w:gridSpan w:val="7"/>
            <w:tcBorders>
              <w:tl2br w:val="nil"/>
              <w:tr2bl w:val="nil"/>
            </w:tcBorders>
            <w:noWrap w:val="0"/>
            <w:vAlign w:val="center"/>
          </w:tcPr>
          <w:p w14:paraId="5D77FDA0">
            <w:pPr>
              <w:pStyle w:val="47"/>
              <w:keepNext w:val="0"/>
              <w:keepLines w:val="0"/>
              <w:pageBreakBefore w:val="0"/>
              <w:widowControl w:val="0"/>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C</w:t>
            </w:r>
            <w:r>
              <w:rPr>
                <w:rFonts w:hint="default" w:ascii="Times New Roman" w:hAnsi="Times New Roman" w:eastAsia="宋体" w:cs="Times New Roman"/>
                <w:color w:val="auto"/>
                <w:position w:val="-5"/>
                <w:sz w:val="21"/>
                <w:szCs w:val="21"/>
                <w:highlight w:val="none"/>
                <w:lang w:eastAsia="zh-CN"/>
              </w:rPr>
              <w:t>本工程</w:t>
            </w:r>
            <w:r>
              <w:rPr>
                <w:rFonts w:hint="default" w:ascii="Times New Roman" w:hAnsi="Times New Roman" w:eastAsia="宋体" w:cs="Times New Roman"/>
                <w:color w:val="auto"/>
                <w:sz w:val="21"/>
                <w:szCs w:val="21"/>
                <w:highlight w:val="none"/>
              </w:rPr>
              <w:t>最大占标率＞100% □</w:t>
            </w:r>
          </w:p>
        </w:tc>
      </w:tr>
      <w:tr w14:paraId="712CD9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5" w:type="pct"/>
            <w:vMerge w:val="continue"/>
            <w:tcBorders>
              <w:tl2br w:val="nil"/>
              <w:tr2bl w:val="nil"/>
            </w:tcBorders>
            <w:noWrap w:val="0"/>
            <w:vAlign w:val="center"/>
          </w:tcPr>
          <w:p w14:paraId="4A0B593D">
            <w:pPr>
              <w:keepNext w:val="0"/>
              <w:keepLines w:val="0"/>
              <w:pageBreakBefore w:val="0"/>
              <w:widowControl w:val="0"/>
              <w:kinsoku/>
              <w:wordWrap/>
              <w:overflowPunct/>
              <w:topLinePunct w:val="0"/>
              <w:autoSpaceDE w:val="0"/>
              <w:autoSpaceDN w:val="0"/>
              <w:bidi w:val="0"/>
              <w:adjustRightInd/>
              <w:snapToGrid/>
              <w:spacing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884" w:type="pct"/>
            <w:vMerge w:val="restart"/>
            <w:tcBorders>
              <w:tl2br w:val="nil"/>
              <w:tr2bl w:val="nil"/>
            </w:tcBorders>
            <w:noWrap w:val="0"/>
            <w:vAlign w:val="center"/>
          </w:tcPr>
          <w:p w14:paraId="5207A14C">
            <w:pPr>
              <w:pStyle w:val="47"/>
              <w:keepNext w:val="0"/>
              <w:keepLines w:val="0"/>
              <w:pageBreakBefore w:val="0"/>
              <w:widowControl w:val="0"/>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正常排放年均浓度贡献值</w:t>
            </w:r>
          </w:p>
        </w:tc>
        <w:tc>
          <w:tcPr>
            <w:tcW w:w="551" w:type="pct"/>
            <w:tcBorders>
              <w:tl2br w:val="nil"/>
              <w:tr2bl w:val="nil"/>
            </w:tcBorders>
            <w:noWrap w:val="0"/>
            <w:vAlign w:val="center"/>
          </w:tcPr>
          <w:p w14:paraId="5492D97C">
            <w:pPr>
              <w:pStyle w:val="47"/>
              <w:keepNext w:val="0"/>
              <w:keepLines w:val="0"/>
              <w:pageBreakBefore w:val="0"/>
              <w:widowControl w:val="0"/>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一类区</w:t>
            </w:r>
          </w:p>
        </w:tc>
        <w:tc>
          <w:tcPr>
            <w:tcW w:w="1655" w:type="pct"/>
            <w:gridSpan w:val="5"/>
            <w:tcBorders>
              <w:tl2br w:val="nil"/>
              <w:tr2bl w:val="nil"/>
            </w:tcBorders>
            <w:noWrap w:val="0"/>
            <w:vAlign w:val="center"/>
          </w:tcPr>
          <w:p w14:paraId="671DD09E">
            <w:pPr>
              <w:pStyle w:val="47"/>
              <w:keepNext w:val="0"/>
              <w:keepLines w:val="0"/>
              <w:pageBreakBefore w:val="0"/>
              <w:widowControl w:val="0"/>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C</w:t>
            </w:r>
            <w:r>
              <w:rPr>
                <w:rFonts w:hint="default" w:ascii="Times New Roman" w:hAnsi="Times New Roman" w:eastAsia="宋体" w:cs="Times New Roman"/>
                <w:color w:val="auto"/>
                <w:position w:val="-5"/>
                <w:sz w:val="21"/>
                <w:szCs w:val="21"/>
                <w:highlight w:val="none"/>
                <w:lang w:eastAsia="zh-CN"/>
              </w:rPr>
              <w:t>本工程</w:t>
            </w:r>
            <w:r>
              <w:rPr>
                <w:rFonts w:hint="default" w:ascii="Times New Roman" w:hAnsi="Times New Roman" w:eastAsia="宋体" w:cs="Times New Roman"/>
                <w:color w:val="auto"/>
                <w:sz w:val="21"/>
                <w:szCs w:val="21"/>
                <w:highlight w:val="none"/>
              </w:rPr>
              <w:t>最大占标率≤10%□</w:t>
            </w:r>
          </w:p>
        </w:tc>
        <w:tc>
          <w:tcPr>
            <w:tcW w:w="1433" w:type="pct"/>
            <w:gridSpan w:val="7"/>
            <w:tcBorders>
              <w:tl2br w:val="nil"/>
              <w:tr2bl w:val="nil"/>
            </w:tcBorders>
            <w:noWrap w:val="0"/>
            <w:vAlign w:val="center"/>
          </w:tcPr>
          <w:p w14:paraId="5B31494F">
            <w:pPr>
              <w:pStyle w:val="47"/>
              <w:keepNext w:val="0"/>
              <w:keepLines w:val="0"/>
              <w:pageBreakBefore w:val="0"/>
              <w:widowControl w:val="0"/>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C</w:t>
            </w:r>
            <w:r>
              <w:rPr>
                <w:rFonts w:hint="default" w:ascii="Times New Roman" w:hAnsi="Times New Roman" w:eastAsia="宋体" w:cs="Times New Roman"/>
                <w:color w:val="auto"/>
                <w:position w:val="-5"/>
                <w:sz w:val="21"/>
                <w:szCs w:val="21"/>
                <w:highlight w:val="none"/>
                <w:lang w:eastAsia="zh-CN"/>
              </w:rPr>
              <w:t>本工程</w:t>
            </w:r>
            <w:r>
              <w:rPr>
                <w:rFonts w:hint="default" w:ascii="Times New Roman" w:hAnsi="Times New Roman" w:eastAsia="宋体" w:cs="Times New Roman"/>
                <w:color w:val="auto"/>
                <w:sz w:val="21"/>
                <w:szCs w:val="21"/>
                <w:highlight w:val="none"/>
              </w:rPr>
              <w:t>最大标率＞10% □</w:t>
            </w:r>
          </w:p>
        </w:tc>
      </w:tr>
      <w:tr w14:paraId="34F3A5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5" w:type="pct"/>
            <w:vMerge w:val="continue"/>
            <w:tcBorders>
              <w:tl2br w:val="nil"/>
              <w:tr2bl w:val="nil"/>
            </w:tcBorders>
            <w:noWrap w:val="0"/>
            <w:vAlign w:val="center"/>
          </w:tcPr>
          <w:p w14:paraId="7F4E0B67">
            <w:pPr>
              <w:keepNext w:val="0"/>
              <w:keepLines w:val="0"/>
              <w:pageBreakBefore w:val="0"/>
              <w:widowControl w:val="0"/>
              <w:kinsoku/>
              <w:wordWrap/>
              <w:overflowPunct/>
              <w:topLinePunct w:val="0"/>
              <w:autoSpaceDE w:val="0"/>
              <w:autoSpaceDN w:val="0"/>
              <w:bidi w:val="0"/>
              <w:adjustRightInd/>
              <w:snapToGrid/>
              <w:spacing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884" w:type="pct"/>
            <w:vMerge w:val="continue"/>
            <w:tcBorders>
              <w:tl2br w:val="nil"/>
              <w:tr2bl w:val="nil"/>
            </w:tcBorders>
            <w:noWrap w:val="0"/>
            <w:vAlign w:val="center"/>
          </w:tcPr>
          <w:p w14:paraId="1E08A643">
            <w:pPr>
              <w:keepNext w:val="0"/>
              <w:keepLines w:val="0"/>
              <w:pageBreakBefore w:val="0"/>
              <w:widowControl w:val="0"/>
              <w:kinsoku/>
              <w:wordWrap/>
              <w:overflowPunct/>
              <w:topLinePunct w:val="0"/>
              <w:autoSpaceDE w:val="0"/>
              <w:autoSpaceDN w:val="0"/>
              <w:bidi w:val="0"/>
              <w:adjustRightInd/>
              <w:snapToGrid/>
              <w:spacing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551" w:type="pct"/>
            <w:tcBorders>
              <w:tl2br w:val="nil"/>
              <w:tr2bl w:val="nil"/>
            </w:tcBorders>
            <w:noWrap w:val="0"/>
            <w:vAlign w:val="center"/>
          </w:tcPr>
          <w:p w14:paraId="4ACEB373">
            <w:pPr>
              <w:pStyle w:val="47"/>
              <w:keepNext w:val="0"/>
              <w:keepLines w:val="0"/>
              <w:pageBreakBefore w:val="0"/>
              <w:widowControl w:val="0"/>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二类区</w:t>
            </w:r>
          </w:p>
        </w:tc>
        <w:tc>
          <w:tcPr>
            <w:tcW w:w="1655" w:type="pct"/>
            <w:gridSpan w:val="5"/>
            <w:tcBorders>
              <w:tl2br w:val="nil"/>
              <w:tr2bl w:val="nil"/>
            </w:tcBorders>
            <w:noWrap w:val="0"/>
            <w:vAlign w:val="center"/>
          </w:tcPr>
          <w:p w14:paraId="2E10E0C6">
            <w:pPr>
              <w:pStyle w:val="47"/>
              <w:keepNext w:val="0"/>
              <w:keepLines w:val="0"/>
              <w:pageBreakBefore w:val="0"/>
              <w:widowControl w:val="0"/>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C</w:t>
            </w:r>
            <w:r>
              <w:rPr>
                <w:rFonts w:hint="default" w:ascii="Times New Roman" w:hAnsi="Times New Roman" w:eastAsia="宋体" w:cs="Times New Roman"/>
                <w:color w:val="auto"/>
                <w:position w:val="-5"/>
                <w:sz w:val="21"/>
                <w:szCs w:val="21"/>
                <w:highlight w:val="none"/>
                <w:lang w:eastAsia="zh-CN"/>
              </w:rPr>
              <w:t>本工程</w:t>
            </w:r>
            <w:r>
              <w:rPr>
                <w:rFonts w:hint="default" w:ascii="Times New Roman" w:hAnsi="Times New Roman" w:eastAsia="宋体" w:cs="Times New Roman"/>
                <w:color w:val="auto"/>
                <w:sz w:val="21"/>
                <w:szCs w:val="21"/>
                <w:highlight w:val="none"/>
              </w:rPr>
              <w:t>最大占标率≤30%□</w:t>
            </w:r>
          </w:p>
        </w:tc>
        <w:tc>
          <w:tcPr>
            <w:tcW w:w="1433" w:type="pct"/>
            <w:gridSpan w:val="7"/>
            <w:tcBorders>
              <w:tl2br w:val="nil"/>
              <w:tr2bl w:val="nil"/>
            </w:tcBorders>
            <w:noWrap w:val="0"/>
            <w:vAlign w:val="center"/>
          </w:tcPr>
          <w:p w14:paraId="5758662F">
            <w:pPr>
              <w:pStyle w:val="47"/>
              <w:keepNext w:val="0"/>
              <w:keepLines w:val="0"/>
              <w:pageBreakBefore w:val="0"/>
              <w:widowControl w:val="0"/>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C</w:t>
            </w:r>
            <w:r>
              <w:rPr>
                <w:rFonts w:hint="default" w:ascii="Times New Roman" w:hAnsi="Times New Roman" w:eastAsia="宋体" w:cs="Times New Roman"/>
                <w:color w:val="auto"/>
                <w:position w:val="-5"/>
                <w:sz w:val="21"/>
                <w:szCs w:val="21"/>
                <w:highlight w:val="none"/>
                <w:lang w:eastAsia="zh-CN"/>
              </w:rPr>
              <w:t>本工程</w:t>
            </w:r>
            <w:r>
              <w:rPr>
                <w:rFonts w:hint="default" w:ascii="Times New Roman" w:hAnsi="Times New Roman" w:eastAsia="宋体" w:cs="Times New Roman"/>
                <w:color w:val="auto"/>
                <w:sz w:val="21"/>
                <w:szCs w:val="21"/>
                <w:highlight w:val="none"/>
              </w:rPr>
              <w:t>最大标率＞30% □</w:t>
            </w:r>
          </w:p>
        </w:tc>
      </w:tr>
      <w:tr w14:paraId="66E52E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5" w:type="pct"/>
            <w:vMerge w:val="continue"/>
            <w:tcBorders>
              <w:tl2br w:val="nil"/>
              <w:tr2bl w:val="nil"/>
            </w:tcBorders>
            <w:noWrap w:val="0"/>
            <w:vAlign w:val="center"/>
          </w:tcPr>
          <w:p w14:paraId="5AE6C07A">
            <w:pPr>
              <w:keepNext w:val="0"/>
              <w:keepLines w:val="0"/>
              <w:pageBreakBefore w:val="0"/>
              <w:widowControl w:val="0"/>
              <w:kinsoku/>
              <w:wordWrap/>
              <w:overflowPunct/>
              <w:topLinePunct w:val="0"/>
              <w:autoSpaceDE w:val="0"/>
              <w:autoSpaceDN w:val="0"/>
              <w:bidi w:val="0"/>
              <w:adjustRightInd/>
              <w:snapToGrid/>
              <w:spacing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884" w:type="pct"/>
            <w:tcBorders>
              <w:tl2br w:val="nil"/>
              <w:tr2bl w:val="nil"/>
            </w:tcBorders>
            <w:noWrap w:val="0"/>
            <w:vAlign w:val="center"/>
          </w:tcPr>
          <w:p w14:paraId="52AA6347">
            <w:pPr>
              <w:pStyle w:val="47"/>
              <w:keepNext w:val="0"/>
              <w:keepLines w:val="0"/>
              <w:pageBreakBefore w:val="0"/>
              <w:widowControl w:val="0"/>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非正常排放1h浓度贡献值</w:t>
            </w:r>
          </w:p>
        </w:tc>
        <w:tc>
          <w:tcPr>
            <w:tcW w:w="763" w:type="pct"/>
            <w:gridSpan w:val="2"/>
            <w:tcBorders>
              <w:tl2br w:val="nil"/>
              <w:tr2bl w:val="nil"/>
            </w:tcBorders>
            <w:noWrap w:val="0"/>
            <w:vAlign w:val="center"/>
          </w:tcPr>
          <w:p w14:paraId="765F8300">
            <w:pPr>
              <w:pStyle w:val="47"/>
              <w:keepNext w:val="0"/>
              <w:keepLines w:val="0"/>
              <w:pageBreakBefore w:val="0"/>
              <w:widowControl w:val="0"/>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非正常持续时长（</w:t>
            </w:r>
            <w:r>
              <w:rPr>
                <w:rFonts w:hint="default" w:ascii="Times New Roman" w:hAnsi="Times New Roman" w:eastAsia="宋体" w:cs="Times New Roman"/>
                <w:color w:val="auto"/>
                <w:sz w:val="21"/>
                <w:szCs w:val="21"/>
                <w:highlight w:val="none"/>
                <w:lang w:val="en-US" w:eastAsia="zh-CN"/>
              </w:rPr>
              <w:t>0.5</w:t>
            </w:r>
            <w:r>
              <w:rPr>
                <w:rFonts w:hint="default" w:ascii="Times New Roman" w:hAnsi="Times New Roman" w:eastAsia="宋体" w:cs="Times New Roman"/>
                <w:color w:val="auto"/>
                <w:sz w:val="21"/>
                <w:szCs w:val="21"/>
                <w:highlight w:val="none"/>
              </w:rPr>
              <w:t>）h</w:t>
            </w:r>
          </w:p>
        </w:tc>
        <w:tc>
          <w:tcPr>
            <w:tcW w:w="1442" w:type="pct"/>
            <w:gridSpan w:val="4"/>
            <w:tcBorders>
              <w:tl2br w:val="nil"/>
              <w:tr2bl w:val="nil"/>
            </w:tcBorders>
            <w:noWrap w:val="0"/>
            <w:vAlign w:val="center"/>
          </w:tcPr>
          <w:p w14:paraId="1E8DD291">
            <w:pPr>
              <w:pStyle w:val="47"/>
              <w:keepNext w:val="0"/>
              <w:keepLines w:val="0"/>
              <w:pageBreakBefore w:val="0"/>
              <w:widowControl w:val="0"/>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C</w:t>
            </w:r>
            <w:r>
              <w:rPr>
                <w:rFonts w:hint="default" w:ascii="Times New Roman" w:hAnsi="Times New Roman" w:eastAsia="宋体" w:cs="Times New Roman"/>
                <w:color w:val="auto"/>
                <w:position w:val="-5"/>
                <w:sz w:val="21"/>
                <w:szCs w:val="21"/>
                <w:highlight w:val="none"/>
              </w:rPr>
              <w:t>非正常</w:t>
            </w:r>
            <w:r>
              <w:rPr>
                <w:rFonts w:hint="default" w:ascii="Times New Roman" w:hAnsi="Times New Roman" w:eastAsia="宋体" w:cs="Times New Roman"/>
                <w:color w:val="auto"/>
                <w:sz w:val="21"/>
                <w:szCs w:val="21"/>
                <w:highlight w:val="none"/>
              </w:rPr>
              <w:t>占标率≤100%□</w:t>
            </w:r>
          </w:p>
        </w:tc>
        <w:tc>
          <w:tcPr>
            <w:tcW w:w="1433" w:type="pct"/>
            <w:gridSpan w:val="7"/>
            <w:tcBorders>
              <w:tl2br w:val="nil"/>
              <w:tr2bl w:val="nil"/>
            </w:tcBorders>
            <w:noWrap w:val="0"/>
            <w:vAlign w:val="center"/>
          </w:tcPr>
          <w:p w14:paraId="44DE11F1">
            <w:pPr>
              <w:pStyle w:val="47"/>
              <w:keepNext w:val="0"/>
              <w:keepLines w:val="0"/>
              <w:pageBreakBefore w:val="0"/>
              <w:widowControl w:val="0"/>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C</w:t>
            </w:r>
            <w:r>
              <w:rPr>
                <w:rFonts w:hint="default" w:ascii="Times New Roman" w:hAnsi="Times New Roman" w:eastAsia="宋体" w:cs="Times New Roman"/>
                <w:color w:val="auto"/>
                <w:position w:val="-5"/>
                <w:sz w:val="21"/>
                <w:szCs w:val="21"/>
                <w:highlight w:val="none"/>
              </w:rPr>
              <w:t>非正常</w:t>
            </w:r>
            <w:r>
              <w:rPr>
                <w:rFonts w:hint="default" w:ascii="Times New Roman" w:hAnsi="Times New Roman" w:eastAsia="宋体" w:cs="Times New Roman"/>
                <w:color w:val="auto"/>
                <w:sz w:val="21"/>
                <w:szCs w:val="21"/>
                <w:highlight w:val="none"/>
              </w:rPr>
              <w:t>占标率＞100%□</w:t>
            </w:r>
          </w:p>
        </w:tc>
      </w:tr>
      <w:tr w14:paraId="2F7A88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5" w:type="pct"/>
            <w:vMerge w:val="continue"/>
            <w:tcBorders>
              <w:tl2br w:val="nil"/>
              <w:tr2bl w:val="nil"/>
            </w:tcBorders>
            <w:noWrap w:val="0"/>
            <w:vAlign w:val="center"/>
          </w:tcPr>
          <w:p w14:paraId="0FC37B0E">
            <w:pPr>
              <w:keepNext w:val="0"/>
              <w:keepLines w:val="0"/>
              <w:pageBreakBefore w:val="0"/>
              <w:widowControl w:val="0"/>
              <w:kinsoku/>
              <w:wordWrap/>
              <w:overflowPunct/>
              <w:topLinePunct w:val="0"/>
              <w:autoSpaceDE w:val="0"/>
              <w:autoSpaceDN w:val="0"/>
              <w:bidi w:val="0"/>
              <w:adjustRightInd/>
              <w:snapToGrid/>
              <w:spacing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884" w:type="pct"/>
            <w:tcBorders>
              <w:tl2br w:val="nil"/>
              <w:tr2bl w:val="nil"/>
            </w:tcBorders>
            <w:noWrap w:val="0"/>
            <w:vAlign w:val="center"/>
          </w:tcPr>
          <w:p w14:paraId="552C483B">
            <w:pPr>
              <w:pStyle w:val="47"/>
              <w:keepNext w:val="0"/>
              <w:keepLines w:val="0"/>
              <w:pageBreakBefore w:val="0"/>
              <w:widowControl w:val="0"/>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保证率日平均浓度和年平均浓度叠加值</w:t>
            </w:r>
          </w:p>
        </w:tc>
        <w:tc>
          <w:tcPr>
            <w:tcW w:w="1678" w:type="pct"/>
            <w:gridSpan w:val="5"/>
            <w:tcBorders>
              <w:tl2br w:val="nil"/>
              <w:tr2bl w:val="nil"/>
            </w:tcBorders>
            <w:noWrap w:val="0"/>
            <w:vAlign w:val="center"/>
          </w:tcPr>
          <w:p w14:paraId="575C9ABB">
            <w:pPr>
              <w:pStyle w:val="47"/>
              <w:keepNext w:val="0"/>
              <w:keepLines w:val="0"/>
              <w:pageBreakBefore w:val="0"/>
              <w:widowControl w:val="0"/>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C</w:t>
            </w:r>
            <w:r>
              <w:rPr>
                <w:rFonts w:hint="default" w:ascii="Times New Roman" w:hAnsi="Times New Roman" w:eastAsia="宋体" w:cs="Times New Roman"/>
                <w:color w:val="auto"/>
                <w:position w:val="-5"/>
                <w:sz w:val="21"/>
                <w:szCs w:val="21"/>
                <w:highlight w:val="none"/>
              </w:rPr>
              <w:t>叠加</w:t>
            </w:r>
            <w:r>
              <w:rPr>
                <w:rFonts w:hint="default" w:ascii="Times New Roman" w:hAnsi="Times New Roman" w:eastAsia="宋体" w:cs="Times New Roman"/>
                <w:color w:val="auto"/>
                <w:sz w:val="21"/>
                <w:szCs w:val="21"/>
                <w:highlight w:val="none"/>
              </w:rPr>
              <w:t>达标  □</w:t>
            </w:r>
          </w:p>
        </w:tc>
        <w:tc>
          <w:tcPr>
            <w:tcW w:w="1961" w:type="pct"/>
            <w:gridSpan w:val="8"/>
            <w:tcBorders>
              <w:tl2br w:val="nil"/>
              <w:tr2bl w:val="nil"/>
            </w:tcBorders>
            <w:noWrap w:val="0"/>
            <w:vAlign w:val="center"/>
          </w:tcPr>
          <w:p w14:paraId="0CF6C7D8">
            <w:pPr>
              <w:pStyle w:val="47"/>
              <w:keepNext w:val="0"/>
              <w:keepLines w:val="0"/>
              <w:pageBreakBefore w:val="0"/>
              <w:widowControl w:val="0"/>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C</w:t>
            </w:r>
            <w:r>
              <w:rPr>
                <w:rFonts w:hint="default" w:ascii="Times New Roman" w:hAnsi="Times New Roman" w:eastAsia="宋体" w:cs="Times New Roman"/>
                <w:color w:val="auto"/>
                <w:position w:val="-5"/>
                <w:sz w:val="21"/>
                <w:szCs w:val="21"/>
                <w:highlight w:val="none"/>
              </w:rPr>
              <w:t>叠加</w:t>
            </w:r>
            <w:r>
              <w:rPr>
                <w:rFonts w:hint="default" w:ascii="Times New Roman" w:hAnsi="Times New Roman" w:eastAsia="宋体" w:cs="Times New Roman"/>
                <w:color w:val="auto"/>
                <w:sz w:val="21"/>
                <w:szCs w:val="21"/>
                <w:highlight w:val="none"/>
              </w:rPr>
              <w:t>不达标 □</w:t>
            </w:r>
          </w:p>
        </w:tc>
      </w:tr>
      <w:tr w14:paraId="176E6D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5" w:type="pct"/>
            <w:vMerge w:val="continue"/>
            <w:tcBorders>
              <w:tl2br w:val="nil"/>
              <w:tr2bl w:val="nil"/>
            </w:tcBorders>
            <w:noWrap w:val="0"/>
            <w:vAlign w:val="center"/>
          </w:tcPr>
          <w:p w14:paraId="66A2B1C6">
            <w:pPr>
              <w:keepNext w:val="0"/>
              <w:keepLines w:val="0"/>
              <w:pageBreakBefore w:val="0"/>
              <w:widowControl w:val="0"/>
              <w:kinsoku/>
              <w:wordWrap/>
              <w:overflowPunct/>
              <w:topLinePunct w:val="0"/>
              <w:autoSpaceDE w:val="0"/>
              <w:autoSpaceDN w:val="0"/>
              <w:bidi w:val="0"/>
              <w:adjustRightInd/>
              <w:snapToGrid/>
              <w:spacing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884" w:type="pct"/>
            <w:tcBorders>
              <w:tl2br w:val="nil"/>
              <w:tr2bl w:val="nil"/>
            </w:tcBorders>
            <w:noWrap w:val="0"/>
            <w:vAlign w:val="center"/>
          </w:tcPr>
          <w:p w14:paraId="4C000227">
            <w:pPr>
              <w:pStyle w:val="47"/>
              <w:keepNext w:val="0"/>
              <w:keepLines w:val="0"/>
              <w:pageBreakBefore w:val="0"/>
              <w:widowControl w:val="0"/>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区域环境质量的整体变化情况</w:t>
            </w:r>
          </w:p>
        </w:tc>
        <w:tc>
          <w:tcPr>
            <w:tcW w:w="1678" w:type="pct"/>
            <w:gridSpan w:val="5"/>
            <w:tcBorders>
              <w:tl2br w:val="nil"/>
              <w:tr2bl w:val="nil"/>
            </w:tcBorders>
            <w:noWrap w:val="0"/>
            <w:vAlign w:val="center"/>
          </w:tcPr>
          <w:p w14:paraId="47B26732">
            <w:pPr>
              <w:pStyle w:val="47"/>
              <w:keepNext w:val="0"/>
              <w:keepLines w:val="0"/>
              <w:pageBreakBefore w:val="0"/>
              <w:widowControl w:val="0"/>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color w:val="auto"/>
                <w:sz w:val="21"/>
                <w:szCs w:val="21"/>
                <w:highlight w:val="none"/>
              </w:rPr>
              <w:t>k</w:t>
            </w:r>
            <w:r>
              <w:rPr>
                <w:rFonts w:hint="default" w:ascii="Times New Roman" w:hAnsi="Times New Roman" w:eastAsia="宋体" w:cs="Times New Roman"/>
                <w:color w:val="auto"/>
                <w:sz w:val="21"/>
                <w:szCs w:val="21"/>
                <w:highlight w:val="none"/>
              </w:rPr>
              <w:t>≤-20% □</w:t>
            </w:r>
          </w:p>
        </w:tc>
        <w:tc>
          <w:tcPr>
            <w:tcW w:w="1961" w:type="pct"/>
            <w:gridSpan w:val="8"/>
            <w:tcBorders>
              <w:tl2br w:val="nil"/>
              <w:tr2bl w:val="nil"/>
            </w:tcBorders>
            <w:noWrap w:val="0"/>
            <w:vAlign w:val="center"/>
          </w:tcPr>
          <w:p w14:paraId="098BDAED">
            <w:pPr>
              <w:pStyle w:val="47"/>
              <w:keepNext w:val="0"/>
              <w:keepLines w:val="0"/>
              <w:pageBreakBefore w:val="0"/>
              <w:widowControl w:val="0"/>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color w:val="auto"/>
                <w:sz w:val="21"/>
                <w:szCs w:val="21"/>
                <w:highlight w:val="none"/>
              </w:rPr>
              <w:t>k</w:t>
            </w:r>
            <w:r>
              <w:rPr>
                <w:rFonts w:hint="default" w:ascii="Times New Roman" w:hAnsi="Times New Roman" w:eastAsia="宋体" w:cs="Times New Roman"/>
                <w:color w:val="auto"/>
                <w:sz w:val="21"/>
                <w:szCs w:val="21"/>
                <w:highlight w:val="none"/>
              </w:rPr>
              <w:t>＞-20% □</w:t>
            </w:r>
          </w:p>
        </w:tc>
      </w:tr>
      <w:tr w14:paraId="69A9FF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5" w:type="pct"/>
            <w:vMerge w:val="restart"/>
            <w:tcBorders>
              <w:tl2br w:val="nil"/>
              <w:tr2bl w:val="nil"/>
            </w:tcBorders>
            <w:noWrap w:val="0"/>
            <w:vAlign w:val="center"/>
          </w:tcPr>
          <w:p w14:paraId="62F81E37">
            <w:pPr>
              <w:pStyle w:val="47"/>
              <w:keepNext w:val="0"/>
              <w:keepLines w:val="0"/>
              <w:pageBreakBefore w:val="0"/>
              <w:widowControl w:val="0"/>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环境监测计划</w:t>
            </w:r>
          </w:p>
        </w:tc>
        <w:tc>
          <w:tcPr>
            <w:tcW w:w="884" w:type="pct"/>
            <w:tcBorders>
              <w:tl2br w:val="nil"/>
              <w:tr2bl w:val="nil"/>
            </w:tcBorders>
            <w:noWrap w:val="0"/>
            <w:vAlign w:val="center"/>
          </w:tcPr>
          <w:p w14:paraId="3BD2EAEB">
            <w:pPr>
              <w:pStyle w:val="47"/>
              <w:keepNext w:val="0"/>
              <w:keepLines w:val="0"/>
              <w:pageBreakBefore w:val="0"/>
              <w:widowControl w:val="0"/>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污染源监测</w:t>
            </w:r>
          </w:p>
        </w:tc>
        <w:tc>
          <w:tcPr>
            <w:tcW w:w="1678" w:type="pct"/>
            <w:gridSpan w:val="5"/>
            <w:tcBorders>
              <w:tl2br w:val="nil"/>
              <w:tr2bl w:val="nil"/>
            </w:tcBorders>
            <w:noWrap w:val="0"/>
            <w:vAlign w:val="center"/>
          </w:tcPr>
          <w:p w14:paraId="6D9A72EB">
            <w:pPr>
              <w:pStyle w:val="47"/>
              <w:keepNext w:val="0"/>
              <w:keepLines w:val="0"/>
              <w:pageBreakBefore w:val="0"/>
              <w:widowControl w:val="0"/>
              <w:tabs>
                <w:tab w:val="left" w:pos="2466"/>
              </w:tabs>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监测因子</w:t>
            </w:r>
            <w:r>
              <w:rPr>
                <w:rFonts w:hint="default" w:ascii="Times New Roman" w:hAnsi="Times New Roman" w:eastAsia="宋体" w:cs="Times New Roman"/>
                <w:color w:val="auto"/>
                <w:spacing w:val="-92"/>
                <w:sz w:val="21"/>
                <w:szCs w:val="21"/>
                <w:highlight w:val="none"/>
              </w:rPr>
              <w:t>：</w:t>
            </w:r>
            <w:r>
              <w:rPr>
                <w:rFonts w:hint="default" w:ascii="Times New Roman" w:hAnsi="Times New Roman" w:eastAsia="宋体"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颗粒物</w:t>
            </w:r>
            <w:r>
              <w:rPr>
                <w:rFonts w:hint="default" w:ascii="Times New Roman" w:hAnsi="Times New Roman" w:eastAsia="宋体" w:cs="Times New Roman"/>
                <w:color w:val="auto"/>
                <w:sz w:val="21"/>
                <w:szCs w:val="21"/>
                <w:highlight w:val="none"/>
              </w:rPr>
              <w:t>）</w:t>
            </w:r>
          </w:p>
        </w:tc>
        <w:tc>
          <w:tcPr>
            <w:tcW w:w="1470" w:type="pct"/>
            <w:gridSpan w:val="6"/>
            <w:tcBorders>
              <w:tl2br w:val="nil"/>
              <w:tr2bl w:val="nil"/>
            </w:tcBorders>
            <w:noWrap w:val="0"/>
            <w:vAlign w:val="center"/>
          </w:tcPr>
          <w:p w14:paraId="5ADDDAAC">
            <w:pPr>
              <w:pStyle w:val="47"/>
              <w:keepNext w:val="0"/>
              <w:keepLines w:val="0"/>
              <w:pageBreakBefore w:val="0"/>
              <w:widowControl w:val="0"/>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有组织废气监测</w:t>
            </w:r>
            <w:r>
              <w:rPr>
                <w:rFonts w:hint="default" w:ascii="Times New Roman" w:hAnsi="Times New Roman" w:eastAsia="宋体" w:cs="Times New Roman"/>
                <w:color w:val="auto"/>
                <w:sz w:val="21"/>
                <w:szCs w:val="21"/>
                <w:highlight w:val="none"/>
                <w:lang w:eastAsia="zh-CN"/>
              </w:rPr>
              <w:t>☑</w:t>
            </w:r>
          </w:p>
          <w:p w14:paraId="4A365BD5">
            <w:pPr>
              <w:pStyle w:val="47"/>
              <w:keepNext w:val="0"/>
              <w:keepLines w:val="0"/>
              <w:pageBreakBefore w:val="0"/>
              <w:widowControl w:val="0"/>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无组织废气监测</w:t>
            </w:r>
            <w:r>
              <w:rPr>
                <w:rFonts w:hint="default" w:ascii="Times New Roman" w:hAnsi="Times New Roman" w:eastAsia="宋体" w:cs="Times New Roman"/>
                <w:color w:val="auto"/>
                <w:sz w:val="21"/>
                <w:szCs w:val="21"/>
                <w:highlight w:val="none"/>
                <w:lang w:eastAsia="zh-CN"/>
              </w:rPr>
              <w:t>☑</w:t>
            </w:r>
          </w:p>
        </w:tc>
        <w:tc>
          <w:tcPr>
            <w:tcW w:w="491" w:type="pct"/>
            <w:gridSpan w:val="2"/>
            <w:tcBorders>
              <w:tl2br w:val="nil"/>
              <w:tr2bl w:val="nil"/>
            </w:tcBorders>
            <w:noWrap w:val="0"/>
            <w:vAlign w:val="center"/>
          </w:tcPr>
          <w:p w14:paraId="4E6E4FFD">
            <w:pPr>
              <w:pStyle w:val="47"/>
              <w:keepNext w:val="0"/>
              <w:keepLines w:val="0"/>
              <w:pageBreakBefore w:val="0"/>
              <w:widowControl w:val="0"/>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无监测□</w:t>
            </w:r>
          </w:p>
        </w:tc>
      </w:tr>
      <w:tr w14:paraId="2FF28A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5" w:type="pct"/>
            <w:vMerge w:val="continue"/>
            <w:tcBorders>
              <w:tl2br w:val="nil"/>
              <w:tr2bl w:val="nil"/>
            </w:tcBorders>
            <w:noWrap w:val="0"/>
            <w:vAlign w:val="center"/>
          </w:tcPr>
          <w:p w14:paraId="2C425D00">
            <w:pPr>
              <w:keepNext w:val="0"/>
              <w:keepLines w:val="0"/>
              <w:pageBreakBefore w:val="0"/>
              <w:widowControl w:val="0"/>
              <w:kinsoku/>
              <w:wordWrap/>
              <w:overflowPunct/>
              <w:topLinePunct w:val="0"/>
              <w:autoSpaceDE w:val="0"/>
              <w:autoSpaceDN w:val="0"/>
              <w:bidi w:val="0"/>
              <w:adjustRightInd/>
              <w:snapToGrid/>
              <w:spacing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884" w:type="pct"/>
            <w:tcBorders>
              <w:tl2br w:val="nil"/>
              <w:tr2bl w:val="nil"/>
            </w:tcBorders>
            <w:noWrap w:val="0"/>
            <w:vAlign w:val="center"/>
          </w:tcPr>
          <w:p w14:paraId="12D0C0C3">
            <w:pPr>
              <w:pStyle w:val="47"/>
              <w:keepNext w:val="0"/>
              <w:keepLines w:val="0"/>
              <w:pageBreakBefore w:val="0"/>
              <w:widowControl w:val="0"/>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环境质量监测</w:t>
            </w:r>
          </w:p>
        </w:tc>
        <w:tc>
          <w:tcPr>
            <w:tcW w:w="1678" w:type="pct"/>
            <w:gridSpan w:val="5"/>
            <w:tcBorders>
              <w:tl2br w:val="nil"/>
              <w:tr2bl w:val="nil"/>
            </w:tcBorders>
            <w:noWrap w:val="0"/>
            <w:vAlign w:val="center"/>
          </w:tcPr>
          <w:p w14:paraId="6A17E72D">
            <w:pPr>
              <w:pStyle w:val="47"/>
              <w:keepNext w:val="0"/>
              <w:keepLines w:val="0"/>
              <w:pageBreakBefore w:val="0"/>
              <w:widowControl w:val="0"/>
              <w:tabs>
                <w:tab w:val="left" w:pos="2466"/>
              </w:tabs>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监测因子</w:t>
            </w:r>
            <w:r>
              <w:rPr>
                <w:rFonts w:hint="default" w:ascii="Times New Roman" w:hAnsi="Times New Roman" w:eastAsia="宋体" w:cs="Times New Roman"/>
                <w:color w:val="auto"/>
                <w:spacing w:val="-92"/>
                <w:sz w:val="21"/>
                <w:szCs w:val="21"/>
                <w:highlight w:val="none"/>
              </w:rPr>
              <w:t>：</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w:t>
            </w:r>
          </w:p>
        </w:tc>
        <w:tc>
          <w:tcPr>
            <w:tcW w:w="1470" w:type="pct"/>
            <w:gridSpan w:val="6"/>
            <w:tcBorders>
              <w:tl2br w:val="nil"/>
              <w:tr2bl w:val="nil"/>
            </w:tcBorders>
            <w:noWrap w:val="0"/>
            <w:vAlign w:val="center"/>
          </w:tcPr>
          <w:p w14:paraId="7F6B7148">
            <w:pPr>
              <w:pStyle w:val="47"/>
              <w:keepNext w:val="0"/>
              <w:keepLines w:val="0"/>
              <w:pageBreakBefore w:val="0"/>
              <w:widowControl w:val="0"/>
              <w:tabs>
                <w:tab w:val="left" w:pos="1928"/>
              </w:tabs>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监测点位数（</w:t>
            </w:r>
            <w:r>
              <w:rPr>
                <w:rFonts w:hint="eastAsia"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w:t>
            </w:r>
          </w:p>
        </w:tc>
        <w:tc>
          <w:tcPr>
            <w:tcW w:w="491" w:type="pct"/>
            <w:gridSpan w:val="2"/>
            <w:tcBorders>
              <w:tl2br w:val="nil"/>
              <w:tr2bl w:val="nil"/>
            </w:tcBorders>
            <w:noWrap w:val="0"/>
            <w:vAlign w:val="center"/>
          </w:tcPr>
          <w:p w14:paraId="08F106E8">
            <w:pPr>
              <w:pStyle w:val="47"/>
              <w:keepNext w:val="0"/>
              <w:keepLines w:val="0"/>
              <w:pageBreakBefore w:val="0"/>
              <w:widowControl w:val="0"/>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无监测□</w:t>
            </w:r>
          </w:p>
        </w:tc>
      </w:tr>
      <w:tr w14:paraId="4E3FCB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5" w:type="pct"/>
            <w:vMerge w:val="restart"/>
            <w:tcBorders>
              <w:tl2br w:val="nil"/>
              <w:tr2bl w:val="nil"/>
            </w:tcBorders>
            <w:noWrap w:val="0"/>
            <w:vAlign w:val="center"/>
          </w:tcPr>
          <w:p w14:paraId="70E61A7A">
            <w:pPr>
              <w:pStyle w:val="47"/>
              <w:keepNext w:val="0"/>
              <w:keepLines w:val="0"/>
              <w:pageBreakBefore w:val="0"/>
              <w:widowControl w:val="0"/>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评价结论</w:t>
            </w:r>
          </w:p>
        </w:tc>
        <w:tc>
          <w:tcPr>
            <w:tcW w:w="884" w:type="pct"/>
            <w:tcBorders>
              <w:tl2br w:val="nil"/>
              <w:tr2bl w:val="nil"/>
            </w:tcBorders>
            <w:noWrap w:val="0"/>
            <w:vAlign w:val="center"/>
          </w:tcPr>
          <w:p w14:paraId="3A76DDC9">
            <w:pPr>
              <w:pStyle w:val="47"/>
              <w:keepNext w:val="0"/>
              <w:keepLines w:val="0"/>
              <w:pageBreakBefore w:val="0"/>
              <w:widowControl w:val="0"/>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环境影响</w:t>
            </w:r>
          </w:p>
        </w:tc>
        <w:tc>
          <w:tcPr>
            <w:tcW w:w="3640" w:type="pct"/>
            <w:gridSpan w:val="13"/>
            <w:tcBorders>
              <w:tl2br w:val="nil"/>
              <w:tr2bl w:val="nil"/>
            </w:tcBorders>
            <w:noWrap w:val="0"/>
            <w:vAlign w:val="center"/>
          </w:tcPr>
          <w:p w14:paraId="73CB8ABF">
            <w:pPr>
              <w:pStyle w:val="47"/>
              <w:keepNext w:val="0"/>
              <w:keepLines w:val="0"/>
              <w:pageBreakBefore w:val="0"/>
              <w:widowControl w:val="0"/>
              <w:tabs>
                <w:tab w:val="left" w:pos="3582"/>
              </w:tabs>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可以接受</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ab/>
            </w:r>
            <w:r>
              <w:rPr>
                <w:rFonts w:hint="default" w:ascii="Times New Roman" w:hAnsi="Times New Roman" w:eastAsia="宋体" w:cs="Times New Roman"/>
                <w:color w:val="auto"/>
                <w:sz w:val="21"/>
                <w:szCs w:val="21"/>
                <w:highlight w:val="none"/>
              </w:rPr>
              <w:t>不可以</w:t>
            </w:r>
            <w:r>
              <w:rPr>
                <w:rFonts w:hint="default" w:ascii="Times New Roman" w:hAnsi="Times New Roman" w:eastAsia="宋体" w:cs="Times New Roman"/>
                <w:color w:val="auto"/>
                <w:spacing w:val="-3"/>
                <w:sz w:val="21"/>
                <w:szCs w:val="21"/>
                <w:highlight w:val="none"/>
              </w:rPr>
              <w:t>接</w:t>
            </w:r>
            <w:r>
              <w:rPr>
                <w:rFonts w:hint="default" w:ascii="Times New Roman" w:hAnsi="Times New Roman" w:eastAsia="宋体" w:cs="Times New Roman"/>
                <w:color w:val="auto"/>
                <w:sz w:val="21"/>
                <w:szCs w:val="21"/>
                <w:highlight w:val="none"/>
              </w:rPr>
              <w:t>受</w:t>
            </w:r>
            <w:r>
              <w:rPr>
                <w:rFonts w:hint="default" w:ascii="Times New Roman" w:hAnsi="Times New Roman" w:eastAsia="宋体" w:cs="Times New Roman"/>
                <w:color w:val="auto"/>
                <w:spacing w:val="11"/>
                <w:sz w:val="21"/>
                <w:szCs w:val="21"/>
                <w:highlight w:val="none"/>
              </w:rPr>
              <w:t xml:space="preserve"> </w:t>
            </w:r>
            <w:r>
              <w:rPr>
                <w:rFonts w:hint="default" w:ascii="Times New Roman" w:hAnsi="Times New Roman" w:eastAsia="宋体" w:cs="Times New Roman"/>
                <w:color w:val="auto"/>
                <w:sz w:val="21"/>
                <w:szCs w:val="21"/>
                <w:highlight w:val="none"/>
              </w:rPr>
              <w:t>□</w:t>
            </w:r>
          </w:p>
        </w:tc>
      </w:tr>
      <w:tr w14:paraId="598BAF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5" w:type="pct"/>
            <w:vMerge w:val="continue"/>
            <w:tcBorders>
              <w:tl2br w:val="nil"/>
              <w:tr2bl w:val="nil"/>
            </w:tcBorders>
            <w:noWrap w:val="0"/>
            <w:vAlign w:val="center"/>
          </w:tcPr>
          <w:p w14:paraId="4745FBD9">
            <w:pPr>
              <w:keepNext w:val="0"/>
              <w:keepLines w:val="0"/>
              <w:pageBreakBefore w:val="0"/>
              <w:widowControl w:val="0"/>
              <w:kinsoku/>
              <w:wordWrap/>
              <w:overflowPunct/>
              <w:topLinePunct w:val="0"/>
              <w:autoSpaceDE w:val="0"/>
              <w:autoSpaceDN w:val="0"/>
              <w:bidi w:val="0"/>
              <w:adjustRightInd/>
              <w:snapToGrid/>
              <w:spacing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884" w:type="pct"/>
            <w:tcBorders>
              <w:tl2br w:val="nil"/>
              <w:tr2bl w:val="nil"/>
            </w:tcBorders>
            <w:noWrap w:val="0"/>
            <w:vAlign w:val="center"/>
          </w:tcPr>
          <w:p w14:paraId="5E841C72">
            <w:pPr>
              <w:pStyle w:val="47"/>
              <w:keepNext w:val="0"/>
              <w:keepLines w:val="0"/>
              <w:pageBreakBefore w:val="0"/>
              <w:widowControl w:val="0"/>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大气环境防护距离</w:t>
            </w:r>
          </w:p>
        </w:tc>
        <w:tc>
          <w:tcPr>
            <w:tcW w:w="3640" w:type="pct"/>
            <w:gridSpan w:val="13"/>
            <w:tcBorders>
              <w:tl2br w:val="nil"/>
              <w:tr2bl w:val="nil"/>
            </w:tcBorders>
            <w:noWrap w:val="0"/>
            <w:vAlign w:val="center"/>
          </w:tcPr>
          <w:p w14:paraId="6662E074">
            <w:pPr>
              <w:pStyle w:val="47"/>
              <w:keepNext w:val="0"/>
              <w:keepLines w:val="0"/>
              <w:pageBreakBefore w:val="0"/>
              <w:widowControl w:val="0"/>
              <w:tabs>
                <w:tab w:val="left" w:pos="2840"/>
                <w:tab w:val="left" w:pos="4367"/>
              </w:tabs>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距（</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）厂界最远（</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）m</w:t>
            </w:r>
          </w:p>
        </w:tc>
      </w:tr>
      <w:tr w14:paraId="3D50AF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5" w:type="pct"/>
            <w:vMerge w:val="continue"/>
            <w:tcBorders>
              <w:tl2br w:val="nil"/>
              <w:tr2bl w:val="nil"/>
            </w:tcBorders>
            <w:noWrap w:val="0"/>
            <w:vAlign w:val="center"/>
          </w:tcPr>
          <w:p w14:paraId="61D1B7E7">
            <w:pPr>
              <w:keepNext w:val="0"/>
              <w:keepLines w:val="0"/>
              <w:pageBreakBefore w:val="0"/>
              <w:widowControl w:val="0"/>
              <w:kinsoku/>
              <w:wordWrap/>
              <w:overflowPunct/>
              <w:topLinePunct w:val="0"/>
              <w:autoSpaceDE w:val="0"/>
              <w:autoSpaceDN w:val="0"/>
              <w:bidi w:val="0"/>
              <w:adjustRightInd/>
              <w:snapToGrid/>
              <w:spacing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884" w:type="pct"/>
            <w:tcBorders>
              <w:tl2br w:val="nil"/>
              <w:tr2bl w:val="nil"/>
            </w:tcBorders>
            <w:noWrap w:val="0"/>
            <w:vAlign w:val="center"/>
          </w:tcPr>
          <w:p w14:paraId="0C503175">
            <w:pPr>
              <w:pStyle w:val="47"/>
              <w:keepNext w:val="0"/>
              <w:keepLines w:val="0"/>
              <w:pageBreakBefore w:val="0"/>
              <w:widowControl w:val="0"/>
              <w:kinsoku/>
              <w:wordWrap/>
              <w:overflowPunct/>
              <w:topLinePunct w:val="0"/>
              <w:autoSpaceDE w:val="0"/>
              <w:autoSpaceDN w:val="0"/>
              <w:bidi w:val="0"/>
              <w:adjustRightInd/>
              <w:snapToGrid/>
              <w:spacing w:before="0" w:beforeAutospacing="0" w:line="240" w:lineRule="auto"/>
              <w:ind w:left="0" w:leftChars="0" w:right="0" w:rightChars="0" w:firstLine="0" w:firstLineChars="0"/>
              <w:jc w:val="center"/>
              <w:textAlignment w:val="auto"/>
              <w:rPr>
                <w:rFonts w:hint="default" w:ascii="Times New Roman" w:hAnsi="Times New Roman" w:eastAsia="宋体" w:cs="Times New Roman"/>
                <w:color w:val="00B050"/>
                <w:sz w:val="21"/>
                <w:szCs w:val="21"/>
                <w:highlight w:val="none"/>
              </w:rPr>
            </w:pPr>
            <w:r>
              <w:rPr>
                <w:rFonts w:hint="default" w:ascii="Times New Roman" w:hAnsi="Times New Roman" w:eastAsia="宋体" w:cs="Times New Roman"/>
                <w:color w:val="00B050"/>
                <w:sz w:val="21"/>
                <w:szCs w:val="21"/>
                <w:highlight w:val="none"/>
              </w:rPr>
              <w:t>污染源年排放量</w:t>
            </w:r>
          </w:p>
        </w:tc>
        <w:tc>
          <w:tcPr>
            <w:tcW w:w="763" w:type="pct"/>
            <w:gridSpan w:val="2"/>
            <w:tcBorders>
              <w:tl2br w:val="nil"/>
              <w:tr2bl w:val="nil"/>
            </w:tcBorders>
            <w:noWrap w:val="0"/>
            <w:vAlign w:val="center"/>
          </w:tcPr>
          <w:p w14:paraId="1311ACF0">
            <w:pPr>
              <w:pStyle w:val="47"/>
              <w:keepNext w:val="0"/>
              <w:keepLines w:val="0"/>
              <w:pageBreakBefore w:val="0"/>
              <w:widowControl w:val="0"/>
              <w:tabs>
                <w:tab w:val="left" w:pos="1129"/>
              </w:tabs>
              <w:kinsoku/>
              <w:wordWrap/>
              <w:overflowPunct/>
              <w:topLinePunct w:val="0"/>
              <w:autoSpaceDE w:val="0"/>
              <w:autoSpaceDN w:val="0"/>
              <w:bidi w:val="0"/>
              <w:adjustRightInd/>
              <w:snapToGrid/>
              <w:spacing w:before="0" w:beforeAutospacing="0" w:line="240" w:lineRule="auto"/>
              <w:ind w:left="0" w:leftChars="0" w:right="0" w:rightChars="0" w:firstLine="0" w:firstLineChars="0"/>
              <w:jc w:val="center"/>
              <w:textAlignment w:val="auto"/>
              <w:rPr>
                <w:rFonts w:hint="default" w:ascii="Times New Roman" w:hAnsi="Times New Roman" w:eastAsia="宋体" w:cs="Times New Roman"/>
                <w:color w:val="00B050"/>
                <w:sz w:val="21"/>
                <w:szCs w:val="21"/>
                <w:highlight w:val="none"/>
              </w:rPr>
            </w:pPr>
            <w:r>
              <w:rPr>
                <w:rFonts w:hint="default" w:ascii="Times New Roman" w:hAnsi="Times New Roman" w:eastAsia="宋体" w:cs="Times New Roman"/>
                <w:color w:val="00B050"/>
                <w:position w:val="1"/>
                <w:sz w:val="21"/>
                <w:szCs w:val="21"/>
                <w:highlight w:val="none"/>
              </w:rPr>
              <w:t>SO</w:t>
            </w:r>
            <w:r>
              <w:rPr>
                <w:rFonts w:hint="default" w:ascii="Times New Roman" w:hAnsi="Times New Roman" w:eastAsia="宋体" w:cs="Times New Roman"/>
                <w:color w:val="00B050"/>
                <w:sz w:val="21"/>
                <w:szCs w:val="21"/>
                <w:highlight w:val="none"/>
                <w:vertAlign w:val="subscript"/>
              </w:rPr>
              <w:t>2</w:t>
            </w:r>
            <w:r>
              <w:rPr>
                <w:rFonts w:hint="default" w:ascii="Times New Roman" w:hAnsi="Times New Roman" w:eastAsia="宋体" w:cs="Times New Roman"/>
                <w:color w:val="00B050"/>
                <w:position w:val="1"/>
                <w:sz w:val="21"/>
                <w:szCs w:val="21"/>
                <w:highlight w:val="none"/>
                <w:lang w:eastAsia="zh-CN"/>
              </w:rPr>
              <w:t>：</w:t>
            </w:r>
            <w:r>
              <w:rPr>
                <w:rFonts w:hint="default" w:ascii="Times New Roman" w:hAnsi="Times New Roman" w:eastAsia="宋体" w:cs="Times New Roman"/>
                <w:color w:val="00B050"/>
                <w:position w:val="1"/>
                <w:sz w:val="21"/>
                <w:szCs w:val="21"/>
                <w:highlight w:val="none"/>
              </w:rPr>
              <w:t>（</w:t>
            </w:r>
            <w:r>
              <w:rPr>
                <w:rFonts w:hint="eastAsia" w:cs="Times New Roman"/>
                <w:color w:val="00B050"/>
                <w:position w:val="1"/>
                <w:sz w:val="21"/>
                <w:szCs w:val="21"/>
                <w:highlight w:val="none"/>
                <w:lang w:val="en-US" w:eastAsia="zh-CN"/>
              </w:rPr>
              <w:t>/</w:t>
            </w:r>
            <w:r>
              <w:rPr>
                <w:rFonts w:hint="default" w:ascii="Times New Roman" w:hAnsi="Times New Roman" w:eastAsia="宋体" w:cs="Times New Roman"/>
                <w:color w:val="00B050"/>
                <w:position w:val="1"/>
                <w:sz w:val="21"/>
                <w:szCs w:val="21"/>
                <w:highlight w:val="none"/>
              </w:rPr>
              <w:t>）t/a</w:t>
            </w:r>
          </w:p>
        </w:tc>
        <w:tc>
          <w:tcPr>
            <w:tcW w:w="914" w:type="pct"/>
            <w:gridSpan w:val="3"/>
            <w:tcBorders>
              <w:tl2br w:val="nil"/>
              <w:tr2bl w:val="nil"/>
            </w:tcBorders>
            <w:noWrap w:val="0"/>
            <w:vAlign w:val="center"/>
          </w:tcPr>
          <w:p w14:paraId="2C6B93E3">
            <w:pPr>
              <w:pStyle w:val="47"/>
              <w:keepNext w:val="0"/>
              <w:keepLines w:val="0"/>
              <w:pageBreakBefore w:val="0"/>
              <w:widowControl w:val="0"/>
              <w:tabs>
                <w:tab w:val="left" w:pos="1181"/>
              </w:tabs>
              <w:kinsoku/>
              <w:wordWrap/>
              <w:overflowPunct/>
              <w:topLinePunct w:val="0"/>
              <w:autoSpaceDE w:val="0"/>
              <w:autoSpaceDN w:val="0"/>
              <w:bidi w:val="0"/>
              <w:adjustRightInd/>
              <w:snapToGrid/>
              <w:spacing w:before="0" w:beforeAutospacing="0" w:line="240" w:lineRule="auto"/>
              <w:ind w:left="0" w:leftChars="0" w:right="0" w:rightChars="0" w:firstLine="0" w:firstLineChars="0"/>
              <w:jc w:val="center"/>
              <w:textAlignment w:val="auto"/>
              <w:rPr>
                <w:rFonts w:hint="default" w:ascii="Times New Roman" w:hAnsi="Times New Roman" w:eastAsia="宋体" w:cs="Times New Roman"/>
                <w:color w:val="00B050"/>
                <w:position w:val="1"/>
                <w:sz w:val="21"/>
                <w:szCs w:val="21"/>
                <w:highlight w:val="none"/>
                <w:lang w:eastAsia="zh-CN"/>
              </w:rPr>
            </w:pPr>
            <w:r>
              <w:rPr>
                <w:rFonts w:hint="default" w:ascii="Times New Roman" w:hAnsi="Times New Roman" w:eastAsia="宋体" w:cs="Times New Roman"/>
                <w:color w:val="00B050"/>
                <w:position w:val="1"/>
                <w:sz w:val="21"/>
                <w:szCs w:val="21"/>
                <w:highlight w:val="none"/>
              </w:rPr>
              <w:t>NO</w:t>
            </w:r>
            <w:r>
              <w:rPr>
                <w:rFonts w:hint="default" w:ascii="Times New Roman" w:hAnsi="Times New Roman" w:eastAsia="宋体" w:cs="Times New Roman"/>
                <w:color w:val="00B050"/>
                <w:sz w:val="21"/>
                <w:szCs w:val="21"/>
                <w:highlight w:val="none"/>
              </w:rPr>
              <w:t>x</w:t>
            </w:r>
            <w:r>
              <w:rPr>
                <w:rFonts w:hint="default" w:ascii="Times New Roman" w:hAnsi="Times New Roman" w:eastAsia="宋体" w:cs="Times New Roman"/>
                <w:color w:val="00B050"/>
                <w:position w:val="1"/>
                <w:sz w:val="21"/>
                <w:szCs w:val="21"/>
                <w:highlight w:val="none"/>
                <w:lang w:eastAsia="zh-CN"/>
              </w:rPr>
              <w:t>：</w:t>
            </w:r>
          </w:p>
          <w:p w14:paraId="52B256B9">
            <w:pPr>
              <w:pStyle w:val="47"/>
              <w:keepNext w:val="0"/>
              <w:keepLines w:val="0"/>
              <w:pageBreakBefore w:val="0"/>
              <w:widowControl w:val="0"/>
              <w:tabs>
                <w:tab w:val="left" w:pos="1181"/>
              </w:tabs>
              <w:kinsoku/>
              <w:wordWrap/>
              <w:overflowPunct/>
              <w:topLinePunct w:val="0"/>
              <w:autoSpaceDE w:val="0"/>
              <w:autoSpaceDN w:val="0"/>
              <w:bidi w:val="0"/>
              <w:adjustRightInd/>
              <w:snapToGrid/>
              <w:spacing w:before="0" w:beforeAutospacing="0" w:line="240" w:lineRule="auto"/>
              <w:ind w:left="0" w:leftChars="0" w:right="0" w:rightChars="0" w:firstLine="0" w:firstLineChars="0"/>
              <w:jc w:val="center"/>
              <w:textAlignment w:val="auto"/>
              <w:rPr>
                <w:rFonts w:hint="default" w:ascii="Times New Roman" w:hAnsi="Times New Roman" w:eastAsia="宋体" w:cs="Times New Roman"/>
                <w:color w:val="00B050"/>
                <w:sz w:val="21"/>
                <w:szCs w:val="21"/>
                <w:highlight w:val="none"/>
              </w:rPr>
            </w:pPr>
            <w:r>
              <w:rPr>
                <w:rFonts w:hint="default" w:ascii="Times New Roman" w:hAnsi="Times New Roman" w:eastAsia="宋体" w:cs="Times New Roman"/>
                <w:color w:val="00B050"/>
                <w:position w:val="1"/>
                <w:sz w:val="21"/>
                <w:szCs w:val="21"/>
                <w:highlight w:val="none"/>
              </w:rPr>
              <w:t>（</w:t>
            </w:r>
            <w:r>
              <w:rPr>
                <w:rFonts w:hint="eastAsia" w:cs="Times New Roman"/>
                <w:color w:val="00B050"/>
                <w:position w:val="1"/>
                <w:sz w:val="21"/>
                <w:szCs w:val="21"/>
                <w:highlight w:val="none"/>
                <w:lang w:val="en-US" w:eastAsia="zh-CN"/>
              </w:rPr>
              <w:t>/</w:t>
            </w:r>
            <w:r>
              <w:rPr>
                <w:rFonts w:hint="default" w:ascii="Times New Roman" w:hAnsi="Times New Roman" w:eastAsia="宋体" w:cs="Times New Roman"/>
                <w:color w:val="00B050"/>
                <w:position w:val="1"/>
                <w:sz w:val="21"/>
                <w:szCs w:val="21"/>
                <w:highlight w:val="none"/>
              </w:rPr>
              <w:t>）t/a</w:t>
            </w:r>
          </w:p>
        </w:tc>
        <w:tc>
          <w:tcPr>
            <w:tcW w:w="1097" w:type="pct"/>
            <w:gridSpan w:val="4"/>
            <w:tcBorders>
              <w:tl2br w:val="nil"/>
              <w:tr2bl w:val="nil"/>
            </w:tcBorders>
            <w:noWrap w:val="0"/>
            <w:vAlign w:val="center"/>
          </w:tcPr>
          <w:p w14:paraId="54F3CE49">
            <w:pPr>
              <w:pStyle w:val="47"/>
              <w:keepNext w:val="0"/>
              <w:keepLines w:val="0"/>
              <w:pageBreakBefore w:val="0"/>
              <w:widowControl w:val="0"/>
              <w:tabs>
                <w:tab w:val="left" w:pos="1081"/>
              </w:tabs>
              <w:kinsoku/>
              <w:wordWrap/>
              <w:overflowPunct/>
              <w:topLinePunct w:val="0"/>
              <w:autoSpaceDE w:val="0"/>
              <w:autoSpaceDN w:val="0"/>
              <w:bidi w:val="0"/>
              <w:adjustRightInd/>
              <w:snapToGrid/>
              <w:spacing w:before="0" w:beforeAutospacing="0" w:line="240" w:lineRule="auto"/>
              <w:ind w:left="0" w:leftChars="0" w:right="0" w:rightChars="0" w:firstLine="0" w:firstLineChars="0"/>
              <w:jc w:val="center"/>
              <w:textAlignment w:val="auto"/>
              <w:rPr>
                <w:rFonts w:hint="default" w:ascii="Times New Roman" w:hAnsi="Times New Roman" w:eastAsia="宋体" w:cs="Times New Roman"/>
                <w:color w:val="00B050"/>
                <w:sz w:val="21"/>
                <w:szCs w:val="21"/>
                <w:highlight w:val="none"/>
              </w:rPr>
            </w:pPr>
            <w:r>
              <w:rPr>
                <w:rFonts w:hint="default" w:ascii="Times New Roman" w:hAnsi="Times New Roman" w:eastAsia="宋体" w:cs="Times New Roman"/>
                <w:color w:val="00B050"/>
                <w:sz w:val="21"/>
                <w:szCs w:val="21"/>
                <w:highlight w:val="none"/>
              </w:rPr>
              <w:t>颗粒物</w:t>
            </w:r>
            <w:r>
              <w:rPr>
                <w:rFonts w:hint="default" w:ascii="Times New Roman" w:hAnsi="Times New Roman" w:eastAsia="宋体" w:cs="Times New Roman"/>
                <w:color w:val="00B050"/>
                <w:sz w:val="21"/>
                <w:szCs w:val="21"/>
                <w:highlight w:val="none"/>
                <w:lang w:eastAsia="zh-CN"/>
              </w:rPr>
              <w:t>：</w:t>
            </w:r>
            <w:r>
              <w:rPr>
                <w:rFonts w:hint="default" w:ascii="Times New Roman" w:hAnsi="Times New Roman" w:eastAsia="宋体" w:cs="Times New Roman"/>
                <w:color w:val="00B050"/>
                <w:sz w:val="21"/>
                <w:szCs w:val="21"/>
                <w:highlight w:val="none"/>
              </w:rPr>
              <w:t>（</w:t>
            </w:r>
            <w:r>
              <w:rPr>
                <w:rFonts w:hint="eastAsia" w:cs="Times New Roman"/>
                <w:color w:val="00B050"/>
                <w:sz w:val="21"/>
                <w:szCs w:val="21"/>
                <w:highlight w:val="none"/>
                <w:lang w:val="en-US" w:eastAsia="zh-CN"/>
              </w:rPr>
              <w:t>0.83</w:t>
            </w:r>
            <w:r>
              <w:rPr>
                <w:rFonts w:hint="default" w:ascii="Times New Roman" w:hAnsi="Times New Roman" w:eastAsia="宋体" w:cs="Times New Roman"/>
                <w:color w:val="00B050"/>
                <w:sz w:val="21"/>
                <w:szCs w:val="21"/>
                <w:highlight w:val="none"/>
              </w:rPr>
              <w:t>）t/a</w:t>
            </w:r>
          </w:p>
        </w:tc>
        <w:tc>
          <w:tcPr>
            <w:tcW w:w="863" w:type="pct"/>
            <w:gridSpan w:val="4"/>
            <w:tcBorders>
              <w:tl2br w:val="nil"/>
              <w:tr2bl w:val="nil"/>
            </w:tcBorders>
            <w:noWrap w:val="0"/>
            <w:vAlign w:val="center"/>
          </w:tcPr>
          <w:p w14:paraId="259ECFBE">
            <w:pPr>
              <w:pStyle w:val="47"/>
              <w:keepNext w:val="0"/>
              <w:keepLines w:val="0"/>
              <w:pageBreakBefore w:val="0"/>
              <w:widowControl w:val="0"/>
              <w:tabs>
                <w:tab w:val="left" w:pos="1039"/>
              </w:tabs>
              <w:kinsoku/>
              <w:wordWrap/>
              <w:overflowPunct/>
              <w:topLinePunct w:val="0"/>
              <w:autoSpaceDE w:val="0"/>
              <w:autoSpaceDN w:val="0"/>
              <w:bidi w:val="0"/>
              <w:adjustRightInd/>
              <w:snapToGrid/>
              <w:spacing w:before="0" w:beforeAutospacing="0" w:line="240" w:lineRule="auto"/>
              <w:ind w:left="0" w:leftChars="0" w:right="0" w:rightChars="0" w:firstLine="0" w:firstLineChars="0"/>
              <w:jc w:val="center"/>
              <w:textAlignment w:val="auto"/>
              <w:rPr>
                <w:rFonts w:hint="default" w:ascii="Times New Roman" w:hAnsi="Times New Roman" w:eastAsia="宋体" w:cs="Times New Roman"/>
                <w:color w:val="00B050"/>
                <w:sz w:val="21"/>
                <w:szCs w:val="21"/>
                <w:highlight w:val="none"/>
              </w:rPr>
            </w:pPr>
            <w:r>
              <w:rPr>
                <w:rFonts w:hint="default" w:ascii="Times New Roman" w:hAnsi="Times New Roman" w:eastAsia="宋体" w:cs="Times New Roman"/>
                <w:color w:val="00B050"/>
                <w:position w:val="1"/>
                <w:sz w:val="21"/>
                <w:szCs w:val="21"/>
                <w:highlight w:val="none"/>
              </w:rPr>
              <w:t>VOC</w:t>
            </w:r>
            <w:r>
              <w:rPr>
                <w:rFonts w:hint="default" w:ascii="Times New Roman" w:hAnsi="Times New Roman" w:eastAsia="宋体" w:cs="Times New Roman"/>
                <w:color w:val="00B050"/>
                <w:sz w:val="21"/>
                <w:szCs w:val="21"/>
                <w:highlight w:val="none"/>
              </w:rPr>
              <w:t>s</w:t>
            </w:r>
            <w:r>
              <w:rPr>
                <w:rFonts w:hint="default" w:ascii="Times New Roman" w:hAnsi="Times New Roman" w:eastAsia="宋体" w:cs="Times New Roman"/>
                <w:color w:val="00B050"/>
                <w:position w:val="1"/>
                <w:sz w:val="21"/>
                <w:szCs w:val="21"/>
                <w:highlight w:val="none"/>
                <w:lang w:eastAsia="zh-CN"/>
              </w:rPr>
              <w:t>：</w:t>
            </w:r>
            <w:r>
              <w:rPr>
                <w:rFonts w:hint="default" w:ascii="Times New Roman" w:hAnsi="Times New Roman" w:eastAsia="宋体" w:cs="Times New Roman"/>
                <w:color w:val="00B050"/>
                <w:position w:val="1"/>
                <w:sz w:val="21"/>
                <w:szCs w:val="21"/>
                <w:highlight w:val="none"/>
              </w:rPr>
              <w:t>（</w:t>
            </w:r>
            <w:r>
              <w:rPr>
                <w:rFonts w:hint="default" w:ascii="Times New Roman" w:hAnsi="Times New Roman" w:eastAsia="宋体" w:cs="Times New Roman"/>
                <w:color w:val="00B050"/>
                <w:position w:val="1"/>
                <w:sz w:val="21"/>
                <w:szCs w:val="21"/>
                <w:highlight w:val="none"/>
                <w:lang w:val="en-US" w:eastAsia="zh-CN"/>
              </w:rPr>
              <w:t>/</w:t>
            </w:r>
            <w:r>
              <w:rPr>
                <w:rFonts w:hint="default" w:ascii="Times New Roman" w:hAnsi="Times New Roman" w:eastAsia="宋体" w:cs="Times New Roman"/>
                <w:color w:val="00B050"/>
                <w:position w:val="1"/>
                <w:sz w:val="21"/>
                <w:szCs w:val="21"/>
                <w:highlight w:val="none"/>
              </w:rPr>
              <w:t>）t/a</w:t>
            </w:r>
          </w:p>
        </w:tc>
      </w:tr>
      <w:tr w14:paraId="2DFBC1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00" w:type="pct"/>
            <w:gridSpan w:val="15"/>
            <w:tcBorders>
              <w:tl2br w:val="nil"/>
              <w:tr2bl w:val="nil"/>
            </w:tcBorders>
            <w:noWrap w:val="0"/>
            <w:vAlign w:val="center"/>
          </w:tcPr>
          <w:p w14:paraId="5AF9C473">
            <w:pPr>
              <w:pStyle w:val="47"/>
              <w:keepNext w:val="0"/>
              <w:keepLines w:val="0"/>
              <w:pageBreakBefore w:val="0"/>
              <w:widowControl w:val="0"/>
              <w:tabs>
                <w:tab w:val="left" w:pos="3439"/>
              </w:tabs>
              <w:kinsoku/>
              <w:wordWrap/>
              <w:overflowPunct/>
              <w:topLinePunct w:val="0"/>
              <w:autoSpaceDE w:val="0"/>
              <w:autoSpaceDN w:val="0"/>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注</w:t>
            </w:r>
            <w:r>
              <w:rPr>
                <w:rFonts w:hint="default" w:ascii="Times New Roman" w:hAnsi="Times New Roman" w:eastAsia="宋体" w:cs="Times New Roman"/>
                <w:color w:val="auto"/>
                <w:spacing w:val="-92"/>
                <w:sz w:val="21"/>
                <w:szCs w:val="21"/>
                <w:highlight w:val="none"/>
              </w:rPr>
              <w:t>：</w:t>
            </w:r>
            <w:r>
              <w:rPr>
                <w:rFonts w:hint="default" w:ascii="Times New Roman" w:hAnsi="Times New Roman" w:eastAsia="宋体" w:cs="Times New Roman"/>
                <w:color w:val="auto"/>
                <w:w w:val="210"/>
                <w:sz w:val="21"/>
                <w:szCs w:val="21"/>
                <w:highlight w:val="none"/>
                <w:lang w:eastAsia="zh-CN"/>
              </w:rPr>
              <w:t>“</w:t>
            </w:r>
            <w:r>
              <w:rPr>
                <w:rFonts w:hint="default" w:ascii="Times New Roman" w:hAnsi="Times New Roman" w:eastAsia="宋体" w:cs="Times New Roman"/>
                <w:color w:val="auto"/>
                <w:spacing w:val="2"/>
                <w:sz w:val="21"/>
                <w:szCs w:val="21"/>
                <w:highlight w:val="none"/>
              </w:rPr>
              <w:t>□</w:t>
            </w:r>
            <w:r>
              <w:rPr>
                <w:rFonts w:hint="default" w:ascii="Times New Roman" w:hAnsi="Times New Roman" w:eastAsia="宋体" w:cs="Times New Roman"/>
                <w:color w:val="auto"/>
                <w:w w:val="210"/>
                <w:sz w:val="21"/>
                <w:szCs w:val="21"/>
                <w:highlight w:val="none"/>
                <w:lang w:eastAsia="zh-CN"/>
              </w:rPr>
              <w:t>”</w:t>
            </w:r>
            <w:r>
              <w:rPr>
                <w:rFonts w:hint="default" w:ascii="Times New Roman" w:hAnsi="Times New Roman" w:eastAsia="宋体" w:cs="Times New Roman"/>
                <w:color w:val="auto"/>
                <w:sz w:val="21"/>
                <w:szCs w:val="21"/>
                <w:highlight w:val="none"/>
              </w:rPr>
              <w:t>为勾选项，填</w:t>
            </w:r>
            <w:r>
              <w:rPr>
                <w:rFonts w:hint="default" w:ascii="Times New Roman" w:hAnsi="Times New Roman" w:eastAsia="宋体" w:cs="Times New Roman"/>
                <w:color w:val="auto"/>
                <w:w w:val="135"/>
                <w:sz w:val="21"/>
                <w:szCs w:val="21"/>
                <w:highlight w:val="none"/>
                <w:lang w:eastAsia="zh-CN"/>
              </w:rPr>
              <w:t>“</w:t>
            </w:r>
            <w:r>
              <w:rPr>
                <w:rFonts w:hint="default" w:ascii="Times New Roman" w:hAnsi="Times New Roman" w:eastAsia="宋体" w:cs="Times New Roman"/>
                <w:color w:val="auto"/>
                <w:spacing w:val="-3"/>
                <w:w w:val="135"/>
                <w:sz w:val="21"/>
                <w:szCs w:val="21"/>
                <w:highlight w:val="none"/>
              </w:rPr>
              <w:t>√</w:t>
            </w:r>
            <w:r>
              <w:rPr>
                <w:rFonts w:hint="default" w:ascii="Times New Roman" w:hAnsi="Times New Roman" w:eastAsia="宋体" w:cs="Times New Roman"/>
                <w:color w:val="auto"/>
                <w:w w:val="210"/>
                <w:sz w:val="21"/>
                <w:szCs w:val="21"/>
                <w:highlight w:val="none"/>
                <w:lang w:eastAsia="zh-CN"/>
              </w:rPr>
              <w:t>”</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pacing w:val="-1"/>
                <w:sz w:val="21"/>
                <w:szCs w:val="21"/>
                <w:highlight w:val="none"/>
                <w:lang w:eastAsia="zh-CN"/>
              </w:rPr>
              <w:t>“</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为内容填写项</w:t>
            </w:r>
          </w:p>
        </w:tc>
      </w:tr>
    </w:tbl>
    <w:p w14:paraId="7E6FF650">
      <w:pPr>
        <w:pStyle w:val="4"/>
        <w:bidi w:val="0"/>
        <w:rPr>
          <w:rFonts w:hint="default"/>
        </w:rPr>
      </w:pPr>
      <w:r>
        <w:rPr>
          <w:rFonts w:hint="default"/>
        </w:rPr>
        <w:t>水环境影响分析</w:t>
      </w:r>
    </w:p>
    <w:p w14:paraId="35C13A4D">
      <w:pPr>
        <w:pStyle w:val="5"/>
        <w:bidi w:val="0"/>
        <w:rPr>
          <w:rFonts w:hint="default"/>
        </w:rPr>
      </w:pPr>
      <w:bookmarkStart w:id="294" w:name="5.2.2.1地表水环境影响分析"/>
      <w:bookmarkEnd w:id="294"/>
      <w:bookmarkStart w:id="295" w:name="_Toc2568"/>
      <w:r>
        <w:rPr>
          <w:rFonts w:hint="default"/>
        </w:rPr>
        <w:t>地表水环境影响分析</w:t>
      </w:r>
      <w:bookmarkEnd w:id="295"/>
    </w:p>
    <w:p w14:paraId="17A55D25">
      <w:pPr>
        <w:numPr>
          <w:ilvl w:val="0"/>
          <w:numId w:val="38"/>
        </w:num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运营期生活污水排放对地表水的影响</w:t>
      </w:r>
    </w:p>
    <w:p w14:paraId="28FEF23A">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项目区位于古尔班通古特沙漠中，周边无地表水体，项目不与地表水体发生直接的水力联系。</w:t>
      </w:r>
      <w:r>
        <w:rPr>
          <w:rFonts w:hint="default" w:ascii="Times New Roman" w:hAnsi="Times New Roman" w:cs="Times New Roman"/>
          <w:color w:val="auto"/>
          <w:sz w:val="24"/>
          <w:szCs w:val="24"/>
          <w:highlight w:val="none"/>
          <w:lang w:val="en-US" w:eastAsia="zh-CN"/>
        </w:rPr>
        <w:t>根据</w:t>
      </w:r>
      <w:r>
        <w:rPr>
          <w:rFonts w:hint="default" w:ascii="Times New Roman" w:hAnsi="Times New Roman" w:cs="Times New Roman"/>
          <w:color w:val="auto"/>
          <w:sz w:val="24"/>
          <w:szCs w:val="24"/>
          <w:highlight w:val="none"/>
        </w:rPr>
        <w:t>本项目地表水环境影响评价等级为三级B，根据</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环境影响评价技术导则 地表水环境</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HJ2.3-2018</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7.1.2</w:t>
      </w:r>
      <w:r>
        <w:rPr>
          <w:rFonts w:hint="default" w:ascii="Times New Roman" w:hAnsi="Times New Roman" w:cs="Times New Roman"/>
          <w:color w:val="auto"/>
          <w:sz w:val="24"/>
          <w:szCs w:val="24"/>
          <w:highlight w:val="none"/>
        </w:rPr>
        <w:t>要求</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本次评价</w:t>
      </w:r>
      <w:r>
        <w:rPr>
          <w:rFonts w:hint="default" w:ascii="Times New Roman" w:hAnsi="Times New Roman" w:cs="Times New Roman"/>
          <w:color w:val="auto"/>
          <w:sz w:val="24"/>
          <w:szCs w:val="24"/>
          <w:highlight w:val="none"/>
          <w:lang w:val="en-US" w:eastAsia="zh-CN"/>
        </w:rPr>
        <w:t>不开展</w:t>
      </w:r>
      <w:r>
        <w:rPr>
          <w:rFonts w:hint="default" w:ascii="Times New Roman" w:hAnsi="Times New Roman" w:cs="Times New Roman"/>
          <w:color w:val="auto"/>
          <w:sz w:val="24"/>
          <w:szCs w:val="24"/>
          <w:highlight w:val="none"/>
        </w:rPr>
        <w:t>地表水影响预测。</w:t>
      </w:r>
    </w:p>
    <w:p w14:paraId="3AFF4E4F">
      <w:pPr>
        <w:spacing w:beforeLines="0" w:afterLines="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rPr>
        <w:t>本项目运营期间</w:t>
      </w:r>
      <w:r>
        <w:rPr>
          <w:rFonts w:hint="default" w:ascii="Times New Roman" w:hAnsi="Times New Roman" w:cs="Times New Roman"/>
          <w:color w:val="auto"/>
          <w:sz w:val="24"/>
          <w:szCs w:val="24"/>
          <w:highlight w:val="none"/>
          <w:lang w:val="en-US" w:eastAsia="zh-CN"/>
        </w:rPr>
        <w:t>生产废水经过沉淀池沉淀后回用于生产，不外排。项目排放的污水主要为生活污水，根据工程分析，</w:t>
      </w:r>
      <w:r>
        <w:rPr>
          <w:rFonts w:hint="default" w:ascii="Times New Roman" w:hAnsi="Times New Roman" w:cs="Times New Roman"/>
          <w:color w:val="auto"/>
          <w:sz w:val="24"/>
          <w:szCs w:val="24"/>
          <w:highlight w:val="none"/>
        </w:rPr>
        <w:t>生活污水</w:t>
      </w:r>
      <w:r>
        <w:rPr>
          <w:rFonts w:hint="default" w:ascii="Times New Roman" w:hAnsi="Times New Roman" w:cs="Times New Roman"/>
          <w:color w:val="auto"/>
          <w:sz w:val="24"/>
          <w:szCs w:val="24"/>
          <w:highlight w:val="none"/>
          <w:lang w:val="en-US" w:eastAsia="zh-CN"/>
        </w:rPr>
        <w:t>产生量为2.56</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/d</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768</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/a。建设单位拟设置一套</w:t>
      </w:r>
      <w:r>
        <w:rPr>
          <w:rFonts w:hint="default" w:ascii="Times New Roman" w:hAnsi="Times New Roman" w:cs="Times New Roman"/>
          <w:color w:val="auto"/>
          <w:sz w:val="24"/>
          <w:szCs w:val="24"/>
          <w:highlight w:val="none"/>
          <w:lang w:val="en-US" w:eastAsia="zh-CN"/>
        </w:rPr>
        <w:t>地埋式</w:t>
      </w:r>
      <w:r>
        <w:rPr>
          <w:rFonts w:hint="default" w:ascii="Times New Roman" w:hAnsi="Times New Roman" w:cs="Times New Roman"/>
          <w:color w:val="auto"/>
          <w:sz w:val="24"/>
          <w:szCs w:val="24"/>
          <w:highlight w:val="none"/>
        </w:rPr>
        <w:t>一体化污水处理设施，处理能力为</w:t>
      </w:r>
      <w:r>
        <w:rPr>
          <w:rFonts w:hint="default" w:ascii="Times New Roman" w:hAnsi="Times New Roman" w:cs="Times New Roman"/>
          <w:color w:val="auto"/>
          <w:sz w:val="24"/>
          <w:szCs w:val="24"/>
          <w:highlight w:val="none"/>
          <w:lang w:val="en-US" w:eastAsia="zh-CN"/>
        </w:rPr>
        <w:t>10</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/d，生活污水</w:t>
      </w:r>
      <w:r>
        <w:rPr>
          <w:rFonts w:hint="eastAsia" w:cs="Times New Roman"/>
          <w:color w:val="auto"/>
          <w:sz w:val="24"/>
          <w:szCs w:val="24"/>
          <w:highlight w:val="none"/>
          <w:lang w:val="en-US" w:eastAsia="zh-CN"/>
        </w:rPr>
        <w:t>处理</w:t>
      </w:r>
      <w:r>
        <w:rPr>
          <w:rFonts w:hint="default" w:ascii="Times New Roman" w:hAnsi="Times New Roman" w:cs="Times New Roman"/>
          <w:color w:val="auto"/>
          <w:sz w:val="24"/>
          <w:szCs w:val="24"/>
          <w:highlight w:val="none"/>
          <w:lang w:val="en-US" w:eastAsia="zh-CN"/>
        </w:rPr>
        <w:t>后</w:t>
      </w:r>
      <w:r>
        <w:rPr>
          <w:rFonts w:hint="default" w:ascii="Times New Roman" w:hAnsi="Times New Roman" w:cs="Times New Roman"/>
          <w:color w:val="auto"/>
          <w:sz w:val="24"/>
          <w:szCs w:val="24"/>
          <w:highlight w:val="none"/>
        </w:rPr>
        <w:t>满足《农村生活污水处理排放标准》（DB6542785-2019）中的C级排放标准，全部回用于矿区洒水降尘</w:t>
      </w:r>
      <w:r>
        <w:rPr>
          <w:rFonts w:hint="eastAsia" w:cs="Times New Roman"/>
          <w:color w:val="auto"/>
          <w:sz w:val="24"/>
          <w:szCs w:val="24"/>
          <w:highlight w:val="none"/>
          <w:lang w:eastAsia="zh-CN"/>
        </w:rPr>
        <w:t>。</w:t>
      </w:r>
    </w:p>
    <w:p w14:paraId="1DC373FB">
      <w:pPr>
        <w:pStyle w:val="5"/>
        <w:bidi w:val="0"/>
        <w:rPr>
          <w:rFonts w:hint="default"/>
        </w:rPr>
      </w:pPr>
      <w:bookmarkStart w:id="296" w:name="5.2.2.2地下水环境影响分析"/>
      <w:bookmarkEnd w:id="296"/>
      <w:bookmarkStart w:id="297" w:name="_Toc12430"/>
      <w:r>
        <w:rPr>
          <w:rFonts w:hint="default"/>
        </w:rPr>
        <w:t>地下水环境影响分析</w:t>
      </w:r>
      <w:bookmarkEnd w:id="297"/>
    </w:p>
    <w:p w14:paraId="3ADDE5F4">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w:t>
      </w:r>
      <w:r>
        <w:rPr>
          <w:rFonts w:hint="default" w:ascii="Times New Roman" w:hAnsi="Times New Roman" w:cs="Times New Roman"/>
          <w:color w:val="auto"/>
          <w:sz w:val="24"/>
          <w:szCs w:val="24"/>
          <w:highlight w:val="none"/>
          <w:lang w:val="en-US" w:eastAsia="zh-CN"/>
        </w:rPr>
        <w:t>矿区</w:t>
      </w:r>
      <w:r>
        <w:rPr>
          <w:rFonts w:hint="default" w:ascii="Times New Roman" w:hAnsi="Times New Roman" w:cs="Times New Roman"/>
          <w:color w:val="auto"/>
          <w:sz w:val="24"/>
          <w:szCs w:val="24"/>
          <w:highlight w:val="none"/>
        </w:rPr>
        <w:t>水文地质条件概述</w:t>
      </w:r>
    </w:p>
    <w:p w14:paraId="4DE159BD">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①矿区水文地质特征</w:t>
      </w:r>
    </w:p>
    <w:p w14:paraId="42950F52">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矿区水文地质单元属准噶尔盆地古尔班通古特沙漠东南部腹地，是直接接受大气降水的补给区，矿区地形地貌整体表现为北高南低，最低位置处于矿区南西部，最低标高为+</w:t>
      </w:r>
      <w:r>
        <w:rPr>
          <w:rFonts w:hint="default" w:ascii="Times New Roman" w:hAnsi="Times New Roman" w:cs="Times New Roman"/>
          <w:color w:val="auto"/>
          <w:sz w:val="24"/>
          <w:szCs w:val="24"/>
          <w:highlight w:val="none"/>
          <w:lang w:val="en-US" w:eastAsia="zh-CN"/>
        </w:rPr>
        <w:t>585</w:t>
      </w:r>
      <w:r>
        <w:rPr>
          <w:rFonts w:hint="default" w:ascii="Times New Roman" w:hAnsi="Times New Roman" w:cs="Times New Roman"/>
          <w:color w:val="auto"/>
          <w:sz w:val="24"/>
          <w:szCs w:val="24"/>
          <w:highlight w:val="none"/>
        </w:rPr>
        <w:t>m。矿区资源量估算标高为+62</w:t>
      </w:r>
      <w:r>
        <w:rPr>
          <w:rFonts w:hint="default" w:ascii="Times New Roman" w:hAnsi="Times New Roman" w:cs="Times New Roman"/>
          <w:color w:val="auto"/>
          <w:sz w:val="24"/>
          <w:szCs w:val="24"/>
          <w:highlight w:val="none"/>
          <w:lang w:val="en-US" w:eastAsia="zh-CN"/>
        </w:rPr>
        <w:t>3.0</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585</w:t>
      </w:r>
      <w:r>
        <w:rPr>
          <w:rFonts w:hint="default" w:ascii="Times New Roman" w:hAnsi="Times New Roman" w:cs="Times New Roman"/>
          <w:color w:val="auto"/>
          <w:sz w:val="24"/>
          <w:szCs w:val="24"/>
          <w:highlight w:val="none"/>
        </w:rPr>
        <w:t>.0m，矿体位于矿区最低侵蚀基准面及地下水位以上。</w:t>
      </w:r>
    </w:p>
    <w:p w14:paraId="15684EFE">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矿区主要为第四系风成石英砂，为强透水层，雨水及冰雪融水，主要以垂直下渗为主。矿区无地表水径流，潜水埋藏较深，地表水对矿区开采影响不大。</w:t>
      </w:r>
    </w:p>
    <w:p w14:paraId="3CF4CBC0">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②矿区地下水类型、含水层特征</w:t>
      </w:r>
    </w:p>
    <w:p w14:paraId="66B5FB2B">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从矿区施工的钻孔工作统计，从地表至地下最深</w:t>
      </w:r>
      <w:r>
        <w:rPr>
          <w:rFonts w:hint="default" w:ascii="Times New Roman" w:hAnsi="Times New Roman" w:cs="Times New Roman"/>
          <w:color w:val="auto"/>
          <w:sz w:val="24"/>
          <w:szCs w:val="24"/>
          <w:highlight w:val="none"/>
          <w:lang w:val="en-US" w:eastAsia="zh-CN"/>
        </w:rPr>
        <w:t>49.35</w:t>
      </w:r>
      <w:r>
        <w:rPr>
          <w:rFonts w:hint="default" w:ascii="Times New Roman" w:hAnsi="Times New Roman" w:cs="Times New Roman"/>
          <w:color w:val="auto"/>
          <w:sz w:val="24"/>
          <w:szCs w:val="24"/>
          <w:highlight w:val="none"/>
        </w:rPr>
        <w:t>m处，标高+</w:t>
      </w:r>
      <w:r>
        <w:rPr>
          <w:rFonts w:hint="default" w:ascii="Times New Roman" w:hAnsi="Times New Roman" w:cs="Times New Roman"/>
          <w:color w:val="auto"/>
          <w:sz w:val="24"/>
          <w:szCs w:val="24"/>
          <w:highlight w:val="none"/>
          <w:lang w:val="en-US" w:eastAsia="zh-CN"/>
        </w:rPr>
        <w:t>573.65</w:t>
      </w:r>
      <w:r>
        <w:rPr>
          <w:rFonts w:hint="default" w:ascii="Times New Roman" w:hAnsi="Times New Roman" w:cs="Times New Roman"/>
          <w:color w:val="auto"/>
          <w:sz w:val="24"/>
          <w:szCs w:val="24"/>
          <w:highlight w:val="none"/>
        </w:rPr>
        <w:t>m以上，均未发现地下水。矿层地下水为透水不含水砂层（钻探深度以上）。</w:t>
      </w:r>
    </w:p>
    <w:p w14:paraId="79A5C626">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矿区无地表水径流，潜水埋藏较深，据收集王才川等（2018）关于《准噶尔盆地古尔班通古特沙漠地区水文地质特征及对石油开发的建议》研究的区域水文资料显示，矿区所在彩南地区地下水埋深在271～283m以下，标高在+400m左右，对矿区开采无影响。</w:t>
      </w:r>
    </w:p>
    <w:p w14:paraId="1AE93FF0">
      <w:pPr>
        <w:spacing w:beforeLines="0" w:afterLines="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水化学类型主要为Cl-CaMg、Cl-Na、Cl•SO</w:t>
      </w:r>
      <w:r>
        <w:rPr>
          <w:rFonts w:hint="default" w:ascii="Times New Roman" w:hAnsi="Times New Roman" w:eastAsia="宋体" w:cs="Times New Roman"/>
          <w:color w:val="auto"/>
          <w:sz w:val="24"/>
          <w:szCs w:val="24"/>
          <w:highlight w:val="none"/>
          <w:vertAlign w:val="subscript"/>
        </w:rPr>
        <w:t>4</w:t>
      </w:r>
      <w:r>
        <w:rPr>
          <w:rFonts w:hint="default" w:ascii="Times New Roman" w:hAnsi="Times New Roman" w:eastAsia="宋体" w:cs="Times New Roman"/>
          <w:color w:val="auto"/>
          <w:sz w:val="24"/>
          <w:szCs w:val="24"/>
          <w:highlight w:val="none"/>
        </w:rPr>
        <w:t>-Na型水，矿化度0.699～2.035g/L，整体水质较差。</w:t>
      </w:r>
    </w:p>
    <w:p w14:paraId="15B18B6B">
      <w:pPr>
        <w:spacing w:beforeLines="0" w:afterLines="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③地下水的补给、径流、排泄</w:t>
      </w:r>
    </w:p>
    <w:p w14:paraId="24048496">
      <w:pPr>
        <w:spacing w:beforeLines="0" w:afterLines="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矿区内地下水埋藏深度大，无矿区的地表水补给。地下水主要受区域上的地下水影响，矿区所处沙漠腹地的潜水则主要接受浅层承压水越流补给，大气降水对地下水补给能力较弱。埋深较深的承压水补给途径主要是盆地周围河流的入渗补给和上游地下水的侧向径流补给。</w:t>
      </w:r>
    </w:p>
    <w:p w14:paraId="476B477B">
      <w:pPr>
        <w:spacing w:beforeLines="0" w:afterLines="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矿区所在沙漠地区地下水整体由</w:t>
      </w:r>
      <w:r>
        <w:rPr>
          <w:rFonts w:hint="default" w:ascii="Times New Roman" w:hAnsi="Times New Roman" w:eastAsia="宋体" w:cs="Times New Roman"/>
          <w:color w:val="auto"/>
          <w:sz w:val="24"/>
          <w:szCs w:val="24"/>
          <w:highlight w:val="none"/>
          <w:lang w:val="en-US" w:eastAsia="zh-CN"/>
        </w:rPr>
        <w:t>北向南</w:t>
      </w:r>
      <w:r>
        <w:rPr>
          <w:rFonts w:hint="default" w:ascii="Times New Roman" w:hAnsi="Times New Roman" w:eastAsia="宋体" w:cs="Times New Roman"/>
          <w:color w:val="auto"/>
          <w:sz w:val="24"/>
          <w:szCs w:val="24"/>
          <w:highlight w:val="none"/>
        </w:rPr>
        <w:t>径流，最终汇向</w:t>
      </w:r>
      <w:r>
        <w:rPr>
          <w:rFonts w:hint="default" w:ascii="Times New Roman" w:hAnsi="Times New Roman" w:eastAsia="宋体" w:cs="Times New Roman"/>
          <w:color w:val="auto"/>
          <w:sz w:val="24"/>
          <w:szCs w:val="24"/>
          <w:highlight w:val="none"/>
          <w:lang w:val="en-US" w:eastAsia="zh-CN"/>
        </w:rPr>
        <w:t>阜康市周边河流湖泊</w:t>
      </w:r>
      <w:r>
        <w:rPr>
          <w:rFonts w:hint="default" w:ascii="Times New Roman" w:hAnsi="Times New Roman" w:eastAsia="宋体" w:cs="Times New Roman"/>
          <w:color w:val="auto"/>
          <w:sz w:val="24"/>
          <w:szCs w:val="24"/>
          <w:highlight w:val="none"/>
        </w:rPr>
        <w:t>，地下水的水力坡度较小，径流速度小，运移迟缓。地下水排泄主要以侧向径流等方式排泄。潜水一部分以地下侧向径流方式排泄于区外，承压水主要以侧向径流等进行排泄，浅层承压水因隔水顶板不稳定，也有少部分以越流方式向潜水含水层排泄</w:t>
      </w:r>
      <w:r>
        <w:rPr>
          <w:rFonts w:hint="default" w:ascii="Times New Roman" w:hAnsi="Times New Roman" w:eastAsia="宋体" w:cs="Times New Roman"/>
          <w:color w:val="auto"/>
          <w:sz w:val="24"/>
          <w:szCs w:val="24"/>
          <w:highlight w:val="none"/>
          <w:lang w:eastAsia="zh-CN"/>
        </w:rPr>
        <w:t>。</w:t>
      </w:r>
    </w:p>
    <w:p w14:paraId="4B0F739E">
      <w:pPr>
        <w:numPr>
          <w:ilvl w:val="0"/>
          <w:numId w:val="38"/>
        </w:numPr>
        <w:spacing w:beforeLines="0" w:afterLines="0"/>
        <w:ind w:left="0" w:leftChars="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对地下水影响分析</w:t>
      </w:r>
    </w:p>
    <w:p w14:paraId="6541C08D">
      <w:pPr>
        <w:numPr>
          <w:ilvl w:val="0"/>
          <w:numId w:val="0"/>
        </w:numPr>
        <w:spacing w:beforeLines="0" w:afterLines="0"/>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矿区地下水类型为透水不含水砂层，整体水质较差，主要受大气降雨补给，排泄条件好，矿区地下水贫乏。矿区地下水位位于矿山最低开采标高</w:t>
      </w:r>
      <w:r>
        <w:rPr>
          <w:rFonts w:hint="default" w:ascii="Times New Roman" w:hAnsi="Times New Roman" w:cs="Times New Roman"/>
          <w:color w:val="auto"/>
          <w:sz w:val="24"/>
          <w:szCs w:val="24"/>
          <w:highlight w:val="none"/>
          <w:lang w:val="en-US" w:eastAsia="zh-CN"/>
        </w:rPr>
        <w:t>573.65</w:t>
      </w:r>
      <w:r>
        <w:rPr>
          <w:rFonts w:hint="default" w:ascii="Times New Roman" w:hAnsi="Times New Roman" w:cs="Times New Roman"/>
          <w:color w:val="auto"/>
          <w:sz w:val="24"/>
          <w:szCs w:val="24"/>
          <w:highlight w:val="none"/>
        </w:rPr>
        <w:t>m之下。因此，在开采过程中，不会造成含水层结构破坏及水位下降，亦不会对有水力联系的其他含水层产生影响。</w:t>
      </w:r>
    </w:p>
    <w:p w14:paraId="49BF4801">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项目生产过程中，无生产废水排放；生活污水经</w:t>
      </w:r>
      <w:r>
        <w:rPr>
          <w:rFonts w:hint="default" w:ascii="Times New Roman" w:hAnsi="Times New Roman" w:cs="Times New Roman"/>
          <w:color w:val="auto"/>
          <w:sz w:val="24"/>
          <w:szCs w:val="24"/>
          <w:highlight w:val="none"/>
          <w:lang w:val="en-US" w:eastAsia="zh-CN"/>
        </w:rPr>
        <w:t>地埋式</w:t>
      </w:r>
      <w:r>
        <w:rPr>
          <w:rFonts w:hint="default" w:ascii="Times New Roman" w:hAnsi="Times New Roman" w:cs="Times New Roman"/>
          <w:color w:val="auto"/>
          <w:sz w:val="24"/>
          <w:szCs w:val="24"/>
          <w:highlight w:val="none"/>
        </w:rPr>
        <w:t>一体化污水处理设施处理达标后，用于矿区洒水</w:t>
      </w:r>
      <w:r>
        <w:rPr>
          <w:rFonts w:hint="eastAsia" w:cs="Times New Roman"/>
          <w:color w:val="auto"/>
          <w:sz w:val="24"/>
          <w:szCs w:val="24"/>
          <w:highlight w:val="none"/>
          <w:lang w:val="en-US" w:eastAsia="zh-CN"/>
        </w:rPr>
        <w:t>降尘</w:t>
      </w:r>
      <w:r>
        <w:rPr>
          <w:rFonts w:hint="default" w:ascii="Times New Roman" w:hAnsi="Times New Roman" w:cs="Times New Roman"/>
          <w:color w:val="auto"/>
          <w:sz w:val="24"/>
          <w:szCs w:val="24"/>
          <w:highlight w:val="none"/>
        </w:rPr>
        <w:t>，同时要求排水设施及污水处理设施采取防渗措施，并且加强对其日常管理及维护</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在采取这些措施的前提下，本工程所排废水对地下水影响不大。</w:t>
      </w:r>
    </w:p>
    <w:p w14:paraId="66C584C1">
      <w:pPr>
        <w:pStyle w:val="5"/>
        <w:bidi w:val="0"/>
        <w:rPr>
          <w:rFonts w:hint="default"/>
        </w:rPr>
      </w:pPr>
      <w:bookmarkStart w:id="298" w:name="5.2.3声环境预测与评价"/>
      <w:bookmarkEnd w:id="298"/>
      <w:bookmarkStart w:id="299" w:name="5.2.2.3大气降水对采矿区的影响"/>
      <w:bookmarkEnd w:id="299"/>
      <w:r>
        <w:rPr>
          <w:rFonts w:hint="default"/>
        </w:rPr>
        <w:t>地下水防护措施</w:t>
      </w:r>
    </w:p>
    <w:p w14:paraId="5A249789">
      <w:pPr>
        <w:suppressLineNumbers w:val="0"/>
        <w:bidi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本项目地下水污染防治措施应按照“源头控制、分区防控、污染监控、应急响应”相结合的原则，从污染物的产生、入渗、扩散、应急响应进行控制。</w:t>
      </w:r>
    </w:p>
    <w:p w14:paraId="4D3384E3">
      <w:pPr>
        <w:suppressLineNumbers w:val="0"/>
        <w:bidi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(1)源头控制</w:t>
      </w:r>
    </w:p>
    <w:p w14:paraId="70566FFE">
      <w:pPr>
        <w:suppressLineNumbers w:val="0"/>
        <w:bidi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rPr>
        <w:t>主要包括提出各类废物循环利用的具体方案，减少污染物的排放量;提出工艺、管道、污水储存及处理构筑物应采取的污染控制措施，将污染物跑、冒、滴、漏降到最低限度。</w:t>
      </w:r>
      <w:r>
        <w:rPr>
          <w:rFonts w:hint="default" w:ascii="Times New Roman" w:hAnsi="Times New Roman" w:cs="Times New Roman"/>
          <w:color w:val="auto"/>
          <w:highlight w:val="none"/>
          <w:lang w:val="en-US" w:eastAsia="zh-CN"/>
        </w:rPr>
        <w:t>本项目生产废水循环使用，不外排，生活污水经地埋式一体化处理装置处理后，用作矿区</w:t>
      </w:r>
      <w:r>
        <w:rPr>
          <w:rFonts w:hint="eastAsia" w:cs="Times New Roman"/>
          <w:color w:val="auto"/>
          <w:highlight w:val="none"/>
          <w:lang w:val="en-US" w:eastAsia="zh-CN"/>
        </w:rPr>
        <w:t>洒水</w:t>
      </w:r>
      <w:r>
        <w:rPr>
          <w:rFonts w:hint="default" w:ascii="Times New Roman" w:hAnsi="Times New Roman" w:cs="Times New Roman"/>
          <w:color w:val="auto"/>
          <w:highlight w:val="none"/>
          <w:lang w:val="en-US" w:eastAsia="zh-CN"/>
        </w:rPr>
        <w:t>降尘。</w:t>
      </w:r>
    </w:p>
    <w:p w14:paraId="5D728307">
      <w:pPr>
        <w:suppressLineNumbers w:val="0"/>
        <w:bidi w:val="0"/>
        <w:spacing w:before="0" w:beforeAutospacing="0" w:after="0" w:afterAutospacing="0"/>
        <w:ind w:left="0" w:right="0"/>
        <w:rPr>
          <w:rFonts w:hint="default" w:ascii="Times New Roman" w:hAnsi="Times New Roman" w:cs="Times New Roman"/>
          <w:color w:val="FF0000"/>
          <w:highlight w:val="none"/>
        </w:rPr>
      </w:pP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分区</w:t>
      </w:r>
      <w:r>
        <w:rPr>
          <w:rFonts w:hint="default" w:ascii="Times New Roman" w:hAnsi="Times New Roman" w:cs="Times New Roman"/>
          <w:color w:val="auto"/>
          <w:highlight w:val="none"/>
        </w:rPr>
        <w:t>防渗措施建设项目针对可能对地下水造成影响的各环节，按照“考虑重点，</w:t>
      </w:r>
      <w:r>
        <w:rPr>
          <w:rFonts w:hint="default" w:ascii="Times New Roman" w:hAnsi="Times New Roman" w:cs="Times New Roman"/>
          <w:color w:val="FF0000"/>
          <w:highlight w:val="none"/>
        </w:rPr>
        <w:t>辐射全面”的防腐防渗原则，将全厂划分为重点防渗区和简单防渗区。</w:t>
      </w:r>
    </w:p>
    <w:p w14:paraId="1EFEB1F5">
      <w:pPr>
        <w:numPr>
          <w:ilvl w:val="0"/>
          <w:numId w:val="0"/>
        </w:numPr>
        <w:suppressLineNumbers w:val="0"/>
        <w:bidi w:val="0"/>
        <w:spacing w:before="0" w:beforeAutospacing="0" w:after="0" w:afterAutospacing="0"/>
        <w:ind w:left="0" w:right="0" w:firstLine="480" w:firstLineChars="200"/>
        <w:rPr>
          <w:rFonts w:hint="default" w:ascii="Times New Roman" w:hAnsi="Times New Roman" w:eastAsia="宋体" w:cs="Times New Roman"/>
          <w:color w:val="FF0000"/>
          <w:highlight w:val="none"/>
          <w:lang w:val="en-US" w:eastAsia="zh-CN"/>
        </w:rPr>
      </w:pPr>
      <w:r>
        <w:rPr>
          <w:rFonts w:hint="default" w:ascii="Times New Roman" w:hAnsi="Times New Roman" w:cs="Times New Roman"/>
          <w:color w:val="FF0000"/>
          <w:highlight w:val="none"/>
        </w:rPr>
        <w:t>①重点防渗区</w:t>
      </w:r>
      <w:r>
        <w:rPr>
          <w:rFonts w:hint="default" w:ascii="Times New Roman" w:hAnsi="Times New Roman" w:cs="Times New Roman"/>
          <w:color w:val="FF0000"/>
          <w:highlight w:val="none"/>
          <w:lang w:eastAsia="zh-CN"/>
        </w:rPr>
        <w:t>：</w:t>
      </w:r>
      <w:r>
        <w:rPr>
          <w:rFonts w:hint="default" w:ascii="Times New Roman" w:hAnsi="Times New Roman" w:cs="Times New Roman"/>
          <w:color w:val="FF0000"/>
          <w:highlight w:val="none"/>
        </w:rPr>
        <w:t>危废</w:t>
      </w:r>
      <w:r>
        <w:rPr>
          <w:rFonts w:hint="default" w:ascii="Times New Roman" w:hAnsi="Times New Roman" w:cs="Times New Roman"/>
          <w:color w:val="FF0000"/>
          <w:highlight w:val="none"/>
          <w:lang w:val="en-US" w:eastAsia="zh-CN"/>
        </w:rPr>
        <w:t>贮存点</w:t>
      </w:r>
      <w:r>
        <w:rPr>
          <w:rFonts w:hint="default" w:ascii="Times New Roman" w:hAnsi="Times New Roman" w:eastAsia="宋体" w:cs="Times New Roman"/>
          <w:color w:val="FF0000"/>
          <w:highlight w:val="none"/>
          <w:lang w:val="en-US" w:eastAsia="zh-CN"/>
        </w:rPr>
        <w:t>、</w:t>
      </w:r>
      <w:r>
        <w:rPr>
          <w:rFonts w:hint="default" w:ascii="Times New Roman" w:hAnsi="Times New Roman" w:cs="Times New Roman"/>
          <w:color w:val="FF0000"/>
          <w:highlight w:val="none"/>
          <w:lang w:val="en-US" w:eastAsia="zh-CN"/>
        </w:rPr>
        <w:t>生活污水处理装置区</w:t>
      </w:r>
      <w:r>
        <w:rPr>
          <w:rFonts w:hint="default" w:ascii="Times New Roman" w:hAnsi="Times New Roman" w:eastAsia="宋体" w:cs="Times New Roman"/>
          <w:color w:val="FF0000"/>
          <w:highlight w:val="none"/>
          <w:lang w:val="en-US" w:eastAsia="zh-CN"/>
        </w:rPr>
        <w:t>。防渗要求为等效黏土防渗层Mb≥6.0m，K≤1×10</w:t>
      </w:r>
      <w:r>
        <w:rPr>
          <w:rFonts w:hint="default" w:ascii="Times New Roman" w:hAnsi="Times New Roman" w:eastAsia="宋体" w:cs="Times New Roman"/>
          <w:color w:val="FF0000"/>
          <w:highlight w:val="none"/>
          <w:vertAlign w:val="superscript"/>
          <w:lang w:val="en-US" w:eastAsia="zh-CN"/>
        </w:rPr>
        <w:t>-7</w:t>
      </w:r>
      <w:r>
        <w:rPr>
          <w:rFonts w:hint="default" w:ascii="Times New Roman" w:hAnsi="Times New Roman" w:eastAsia="宋体" w:cs="Times New Roman"/>
          <w:color w:val="FF0000"/>
          <w:highlight w:val="none"/>
          <w:lang w:val="en-US" w:eastAsia="zh-CN"/>
        </w:rPr>
        <w:t>cm/s。</w:t>
      </w:r>
    </w:p>
    <w:p w14:paraId="19D02AE9">
      <w:pPr>
        <w:numPr>
          <w:ilvl w:val="0"/>
          <w:numId w:val="0"/>
        </w:numPr>
        <w:suppressLineNumbers w:val="0"/>
        <w:bidi w:val="0"/>
        <w:spacing w:before="0" w:beforeAutospacing="0" w:after="0" w:afterAutospacing="0"/>
        <w:ind w:left="0" w:right="0" w:firstLine="480" w:firstLineChars="200"/>
        <w:rPr>
          <w:rFonts w:hint="default" w:ascii="Times New Roman" w:hAnsi="Times New Roman" w:eastAsia="宋体" w:cs="Times New Roman"/>
          <w:color w:val="FF0000"/>
          <w:highlight w:val="none"/>
        </w:rPr>
      </w:pPr>
      <w:r>
        <w:rPr>
          <w:rFonts w:hint="default" w:ascii="Times New Roman" w:hAnsi="Times New Roman" w:cs="Times New Roman"/>
          <w:color w:val="FF0000"/>
          <w:highlight w:val="none"/>
        </w:rPr>
        <w:t>②</w:t>
      </w:r>
      <w:r>
        <w:rPr>
          <w:rFonts w:hint="default" w:ascii="Times New Roman" w:hAnsi="Times New Roman" w:eastAsia="宋体" w:cs="Times New Roman"/>
          <w:color w:val="FF0000"/>
          <w:highlight w:val="none"/>
        </w:rPr>
        <w:t>简单防渗区</w:t>
      </w:r>
      <w:r>
        <w:rPr>
          <w:rFonts w:hint="default" w:ascii="Times New Roman" w:hAnsi="Times New Roman" w:eastAsia="宋体" w:cs="Times New Roman"/>
          <w:color w:val="FF0000"/>
          <w:highlight w:val="none"/>
          <w:lang w:val="en-US" w:eastAsia="zh-CN"/>
        </w:rPr>
        <w:t>生活区</w:t>
      </w:r>
      <w:r>
        <w:rPr>
          <w:rFonts w:hint="default" w:ascii="Times New Roman" w:hAnsi="Times New Roman" w:eastAsia="宋体" w:cs="Times New Roman"/>
          <w:color w:val="FF0000"/>
          <w:highlight w:val="none"/>
          <w:lang w:eastAsia="zh-CN"/>
        </w:rPr>
        <w:t>、</w:t>
      </w:r>
      <w:r>
        <w:rPr>
          <w:rFonts w:hint="default" w:ascii="Times New Roman" w:hAnsi="Times New Roman" w:eastAsia="宋体" w:cs="Times New Roman"/>
          <w:color w:val="FF0000"/>
          <w:highlight w:val="none"/>
          <w:lang w:val="en-US" w:eastAsia="zh-CN"/>
        </w:rPr>
        <w:t>水洗砂堆场、厂房</w:t>
      </w:r>
      <w:r>
        <w:rPr>
          <w:rFonts w:hint="eastAsia" w:cs="Times New Roman"/>
          <w:color w:val="FF0000"/>
          <w:highlight w:val="none"/>
          <w:lang w:val="en-US" w:eastAsia="zh-CN"/>
        </w:rPr>
        <w:t>等其他区域</w:t>
      </w:r>
      <w:r>
        <w:rPr>
          <w:rFonts w:hint="default" w:ascii="Times New Roman" w:hAnsi="Times New Roman" w:eastAsia="宋体" w:cs="Times New Roman"/>
          <w:color w:val="FF0000"/>
          <w:highlight w:val="none"/>
        </w:rPr>
        <w:t>，进行一般地面水泥硬化。</w:t>
      </w:r>
    </w:p>
    <w:p w14:paraId="7E3FA363">
      <w:pPr>
        <w:numPr>
          <w:ilvl w:val="0"/>
          <w:numId w:val="0"/>
        </w:numPr>
        <w:suppressLineNumbers w:val="0"/>
        <w:bidi w:val="0"/>
        <w:spacing w:before="0" w:beforeAutospacing="0" w:after="0" w:afterAutospacing="0"/>
        <w:ind w:left="0" w:right="0" w:firstLine="480" w:firstLineChars="200"/>
        <w:rPr>
          <w:rFonts w:hint="default" w:ascii="Times New Roman" w:hAnsi="Times New Roman" w:eastAsia="宋体" w:cs="Times New Roman"/>
          <w:color w:val="FF0000"/>
          <w:highlight w:val="none"/>
          <w:lang w:val="en-US" w:eastAsia="zh-CN"/>
        </w:rPr>
      </w:pPr>
      <w:r>
        <w:rPr>
          <w:rFonts w:hint="eastAsia" w:cs="Times New Roman"/>
          <w:color w:val="FF0000"/>
          <w:highlight w:val="none"/>
          <w:lang w:val="en-US" w:eastAsia="zh-CN"/>
        </w:rPr>
        <w:t>工业广场分区防渗图见5.2-1。</w:t>
      </w:r>
    </w:p>
    <w:p w14:paraId="11AC42B1">
      <w:pPr>
        <w:pStyle w:val="4"/>
        <w:bidi w:val="0"/>
        <w:rPr>
          <w:rFonts w:hint="default"/>
        </w:rPr>
      </w:pPr>
      <w:r>
        <w:rPr>
          <w:rFonts w:hint="default"/>
        </w:rPr>
        <w:t>声环境预测与评价</w:t>
      </w:r>
    </w:p>
    <w:p w14:paraId="010B6FB1">
      <w:pPr>
        <w:pStyle w:val="5"/>
        <w:bidi w:val="0"/>
        <w:rPr>
          <w:rFonts w:hint="default"/>
        </w:rPr>
      </w:pPr>
      <w:bookmarkStart w:id="300" w:name="5.2.3.1预测范围及评价因子"/>
      <w:bookmarkEnd w:id="300"/>
      <w:bookmarkStart w:id="301" w:name="_Toc32652"/>
      <w:r>
        <w:rPr>
          <w:rFonts w:hint="default"/>
        </w:rPr>
        <w:t>预测范围及评价因子</w:t>
      </w:r>
      <w:bookmarkEnd w:id="301"/>
    </w:p>
    <w:p w14:paraId="5AC94550">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（1）噪声预测范围：厂界外200m。</w:t>
      </w:r>
    </w:p>
    <w:p w14:paraId="2D0BA822">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（2）厂界噪声预测因子：等效连续A声级。</w:t>
      </w:r>
    </w:p>
    <w:p w14:paraId="5EF86117">
      <w:pPr>
        <w:pStyle w:val="5"/>
        <w:bidi w:val="0"/>
        <w:rPr>
          <w:rFonts w:hint="default"/>
        </w:rPr>
      </w:pPr>
      <w:bookmarkStart w:id="302" w:name="5.2.3.2预测点及预测时段"/>
      <w:bookmarkEnd w:id="302"/>
      <w:bookmarkStart w:id="303" w:name="_Toc15504"/>
      <w:r>
        <w:rPr>
          <w:rFonts w:hint="default"/>
        </w:rPr>
        <w:t>预测点及预测时段</w:t>
      </w:r>
      <w:bookmarkEnd w:id="303"/>
    </w:p>
    <w:p w14:paraId="5059E0BA">
      <w:pPr>
        <w:spacing w:beforeLines="0" w:afterLines="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rPr>
        <w:t>（1）预测点：本项目评价范围内无声环境敏感目标，主要预测点为厂界</w:t>
      </w:r>
      <w:r>
        <w:rPr>
          <w:rFonts w:hint="default" w:ascii="Times New Roman" w:hAnsi="Times New Roman" w:cs="Times New Roman"/>
          <w:color w:val="auto"/>
          <w:sz w:val="24"/>
          <w:szCs w:val="24"/>
          <w:highlight w:val="none"/>
          <w:lang w:eastAsia="zh-CN"/>
        </w:rPr>
        <w:t>。</w:t>
      </w:r>
    </w:p>
    <w:p w14:paraId="6626DF15">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（2）预测时段：昼间。</w:t>
      </w:r>
    </w:p>
    <w:p w14:paraId="0EC5D18A">
      <w:pPr>
        <w:pStyle w:val="5"/>
        <w:bidi w:val="0"/>
        <w:rPr>
          <w:rFonts w:hint="default"/>
        </w:rPr>
      </w:pPr>
      <w:bookmarkStart w:id="304" w:name="5.2.3.3评价标准"/>
      <w:bookmarkEnd w:id="304"/>
      <w:bookmarkStart w:id="305" w:name="_Toc29307"/>
      <w:r>
        <w:rPr>
          <w:rFonts w:hint="default"/>
        </w:rPr>
        <w:t>评价标准</w:t>
      </w:r>
      <w:bookmarkEnd w:id="305"/>
    </w:p>
    <w:p w14:paraId="0E2F925F">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本项目声功能区划属于《声环境质量标准》（GB3096-2008）的“2类区”，厂界噪声排放标准应执行《工业企业厂界环境噪声排放标准》（GB12348-2008）中的2类标准限值的要求，即昼间60dB(A)，夜间50dB(A)。</w:t>
      </w:r>
    </w:p>
    <w:p w14:paraId="524B06CA">
      <w:pPr>
        <w:pStyle w:val="5"/>
        <w:bidi w:val="0"/>
        <w:rPr>
          <w:rFonts w:hint="default"/>
        </w:rPr>
      </w:pPr>
      <w:bookmarkStart w:id="306" w:name="5.2.3.4噪声源强"/>
      <w:bookmarkEnd w:id="306"/>
      <w:bookmarkStart w:id="307" w:name="_Toc2313"/>
      <w:r>
        <w:rPr>
          <w:rFonts w:hint="default"/>
        </w:rPr>
        <w:t>噪声源强</w:t>
      </w:r>
      <w:bookmarkEnd w:id="307"/>
    </w:p>
    <w:p w14:paraId="562DEC51">
      <w:pPr>
        <w:widowControl/>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本项目产噪设备主要为采矿场的车辆、筛分设备，分级设备，除尘设备的风机。项目采矿场内的噪声设备主要为挖掘车辆以及矿区内工业广场的筛分设备</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洗砂机、风机、分级设备</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除尘风机，噪声声级范围</w:t>
      </w:r>
      <w:r>
        <w:rPr>
          <w:rFonts w:hint="eastAsia" w:cs="Times New Roman"/>
          <w:color w:val="auto"/>
          <w:sz w:val="24"/>
          <w:szCs w:val="24"/>
          <w:highlight w:val="none"/>
          <w:lang w:val="en-US" w:eastAsia="zh-CN"/>
        </w:rPr>
        <w:t>75-100</w:t>
      </w:r>
      <w:r>
        <w:rPr>
          <w:rFonts w:hint="default" w:ascii="Times New Roman" w:hAnsi="Times New Roman" w:eastAsia="宋体" w:cs="Times New Roman"/>
          <w:color w:val="auto"/>
          <w:sz w:val="24"/>
          <w:szCs w:val="24"/>
          <w:highlight w:val="none"/>
          <w:lang w:val="en-US" w:eastAsia="zh-CN"/>
        </w:rPr>
        <w:t>dB（A）。本项目车辆噪声主要为采矿场的挖掘机、装载机等，随着采矿场的掘进，车辆的运行轨迹也发生变化，车辆主要通过限速进行控制噪声，本次厂界噪声预测针对工业广场设备噪声进行预测。本项目运营期设备噪声源强见</w:t>
      </w:r>
      <w:r>
        <w:rPr>
          <w:rFonts w:hint="eastAsia" w:ascii="Times New Roman" w:hAnsi="Times New Roman" w:cs="Times New Roman"/>
          <w:color w:val="auto"/>
          <w:sz w:val="24"/>
          <w:szCs w:val="24"/>
          <w:highlight w:val="none"/>
          <w:lang w:val="en-US" w:eastAsia="zh-CN"/>
        </w:rPr>
        <w:t>下</w:t>
      </w:r>
      <w:r>
        <w:rPr>
          <w:rFonts w:hint="default" w:ascii="Times New Roman" w:hAnsi="Times New Roman" w:eastAsia="宋体" w:cs="Times New Roman"/>
          <w:color w:val="auto"/>
          <w:sz w:val="24"/>
          <w:szCs w:val="24"/>
          <w:highlight w:val="none"/>
          <w:lang w:val="en-US" w:eastAsia="zh-CN"/>
        </w:rPr>
        <w:t>表。</w:t>
      </w:r>
    </w:p>
    <w:p w14:paraId="10270C4E">
      <w:pPr>
        <w:widowControl/>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rPr>
        <w:sectPr>
          <w:headerReference r:id="rId6" w:type="default"/>
          <w:pgSz w:w="11910" w:h="16840"/>
          <w:pgMar w:top="1360" w:right="1340" w:bottom="280" w:left="1420" w:header="1050" w:footer="850" w:gutter="0"/>
          <w:pgBorders>
            <w:top w:val="none" w:sz="0" w:space="0"/>
            <w:left w:val="none" w:sz="0" w:space="0"/>
            <w:bottom w:val="none" w:sz="0" w:space="0"/>
            <w:right w:val="none" w:sz="0" w:space="0"/>
          </w:pgBorders>
          <w:lnNumType w:countBy="0" w:distance="360"/>
          <w:cols w:space="720" w:num="1"/>
        </w:sectPr>
      </w:pPr>
    </w:p>
    <w:p w14:paraId="10E903D4">
      <w:pPr>
        <w:pStyle w:val="45"/>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表</w:t>
      </w:r>
      <w:r>
        <w:rPr>
          <w:rFonts w:hint="default" w:ascii="Times New Roman" w:hAnsi="Times New Roman" w:cs="Times New Roman"/>
          <w:color w:val="auto"/>
          <w:sz w:val="24"/>
          <w:szCs w:val="24"/>
          <w:highlight w:val="none"/>
          <w:lang w:val="en-US" w:eastAsia="zh-CN"/>
        </w:rPr>
        <w:t>5.2-1</w:t>
      </w:r>
      <w:r>
        <w:rPr>
          <w:rFonts w:hint="eastAsia" w:ascii="Times New Roman" w:hAnsi="Times New Roman" w:cs="Times New Roman"/>
          <w:color w:val="auto"/>
          <w:sz w:val="24"/>
          <w:szCs w:val="24"/>
          <w:highlight w:val="none"/>
          <w:lang w:val="en-US" w:eastAsia="zh-CN"/>
        </w:rPr>
        <w:t>8</w:t>
      </w: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rPr>
        <w:t>运营期设备噪声源强</w:t>
      </w:r>
    </w:p>
    <w:tbl>
      <w:tblPr>
        <w:tblStyle w:val="31"/>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989"/>
        <w:gridCol w:w="1230"/>
        <w:gridCol w:w="1233"/>
        <w:gridCol w:w="2750"/>
        <w:gridCol w:w="3913"/>
        <w:gridCol w:w="1289"/>
        <w:gridCol w:w="789"/>
        <w:gridCol w:w="789"/>
        <w:gridCol w:w="700"/>
        <w:gridCol w:w="728"/>
      </w:tblGrid>
      <w:tr w14:paraId="4CBD7B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645" w:type="pct"/>
            <w:vMerge w:val="restart"/>
            <w:tcBorders>
              <w:tl2br w:val="nil"/>
              <w:tr2bl w:val="nil"/>
            </w:tcBorders>
            <w:noWrap w:val="0"/>
            <w:vAlign w:val="center"/>
          </w:tcPr>
          <w:p w14:paraId="442E4D14">
            <w:pPr>
              <w:pStyle w:val="48"/>
              <w:spacing w:beforeLines="0" w:afterLine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设备名称</w:t>
            </w:r>
          </w:p>
          <w:p w14:paraId="01161933">
            <w:pPr>
              <w:pStyle w:val="48"/>
              <w:spacing w:beforeLines="0" w:afterLine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及型号</w:t>
            </w:r>
          </w:p>
        </w:tc>
        <w:tc>
          <w:tcPr>
            <w:tcW w:w="399" w:type="pct"/>
            <w:vMerge w:val="restart"/>
            <w:tcBorders>
              <w:tl2br w:val="nil"/>
              <w:tr2bl w:val="nil"/>
            </w:tcBorders>
            <w:noWrap w:val="0"/>
            <w:vAlign w:val="center"/>
          </w:tcPr>
          <w:p w14:paraId="5A34B02B">
            <w:pPr>
              <w:pStyle w:val="48"/>
              <w:spacing w:beforeLines="0" w:afterLines="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数量/台</w:t>
            </w:r>
          </w:p>
        </w:tc>
        <w:tc>
          <w:tcPr>
            <w:tcW w:w="400" w:type="pct"/>
            <w:vMerge w:val="restart"/>
            <w:tcBorders>
              <w:tl2br w:val="nil"/>
              <w:tr2bl w:val="nil"/>
            </w:tcBorders>
            <w:noWrap w:val="0"/>
            <w:vAlign w:val="center"/>
          </w:tcPr>
          <w:p w14:paraId="5770BBD3">
            <w:pPr>
              <w:pStyle w:val="48"/>
              <w:spacing w:beforeLines="0" w:afterLine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噪声值</w:t>
            </w:r>
          </w:p>
          <w:p w14:paraId="2112F75B">
            <w:pPr>
              <w:pStyle w:val="48"/>
              <w:spacing w:beforeLines="0" w:afterLine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dB（A）</w:t>
            </w:r>
          </w:p>
        </w:tc>
        <w:tc>
          <w:tcPr>
            <w:tcW w:w="2161" w:type="pct"/>
            <w:gridSpan w:val="2"/>
            <w:tcBorders>
              <w:tl2br w:val="nil"/>
              <w:tr2bl w:val="nil"/>
            </w:tcBorders>
            <w:noWrap w:val="0"/>
            <w:vAlign w:val="center"/>
          </w:tcPr>
          <w:p w14:paraId="5E7015FB">
            <w:pPr>
              <w:pStyle w:val="48"/>
              <w:spacing w:beforeLines="0" w:afterLine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降噪措施</w:t>
            </w:r>
          </w:p>
        </w:tc>
        <w:tc>
          <w:tcPr>
            <w:tcW w:w="418" w:type="pct"/>
            <w:vMerge w:val="restart"/>
            <w:tcBorders>
              <w:tl2br w:val="nil"/>
              <w:tr2bl w:val="nil"/>
            </w:tcBorders>
            <w:noWrap w:val="0"/>
            <w:vAlign w:val="center"/>
          </w:tcPr>
          <w:p w14:paraId="20E74533">
            <w:pPr>
              <w:pStyle w:val="48"/>
              <w:spacing w:beforeLines="0" w:afterLine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噪声值</w:t>
            </w:r>
          </w:p>
          <w:p w14:paraId="5053EE51">
            <w:pPr>
              <w:pStyle w:val="48"/>
              <w:spacing w:beforeLines="0" w:afterLine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dB（A）</w:t>
            </w:r>
          </w:p>
        </w:tc>
        <w:tc>
          <w:tcPr>
            <w:tcW w:w="975" w:type="pct"/>
            <w:gridSpan w:val="4"/>
            <w:tcBorders>
              <w:tl2br w:val="nil"/>
              <w:tr2bl w:val="nil"/>
            </w:tcBorders>
            <w:noWrap w:val="0"/>
            <w:vAlign w:val="center"/>
          </w:tcPr>
          <w:p w14:paraId="0E75E0CD">
            <w:pPr>
              <w:pStyle w:val="48"/>
              <w:spacing w:beforeLines="0" w:afterLines="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与厂界距离/1m</w:t>
            </w:r>
          </w:p>
        </w:tc>
      </w:tr>
      <w:tr w14:paraId="30527C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645" w:type="pct"/>
            <w:vMerge w:val="continue"/>
            <w:tcBorders>
              <w:tl2br w:val="nil"/>
              <w:tr2bl w:val="nil"/>
            </w:tcBorders>
            <w:noWrap w:val="0"/>
            <w:vAlign w:val="center"/>
          </w:tcPr>
          <w:p w14:paraId="374F3E5C">
            <w:pPr>
              <w:pStyle w:val="48"/>
              <w:spacing w:beforeLines="0" w:afterLines="0"/>
              <w:jc w:val="center"/>
              <w:rPr>
                <w:rFonts w:hint="default" w:ascii="Times New Roman" w:hAnsi="Times New Roman" w:cs="Times New Roman"/>
                <w:color w:val="auto"/>
                <w:sz w:val="24"/>
                <w:szCs w:val="24"/>
                <w:highlight w:val="none"/>
              </w:rPr>
            </w:pPr>
          </w:p>
        </w:tc>
        <w:tc>
          <w:tcPr>
            <w:tcW w:w="399" w:type="pct"/>
            <w:vMerge w:val="continue"/>
            <w:tcBorders>
              <w:tl2br w:val="nil"/>
              <w:tr2bl w:val="nil"/>
            </w:tcBorders>
            <w:noWrap w:val="0"/>
            <w:vAlign w:val="center"/>
          </w:tcPr>
          <w:p w14:paraId="4BF53E28">
            <w:pPr>
              <w:pStyle w:val="48"/>
              <w:spacing w:beforeLines="0" w:afterLines="0"/>
              <w:jc w:val="center"/>
              <w:rPr>
                <w:rFonts w:hint="default" w:ascii="Times New Roman" w:hAnsi="Times New Roman" w:cs="Times New Roman"/>
                <w:color w:val="auto"/>
                <w:sz w:val="24"/>
                <w:szCs w:val="24"/>
                <w:highlight w:val="none"/>
              </w:rPr>
            </w:pPr>
          </w:p>
        </w:tc>
        <w:tc>
          <w:tcPr>
            <w:tcW w:w="400" w:type="pct"/>
            <w:vMerge w:val="continue"/>
            <w:tcBorders>
              <w:tl2br w:val="nil"/>
              <w:tr2bl w:val="nil"/>
            </w:tcBorders>
            <w:noWrap w:val="0"/>
            <w:vAlign w:val="center"/>
          </w:tcPr>
          <w:p w14:paraId="348F77A5">
            <w:pPr>
              <w:pStyle w:val="48"/>
              <w:spacing w:beforeLines="0" w:afterLines="0"/>
              <w:jc w:val="center"/>
              <w:rPr>
                <w:rFonts w:hint="default" w:ascii="Times New Roman" w:hAnsi="Times New Roman" w:cs="Times New Roman"/>
                <w:color w:val="auto"/>
                <w:sz w:val="24"/>
                <w:szCs w:val="24"/>
                <w:highlight w:val="none"/>
              </w:rPr>
            </w:pPr>
          </w:p>
        </w:tc>
        <w:tc>
          <w:tcPr>
            <w:tcW w:w="892" w:type="pct"/>
            <w:tcBorders>
              <w:tl2br w:val="nil"/>
              <w:tr2bl w:val="nil"/>
            </w:tcBorders>
            <w:noWrap w:val="0"/>
            <w:vAlign w:val="center"/>
          </w:tcPr>
          <w:p w14:paraId="4459BB91">
            <w:pPr>
              <w:pStyle w:val="48"/>
              <w:spacing w:beforeLines="0" w:afterLine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工艺</w:t>
            </w:r>
          </w:p>
        </w:tc>
        <w:tc>
          <w:tcPr>
            <w:tcW w:w="1269" w:type="pct"/>
            <w:tcBorders>
              <w:tl2br w:val="nil"/>
              <w:tr2bl w:val="nil"/>
            </w:tcBorders>
            <w:noWrap w:val="0"/>
            <w:vAlign w:val="center"/>
          </w:tcPr>
          <w:p w14:paraId="4A466BCC">
            <w:pPr>
              <w:pStyle w:val="48"/>
              <w:spacing w:beforeLines="0" w:afterLine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降噪效果dB（A）</w:t>
            </w:r>
          </w:p>
        </w:tc>
        <w:tc>
          <w:tcPr>
            <w:tcW w:w="418" w:type="pct"/>
            <w:vMerge w:val="continue"/>
            <w:tcBorders>
              <w:tl2br w:val="nil"/>
              <w:tr2bl w:val="nil"/>
            </w:tcBorders>
            <w:noWrap w:val="0"/>
            <w:vAlign w:val="center"/>
          </w:tcPr>
          <w:p w14:paraId="1879B26B">
            <w:pPr>
              <w:pStyle w:val="48"/>
              <w:spacing w:beforeLines="0" w:afterLines="0"/>
              <w:jc w:val="center"/>
              <w:rPr>
                <w:rFonts w:hint="default" w:ascii="Times New Roman" w:hAnsi="Times New Roman" w:cs="Times New Roman"/>
                <w:color w:val="auto"/>
                <w:sz w:val="24"/>
                <w:szCs w:val="24"/>
                <w:highlight w:val="none"/>
              </w:rPr>
            </w:pPr>
          </w:p>
        </w:tc>
        <w:tc>
          <w:tcPr>
            <w:tcW w:w="256" w:type="pct"/>
            <w:tcBorders>
              <w:tl2br w:val="nil"/>
              <w:tr2bl w:val="nil"/>
            </w:tcBorders>
            <w:noWrap w:val="0"/>
            <w:vAlign w:val="center"/>
          </w:tcPr>
          <w:p w14:paraId="4DEA908F">
            <w:pPr>
              <w:pStyle w:val="48"/>
              <w:spacing w:beforeLines="0" w:afterLines="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东</w:t>
            </w:r>
          </w:p>
        </w:tc>
        <w:tc>
          <w:tcPr>
            <w:tcW w:w="256" w:type="pct"/>
            <w:tcBorders>
              <w:tl2br w:val="nil"/>
              <w:tr2bl w:val="nil"/>
            </w:tcBorders>
            <w:noWrap w:val="0"/>
            <w:vAlign w:val="center"/>
          </w:tcPr>
          <w:p w14:paraId="1CEA4AA4">
            <w:pPr>
              <w:pStyle w:val="48"/>
              <w:spacing w:beforeLines="0" w:afterLines="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南</w:t>
            </w:r>
          </w:p>
        </w:tc>
        <w:tc>
          <w:tcPr>
            <w:tcW w:w="227" w:type="pct"/>
            <w:tcBorders>
              <w:tl2br w:val="nil"/>
              <w:tr2bl w:val="nil"/>
            </w:tcBorders>
            <w:noWrap w:val="0"/>
            <w:vAlign w:val="center"/>
          </w:tcPr>
          <w:p w14:paraId="2F45FC01">
            <w:pPr>
              <w:pStyle w:val="48"/>
              <w:spacing w:beforeLines="0" w:afterLines="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西</w:t>
            </w:r>
          </w:p>
        </w:tc>
        <w:tc>
          <w:tcPr>
            <w:tcW w:w="236" w:type="pct"/>
            <w:tcBorders>
              <w:tl2br w:val="nil"/>
              <w:tr2bl w:val="nil"/>
            </w:tcBorders>
            <w:noWrap w:val="0"/>
            <w:vAlign w:val="center"/>
          </w:tcPr>
          <w:p w14:paraId="4D573D52">
            <w:pPr>
              <w:pStyle w:val="48"/>
              <w:spacing w:beforeLines="0" w:afterLines="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北</w:t>
            </w:r>
          </w:p>
        </w:tc>
      </w:tr>
      <w:tr w14:paraId="4D750F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645" w:type="pct"/>
            <w:tcBorders>
              <w:tl2br w:val="nil"/>
              <w:tr2bl w:val="nil"/>
            </w:tcBorders>
            <w:noWrap w:val="0"/>
            <w:vAlign w:val="center"/>
          </w:tcPr>
          <w:p w14:paraId="20CA6282">
            <w:pPr>
              <w:pStyle w:val="48"/>
              <w:spacing w:beforeLines="0" w:afterLines="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振动给料机</w:t>
            </w:r>
          </w:p>
        </w:tc>
        <w:tc>
          <w:tcPr>
            <w:tcW w:w="399" w:type="pct"/>
            <w:tcBorders>
              <w:tl2br w:val="nil"/>
              <w:tr2bl w:val="nil"/>
            </w:tcBorders>
            <w:noWrap w:val="0"/>
            <w:vAlign w:val="center"/>
          </w:tcPr>
          <w:p w14:paraId="0E59C885">
            <w:pPr>
              <w:pStyle w:val="48"/>
              <w:spacing w:beforeLines="0" w:afterLines="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1</w:t>
            </w:r>
          </w:p>
        </w:tc>
        <w:tc>
          <w:tcPr>
            <w:tcW w:w="400" w:type="pct"/>
            <w:tcBorders>
              <w:tl2br w:val="nil"/>
              <w:tr2bl w:val="nil"/>
            </w:tcBorders>
            <w:noWrap w:val="0"/>
            <w:vAlign w:val="center"/>
          </w:tcPr>
          <w:p w14:paraId="3B2CA835">
            <w:pPr>
              <w:pStyle w:val="48"/>
              <w:spacing w:beforeLines="0" w:afterLines="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80</w:t>
            </w:r>
          </w:p>
        </w:tc>
        <w:tc>
          <w:tcPr>
            <w:tcW w:w="892" w:type="pct"/>
            <w:vMerge w:val="restart"/>
            <w:tcBorders>
              <w:tl2br w:val="nil"/>
              <w:tr2bl w:val="nil"/>
            </w:tcBorders>
            <w:noWrap w:val="0"/>
            <w:vAlign w:val="center"/>
          </w:tcPr>
          <w:p w14:paraId="3BAA7554">
            <w:pPr>
              <w:pStyle w:val="48"/>
              <w:spacing w:beforeLines="0" w:afterLine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选用低噪声设备、基础减震、厂房隔声</w:t>
            </w:r>
          </w:p>
        </w:tc>
        <w:tc>
          <w:tcPr>
            <w:tcW w:w="1269" w:type="pct"/>
            <w:tcBorders>
              <w:tl2br w:val="nil"/>
              <w:tr2bl w:val="nil"/>
            </w:tcBorders>
            <w:noWrap w:val="0"/>
            <w:vAlign w:val="center"/>
          </w:tcPr>
          <w:p w14:paraId="1831CC88">
            <w:pPr>
              <w:pStyle w:val="48"/>
              <w:spacing w:beforeLines="0" w:afterLine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20dB（A）</w:t>
            </w:r>
          </w:p>
        </w:tc>
        <w:tc>
          <w:tcPr>
            <w:tcW w:w="418" w:type="pct"/>
            <w:tcBorders>
              <w:tl2br w:val="nil"/>
              <w:tr2bl w:val="nil"/>
            </w:tcBorders>
            <w:noWrap w:val="0"/>
            <w:vAlign w:val="center"/>
          </w:tcPr>
          <w:p w14:paraId="1D3774D6">
            <w:pPr>
              <w:pStyle w:val="48"/>
              <w:spacing w:beforeLines="0" w:afterLines="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60</w:t>
            </w:r>
          </w:p>
        </w:tc>
        <w:tc>
          <w:tcPr>
            <w:tcW w:w="256" w:type="pct"/>
            <w:tcBorders>
              <w:tl2br w:val="nil"/>
              <w:tr2bl w:val="nil"/>
            </w:tcBorders>
            <w:noWrap w:val="0"/>
            <w:vAlign w:val="center"/>
          </w:tcPr>
          <w:p w14:paraId="30341CD3">
            <w:pPr>
              <w:pStyle w:val="48"/>
              <w:spacing w:beforeLines="0" w:afterLines="0"/>
              <w:jc w:val="center"/>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970</w:t>
            </w:r>
          </w:p>
        </w:tc>
        <w:tc>
          <w:tcPr>
            <w:tcW w:w="256" w:type="pct"/>
            <w:tcBorders>
              <w:tl2br w:val="nil"/>
              <w:tr2bl w:val="nil"/>
            </w:tcBorders>
            <w:noWrap w:val="0"/>
            <w:vAlign w:val="center"/>
          </w:tcPr>
          <w:p w14:paraId="621F48D6">
            <w:pPr>
              <w:pStyle w:val="48"/>
              <w:spacing w:beforeLines="0" w:afterLines="0"/>
              <w:jc w:val="center"/>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105</w:t>
            </w:r>
          </w:p>
        </w:tc>
        <w:tc>
          <w:tcPr>
            <w:tcW w:w="227" w:type="pct"/>
            <w:tcBorders>
              <w:tl2br w:val="nil"/>
              <w:tr2bl w:val="nil"/>
            </w:tcBorders>
            <w:noWrap w:val="0"/>
            <w:vAlign w:val="center"/>
          </w:tcPr>
          <w:p w14:paraId="0FEC11A6">
            <w:pPr>
              <w:pStyle w:val="48"/>
              <w:spacing w:beforeLines="0" w:afterLines="0"/>
              <w:jc w:val="center"/>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150</w:t>
            </w:r>
          </w:p>
        </w:tc>
        <w:tc>
          <w:tcPr>
            <w:tcW w:w="236" w:type="pct"/>
            <w:tcBorders>
              <w:tl2br w:val="nil"/>
              <w:tr2bl w:val="nil"/>
            </w:tcBorders>
            <w:noWrap w:val="0"/>
            <w:vAlign w:val="center"/>
          </w:tcPr>
          <w:p w14:paraId="5C888AE8">
            <w:pPr>
              <w:pStyle w:val="48"/>
              <w:spacing w:beforeLines="0" w:afterLines="0"/>
              <w:jc w:val="center"/>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260</w:t>
            </w:r>
          </w:p>
        </w:tc>
      </w:tr>
      <w:tr w14:paraId="352C42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645" w:type="pct"/>
            <w:tcBorders>
              <w:tl2br w:val="nil"/>
              <w:tr2bl w:val="nil"/>
            </w:tcBorders>
            <w:noWrap w:val="0"/>
            <w:vAlign w:val="center"/>
          </w:tcPr>
          <w:p w14:paraId="67919554">
            <w:pPr>
              <w:pStyle w:val="48"/>
              <w:spacing w:beforeLines="0" w:afterLines="0"/>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rPr>
              <w:t>振动</w:t>
            </w:r>
            <w:r>
              <w:rPr>
                <w:rFonts w:hint="default" w:ascii="Times New Roman" w:hAnsi="Times New Roman" w:cs="Times New Roman"/>
                <w:color w:val="auto"/>
                <w:sz w:val="24"/>
                <w:szCs w:val="24"/>
                <w:highlight w:val="none"/>
                <w:lang w:val="en-US" w:eastAsia="zh-CN"/>
              </w:rPr>
              <w:t>筛选机</w:t>
            </w:r>
          </w:p>
        </w:tc>
        <w:tc>
          <w:tcPr>
            <w:tcW w:w="399" w:type="pct"/>
            <w:tcBorders>
              <w:tl2br w:val="nil"/>
              <w:tr2bl w:val="nil"/>
            </w:tcBorders>
            <w:noWrap w:val="0"/>
            <w:vAlign w:val="center"/>
          </w:tcPr>
          <w:p w14:paraId="181D2499">
            <w:pPr>
              <w:pStyle w:val="48"/>
              <w:spacing w:beforeLines="0" w:afterLines="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6</w:t>
            </w:r>
          </w:p>
        </w:tc>
        <w:tc>
          <w:tcPr>
            <w:tcW w:w="400" w:type="pct"/>
            <w:tcBorders>
              <w:tl2br w:val="nil"/>
              <w:tr2bl w:val="nil"/>
            </w:tcBorders>
            <w:noWrap w:val="0"/>
            <w:vAlign w:val="center"/>
          </w:tcPr>
          <w:p w14:paraId="063D50EC">
            <w:pPr>
              <w:pStyle w:val="48"/>
              <w:spacing w:beforeLines="0" w:afterLines="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rPr>
              <w:t>8</w:t>
            </w:r>
            <w:r>
              <w:rPr>
                <w:rFonts w:hint="default" w:ascii="Times New Roman" w:hAnsi="Times New Roman" w:cs="Times New Roman"/>
                <w:color w:val="auto"/>
                <w:sz w:val="24"/>
                <w:szCs w:val="24"/>
                <w:highlight w:val="none"/>
                <w:lang w:val="en-US" w:eastAsia="zh-CN"/>
              </w:rPr>
              <w:t>0</w:t>
            </w:r>
          </w:p>
        </w:tc>
        <w:tc>
          <w:tcPr>
            <w:tcW w:w="892" w:type="pct"/>
            <w:vMerge w:val="continue"/>
            <w:tcBorders>
              <w:tl2br w:val="nil"/>
              <w:tr2bl w:val="nil"/>
            </w:tcBorders>
            <w:noWrap w:val="0"/>
            <w:vAlign w:val="center"/>
          </w:tcPr>
          <w:p w14:paraId="175DF6D2">
            <w:pPr>
              <w:pStyle w:val="48"/>
              <w:spacing w:beforeLines="0" w:afterLines="0"/>
              <w:jc w:val="center"/>
              <w:rPr>
                <w:rFonts w:hint="default" w:ascii="Times New Roman" w:hAnsi="Times New Roman" w:cs="Times New Roman"/>
                <w:color w:val="auto"/>
                <w:sz w:val="24"/>
                <w:szCs w:val="24"/>
                <w:highlight w:val="none"/>
              </w:rPr>
            </w:pPr>
          </w:p>
        </w:tc>
        <w:tc>
          <w:tcPr>
            <w:tcW w:w="1269" w:type="pct"/>
            <w:tcBorders>
              <w:tl2br w:val="nil"/>
              <w:tr2bl w:val="nil"/>
            </w:tcBorders>
            <w:noWrap w:val="0"/>
            <w:vAlign w:val="center"/>
          </w:tcPr>
          <w:p w14:paraId="570F8CBC">
            <w:pPr>
              <w:pStyle w:val="48"/>
              <w:spacing w:beforeLines="0" w:afterLine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20dB（A）</w:t>
            </w:r>
          </w:p>
        </w:tc>
        <w:tc>
          <w:tcPr>
            <w:tcW w:w="418" w:type="pct"/>
            <w:tcBorders>
              <w:tl2br w:val="nil"/>
              <w:tr2bl w:val="nil"/>
            </w:tcBorders>
            <w:noWrap w:val="0"/>
            <w:vAlign w:val="center"/>
          </w:tcPr>
          <w:p w14:paraId="189203F3">
            <w:pPr>
              <w:pStyle w:val="48"/>
              <w:spacing w:beforeLines="0" w:afterLines="0"/>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rPr>
              <w:t>6</w:t>
            </w:r>
            <w:r>
              <w:rPr>
                <w:rFonts w:hint="default" w:ascii="Times New Roman" w:hAnsi="Times New Roman" w:cs="Times New Roman"/>
                <w:color w:val="auto"/>
                <w:sz w:val="24"/>
                <w:szCs w:val="24"/>
                <w:highlight w:val="none"/>
                <w:lang w:val="en-US" w:eastAsia="zh-CN"/>
              </w:rPr>
              <w:t>0</w:t>
            </w:r>
          </w:p>
        </w:tc>
        <w:tc>
          <w:tcPr>
            <w:tcW w:w="256" w:type="pct"/>
            <w:tcBorders>
              <w:tl2br w:val="nil"/>
              <w:tr2bl w:val="nil"/>
            </w:tcBorders>
            <w:noWrap w:val="0"/>
            <w:vAlign w:val="center"/>
          </w:tcPr>
          <w:p w14:paraId="6FFCDD7B">
            <w:pPr>
              <w:pStyle w:val="48"/>
              <w:spacing w:beforeLines="0" w:afterLines="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975</w:t>
            </w:r>
          </w:p>
        </w:tc>
        <w:tc>
          <w:tcPr>
            <w:tcW w:w="256" w:type="pct"/>
            <w:tcBorders>
              <w:tl2br w:val="nil"/>
              <w:tr2bl w:val="nil"/>
            </w:tcBorders>
            <w:noWrap w:val="0"/>
            <w:vAlign w:val="center"/>
          </w:tcPr>
          <w:p w14:paraId="0E2FE467">
            <w:pPr>
              <w:pStyle w:val="48"/>
              <w:spacing w:beforeLines="0" w:afterLines="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95</w:t>
            </w:r>
          </w:p>
        </w:tc>
        <w:tc>
          <w:tcPr>
            <w:tcW w:w="227" w:type="pct"/>
            <w:tcBorders>
              <w:tl2br w:val="nil"/>
              <w:tr2bl w:val="nil"/>
            </w:tcBorders>
            <w:noWrap w:val="0"/>
            <w:vAlign w:val="center"/>
          </w:tcPr>
          <w:p w14:paraId="5F5256C6">
            <w:pPr>
              <w:pStyle w:val="48"/>
              <w:spacing w:beforeLines="0" w:afterLines="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140</w:t>
            </w:r>
          </w:p>
        </w:tc>
        <w:tc>
          <w:tcPr>
            <w:tcW w:w="236" w:type="pct"/>
            <w:tcBorders>
              <w:tl2br w:val="nil"/>
              <w:tr2bl w:val="nil"/>
            </w:tcBorders>
            <w:noWrap w:val="0"/>
            <w:vAlign w:val="center"/>
          </w:tcPr>
          <w:p w14:paraId="0C586755">
            <w:pPr>
              <w:pStyle w:val="48"/>
              <w:spacing w:beforeLines="0" w:afterLines="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250</w:t>
            </w:r>
          </w:p>
        </w:tc>
      </w:tr>
      <w:tr w14:paraId="187C04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645" w:type="pct"/>
            <w:tcBorders>
              <w:tl2br w:val="nil"/>
              <w:tr2bl w:val="nil"/>
            </w:tcBorders>
            <w:noWrap w:val="0"/>
            <w:vAlign w:val="center"/>
          </w:tcPr>
          <w:p w14:paraId="6BB66567">
            <w:pPr>
              <w:pStyle w:val="48"/>
              <w:spacing w:beforeLines="0" w:afterLine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洗砂机</w:t>
            </w:r>
          </w:p>
        </w:tc>
        <w:tc>
          <w:tcPr>
            <w:tcW w:w="399" w:type="pct"/>
            <w:tcBorders>
              <w:tl2br w:val="nil"/>
              <w:tr2bl w:val="nil"/>
            </w:tcBorders>
            <w:noWrap w:val="0"/>
            <w:vAlign w:val="center"/>
          </w:tcPr>
          <w:p w14:paraId="2B1C9BA2">
            <w:pPr>
              <w:pStyle w:val="48"/>
              <w:spacing w:beforeLines="0" w:afterLines="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1</w:t>
            </w:r>
          </w:p>
        </w:tc>
        <w:tc>
          <w:tcPr>
            <w:tcW w:w="400" w:type="pct"/>
            <w:tcBorders>
              <w:tl2br w:val="nil"/>
              <w:tr2bl w:val="nil"/>
            </w:tcBorders>
            <w:noWrap w:val="0"/>
            <w:vAlign w:val="center"/>
          </w:tcPr>
          <w:p w14:paraId="0784A4EF">
            <w:pPr>
              <w:pStyle w:val="48"/>
              <w:spacing w:beforeLines="0" w:afterLine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80</w:t>
            </w:r>
          </w:p>
        </w:tc>
        <w:tc>
          <w:tcPr>
            <w:tcW w:w="892" w:type="pct"/>
            <w:vMerge w:val="continue"/>
            <w:tcBorders>
              <w:tl2br w:val="nil"/>
              <w:tr2bl w:val="nil"/>
            </w:tcBorders>
            <w:noWrap w:val="0"/>
            <w:vAlign w:val="center"/>
          </w:tcPr>
          <w:p w14:paraId="56E91063">
            <w:pPr>
              <w:pStyle w:val="48"/>
              <w:spacing w:beforeLines="0" w:afterLines="0"/>
              <w:jc w:val="center"/>
              <w:rPr>
                <w:rFonts w:hint="default" w:ascii="Times New Roman" w:hAnsi="Times New Roman" w:cs="Times New Roman"/>
                <w:color w:val="auto"/>
                <w:sz w:val="24"/>
                <w:szCs w:val="24"/>
                <w:highlight w:val="none"/>
              </w:rPr>
            </w:pPr>
          </w:p>
        </w:tc>
        <w:tc>
          <w:tcPr>
            <w:tcW w:w="1269" w:type="pct"/>
            <w:tcBorders>
              <w:tl2br w:val="nil"/>
              <w:tr2bl w:val="nil"/>
            </w:tcBorders>
            <w:noWrap w:val="0"/>
            <w:vAlign w:val="center"/>
          </w:tcPr>
          <w:p w14:paraId="2D1E7B87">
            <w:pPr>
              <w:pStyle w:val="48"/>
              <w:spacing w:beforeLines="0" w:afterLine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20dB（A）</w:t>
            </w:r>
          </w:p>
        </w:tc>
        <w:tc>
          <w:tcPr>
            <w:tcW w:w="418" w:type="pct"/>
            <w:tcBorders>
              <w:tl2br w:val="nil"/>
              <w:tr2bl w:val="nil"/>
            </w:tcBorders>
            <w:noWrap w:val="0"/>
            <w:vAlign w:val="center"/>
          </w:tcPr>
          <w:p w14:paraId="4103EB78">
            <w:pPr>
              <w:pStyle w:val="48"/>
              <w:spacing w:beforeLines="0" w:afterLine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60</w:t>
            </w:r>
          </w:p>
        </w:tc>
        <w:tc>
          <w:tcPr>
            <w:tcW w:w="256" w:type="pct"/>
            <w:tcBorders>
              <w:tl2br w:val="nil"/>
              <w:tr2bl w:val="nil"/>
            </w:tcBorders>
            <w:noWrap w:val="0"/>
            <w:vAlign w:val="center"/>
          </w:tcPr>
          <w:p w14:paraId="237CCFFD">
            <w:pPr>
              <w:pStyle w:val="48"/>
              <w:spacing w:beforeLines="0" w:afterLines="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1000</w:t>
            </w:r>
          </w:p>
        </w:tc>
        <w:tc>
          <w:tcPr>
            <w:tcW w:w="256" w:type="pct"/>
            <w:tcBorders>
              <w:tl2br w:val="nil"/>
              <w:tr2bl w:val="nil"/>
            </w:tcBorders>
            <w:noWrap w:val="0"/>
            <w:vAlign w:val="center"/>
          </w:tcPr>
          <w:p w14:paraId="54C19E6A">
            <w:pPr>
              <w:pStyle w:val="48"/>
              <w:spacing w:beforeLines="0" w:afterLines="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95</w:t>
            </w:r>
          </w:p>
        </w:tc>
        <w:tc>
          <w:tcPr>
            <w:tcW w:w="227" w:type="pct"/>
            <w:tcBorders>
              <w:tl2br w:val="nil"/>
              <w:tr2bl w:val="nil"/>
            </w:tcBorders>
            <w:noWrap w:val="0"/>
            <w:vAlign w:val="center"/>
          </w:tcPr>
          <w:p w14:paraId="7E05CBD6">
            <w:pPr>
              <w:pStyle w:val="48"/>
              <w:spacing w:beforeLines="0" w:afterLines="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130</w:t>
            </w:r>
          </w:p>
        </w:tc>
        <w:tc>
          <w:tcPr>
            <w:tcW w:w="236" w:type="pct"/>
            <w:tcBorders>
              <w:tl2br w:val="nil"/>
              <w:tr2bl w:val="nil"/>
            </w:tcBorders>
            <w:noWrap w:val="0"/>
            <w:vAlign w:val="center"/>
          </w:tcPr>
          <w:p w14:paraId="5D7BA91A">
            <w:pPr>
              <w:pStyle w:val="48"/>
              <w:spacing w:beforeLines="0" w:afterLines="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255</w:t>
            </w:r>
          </w:p>
        </w:tc>
      </w:tr>
      <w:tr w14:paraId="49E79E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645" w:type="pct"/>
            <w:tcBorders>
              <w:tl2br w:val="nil"/>
              <w:tr2bl w:val="nil"/>
            </w:tcBorders>
            <w:noWrap w:val="0"/>
            <w:vAlign w:val="center"/>
          </w:tcPr>
          <w:p w14:paraId="2DC855C1">
            <w:pPr>
              <w:pStyle w:val="48"/>
              <w:spacing w:beforeLines="0" w:afterLines="0"/>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lang w:val="en-US" w:eastAsia="zh-CN"/>
              </w:rPr>
              <w:t>方形摇摆筛</w:t>
            </w:r>
          </w:p>
        </w:tc>
        <w:tc>
          <w:tcPr>
            <w:tcW w:w="399" w:type="pct"/>
            <w:tcBorders>
              <w:tl2br w:val="nil"/>
              <w:tr2bl w:val="nil"/>
            </w:tcBorders>
            <w:noWrap w:val="0"/>
            <w:vAlign w:val="center"/>
          </w:tcPr>
          <w:p w14:paraId="5BF8B388">
            <w:pPr>
              <w:pStyle w:val="48"/>
              <w:spacing w:beforeLines="0" w:afterLines="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16</w:t>
            </w:r>
          </w:p>
        </w:tc>
        <w:tc>
          <w:tcPr>
            <w:tcW w:w="400" w:type="pct"/>
            <w:tcBorders>
              <w:tl2br w:val="nil"/>
              <w:tr2bl w:val="nil"/>
            </w:tcBorders>
            <w:noWrap w:val="0"/>
            <w:vAlign w:val="center"/>
          </w:tcPr>
          <w:p w14:paraId="0F5B728A">
            <w:pPr>
              <w:pStyle w:val="48"/>
              <w:spacing w:beforeLines="0" w:afterLines="0"/>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rPr>
              <w:t>8</w:t>
            </w:r>
            <w:r>
              <w:rPr>
                <w:rFonts w:hint="default" w:ascii="Times New Roman" w:hAnsi="Times New Roman" w:cs="Times New Roman"/>
                <w:color w:val="auto"/>
                <w:sz w:val="24"/>
                <w:szCs w:val="24"/>
                <w:highlight w:val="none"/>
                <w:lang w:val="en-US" w:eastAsia="zh-CN"/>
              </w:rPr>
              <w:t>5</w:t>
            </w:r>
          </w:p>
        </w:tc>
        <w:tc>
          <w:tcPr>
            <w:tcW w:w="892" w:type="pct"/>
            <w:vMerge w:val="continue"/>
            <w:tcBorders>
              <w:tl2br w:val="nil"/>
              <w:tr2bl w:val="nil"/>
            </w:tcBorders>
            <w:noWrap w:val="0"/>
            <w:vAlign w:val="center"/>
          </w:tcPr>
          <w:p w14:paraId="6D410162">
            <w:pPr>
              <w:pStyle w:val="48"/>
              <w:spacing w:beforeLines="0" w:afterLines="0"/>
              <w:jc w:val="center"/>
              <w:rPr>
                <w:rFonts w:hint="default" w:ascii="Times New Roman" w:hAnsi="Times New Roman" w:cs="Times New Roman"/>
                <w:color w:val="auto"/>
                <w:sz w:val="24"/>
                <w:szCs w:val="24"/>
                <w:highlight w:val="none"/>
              </w:rPr>
            </w:pPr>
          </w:p>
        </w:tc>
        <w:tc>
          <w:tcPr>
            <w:tcW w:w="1269" w:type="pct"/>
            <w:tcBorders>
              <w:tl2br w:val="nil"/>
              <w:tr2bl w:val="nil"/>
            </w:tcBorders>
            <w:noWrap w:val="0"/>
            <w:vAlign w:val="center"/>
          </w:tcPr>
          <w:p w14:paraId="120102E6">
            <w:pPr>
              <w:pStyle w:val="48"/>
              <w:spacing w:beforeLines="0" w:afterLine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20dB（A）</w:t>
            </w:r>
          </w:p>
        </w:tc>
        <w:tc>
          <w:tcPr>
            <w:tcW w:w="418" w:type="pct"/>
            <w:tcBorders>
              <w:tl2br w:val="nil"/>
              <w:tr2bl w:val="nil"/>
            </w:tcBorders>
            <w:noWrap w:val="0"/>
            <w:vAlign w:val="center"/>
          </w:tcPr>
          <w:p w14:paraId="03EE8E4E">
            <w:pPr>
              <w:pStyle w:val="48"/>
              <w:spacing w:beforeLines="0" w:afterLines="0"/>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rPr>
              <w:t>6</w:t>
            </w:r>
            <w:r>
              <w:rPr>
                <w:rFonts w:hint="default" w:ascii="Times New Roman" w:hAnsi="Times New Roman" w:cs="Times New Roman"/>
                <w:color w:val="auto"/>
                <w:sz w:val="24"/>
                <w:szCs w:val="24"/>
                <w:highlight w:val="none"/>
                <w:lang w:val="en-US" w:eastAsia="zh-CN"/>
              </w:rPr>
              <w:t>5</w:t>
            </w:r>
          </w:p>
        </w:tc>
        <w:tc>
          <w:tcPr>
            <w:tcW w:w="256" w:type="pct"/>
            <w:tcBorders>
              <w:tl2br w:val="nil"/>
              <w:tr2bl w:val="nil"/>
            </w:tcBorders>
            <w:noWrap w:val="0"/>
            <w:vAlign w:val="center"/>
          </w:tcPr>
          <w:p w14:paraId="12FF7078">
            <w:pPr>
              <w:pStyle w:val="48"/>
              <w:spacing w:beforeLines="0" w:afterLines="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950</w:t>
            </w:r>
          </w:p>
        </w:tc>
        <w:tc>
          <w:tcPr>
            <w:tcW w:w="256" w:type="pct"/>
            <w:tcBorders>
              <w:tl2br w:val="nil"/>
              <w:tr2bl w:val="nil"/>
            </w:tcBorders>
            <w:noWrap w:val="0"/>
            <w:vAlign w:val="center"/>
          </w:tcPr>
          <w:p w14:paraId="3142C00B">
            <w:pPr>
              <w:pStyle w:val="48"/>
              <w:spacing w:beforeLines="0" w:afterLines="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85</w:t>
            </w:r>
          </w:p>
        </w:tc>
        <w:tc>
          <w:tcPr>
            <w:tcW w:w="227" w:type="pct"/>
            <w:tcBorders>
              <w:tl2br w:val="nil"/>
              <w:tr2bl w:val="nil"/>
            </w:tcBorders>
            <w:noWrap w:val="0"/>
            <w:vAlign w:val="center"/>
          </w:tcPr>
          <w:p w14:paraId="3FA72376">
            <w:pPr>
              <w:pStyle w:val="48"/>
              <w:spacing w:beforeLines="0" w:afterLines="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140</w:t>
            </w:r>
          </w:p>
        </w:tc>
        <w:tc>
          <w:tcPr>
            <w:tcW w:w="236" w:type="pct"/>
            <w:tcBorders>
              <w:tl2br w:val="nil"/>
              <w:tr2bl w:val="nil"/>
            </w:tcBorders>
            <w:noWrap w:val="0"/>
            <w:vAlign w:val="center"/>
          </w:tcPr>
          <w:p w14:paraId="0F1B1366">
            <w:pPr>
              <w:pStyle w:val="48"/>
              <w:spacing w:beforeLines="0" w:afterLines="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265</w:t>
            </w:r>
          </w:p>
        </w:tc>
      </w:tr>
      <w:tr w14:paraId="63B8C1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645" w:type="pct"/>
            <w:tcBorders>
              <w:tl2br w:val="nil"/>
              <w:tr2bl w:val="nil"/>
            </w:tcBorders>
            <w:noWrap w:val="0"/>
            <w:vAlign w:val="center"/>
          </w:tcPr>
          <w:p w14:paraId="27034715">
            <w:pPr>
              <w:pStyle w:val="48"/>
              <w:spacing w:beforeLines="0" w:afterLine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皮带输送机</w:t>
            </w:r>
          </w:p>
        </w:tc>
        <w:tc>
          <w:tcPr>
            <w:tcW w:w="399" w:type="pct"/>
            <w:tcBorders>
              <w:tl2br w:val="nil"/>
              <w:tr2bl w:val="nil"/>
            </w:tcBorders>
            <w:noWrap w:val="0"/>
            <w:vAlign w:val="center"/>
          </w:tcPr>
          <w:p w14:paraId="435FCDBB">
            <w:pPr>
              <w:pStyle w:val="48"/>
              <w:spacing w:beforeLines="0" w:afterLines="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5</w:t>
            </w:r>
          </w:p>
        </w:tc>
        <w:tc>
          <w:tcPr>
            <w:tcW w:w="400" w:type="pct"/>
            <w:tcBorders>
              <w:tl2br w:val="nil"/>
              <w:tr2bl w:val="nil"/>
            </w:tcBorders>
            <w:noWrap w:val="0"/>
            <w:vAlign w:val="center"/>
          </w:tcPr>
          <w:p w14:paraId="59036C77">
            <w:pPr>
              <w:pStyle w:val="48"/>
              <w:spacing w:beforeLines="0" w:afterLine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75</w:t>
            </w:r>
          </w:p>
        </w:tc>
        <w:tc>
          <w:tcPr>
            <w:tcW w:w="892" w:type="pct"/>
            <w:vMerge w:val="continue"/>
            <w:tcBorders>
              <w:tl2br w:val="nil"/>
              <w:tr2bl w:val="nil"/>
            </w:tcBorders>
            <w:noWrap w:val="0"/>
            <w:vAlign w:val="center"/>
          </w:tcPr>
          <w:p w14:paraId="4DA0A916">
            <w:pPr>
              <w:pStyle w:val="48"/>
              <w:spacing w:beforeLines="0" w:afterLines="0"/>
              <w:jc w:val="center"/>
              <w:rPr>
                <w:rFonts w:hint="default" w:ascii="Times New Roman" w:hAnsi="Times New Roman" w:cs="Times New Roman"/>
                <w:color w:val="auto"/>
                <w:sz w:val="24"/>
                <w:szCs w:val="24"/>
                <w:highlight w:val="none"/>
              </w:rPr>
            </w:pPr>
          </w:p>
        </w:tc>
        <w:tc>
          <w:tcPr>
            <w:tcW w:w="1269" w:type="pct"/>
            <w:tcBorders>
              <w:tl2br w:val="nil"/>
              <w:tr2bl w:val="nil"/>
            </w:tcBorders>
            <w:noWrap w:val="0"/>
            <w:vAlign w:val="center"/>
          </w:tcPr>
          <w:p w14:paraId="278FFC6F">
            <w:pPr>
              <w:pStyle w:val="48"/>
              <w:spacing w:beforeLines="0" w:afterLine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20dB（A）</w:t>
            </w:r>
          </w:p>
        </w:tc>
        <w:tc>
          <w:tcPr>
            <w:tcW w:w="418" w:type="pct"/>
            <w:tcBorders>
              <w:tl2br w:val="nil"/>
              <w:tr2bl w:val="nil"/>
            </w:tcBorders>
            <w:noWrap w:val="0"/>
            <w:vAlign w:val="center"/>
          </w:tcPr>
          <w:p w14:paraId="09C8A4AC">
            <w:pPr>
              <w:pStyle w:val="48"/>
              <w:spacing w:beforeLines="0" w:afterLine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55</w:t>
            </w:r>
          </w:p>
        </w:tc>
        <w:tc>
          <w:tcPr>
            <w:tcW w:w="256" w:type="pct"/>
            <w:tcBorders>
              <w:tl2br w:val="nil"/>
              <w:tr2bl w:val="nil"/>
            </w:tcBorders>
            <w:noWrap w:val="0"/>
            <w:vAlign w:val="center"/>
          </w:tcPr>
          <w:p w14:paraId="13B7BA97">
            <w:pPr>
              <w:pStyle w:val="48"/>
              <w:spacing w:beforeLines="0" w:afterLines="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945</w:t>
            </w:r>
          </w:p>
        </w:tc>
        <w:tc>
          <w:tcPr>
            <w:tcW w:w="256" w:type="pct"/>
            <w:tcBorders>
              <w:tl2br w:val="nil"/>
              <w:tr2bl w:val="nil"/>
            </w:tcBorders>
            <w:noWrap w:val="0"/>
            <w:vAlign w:val="center"/>
          </w:tcPr>
          <w:p w14:paraId="29E1351D">
            <w:pPr>
              <w:pStyle w:val="48"/>
              <w:spacing w:beforeLines="0" w:afterLines="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90</w:t>
            </w:r>
          </w:p>
        </w:tc>
        <w:tc>
          <w:tcPr>
            <w:tcW w:w="227" w:type="pct"/>
            <w:tcBorders>
              <w:tl2br w:val="nil"/>
              <w:tr2bl w:val="nil"/>
            </w:tcBorders>
            <w:noWrap w:val="0"/>
            <w:vAlign w:val="center"/>
          </w:tcPr>
          <w:p w14:paraId="391CD825">
            <w:pPr>
              <w:pStyle w:val="48"/>
              <w:spacing w:beforeLines="0" w:afterLines="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140</w:t>
            </w:r>
          </w:p>
        </w:tc>
        <w:tc>
          <w:tcPr>
            <w:tcW w:w="236" w:type="pct"/>
            <w:tcBorders>
              <w:tl2br w:val="nil"/>
              <w:tr2bl w:val="nil"/>
            </w:tcBorders>
            <w:noWrap w:val="0"/>
            <w:vAlign w:val="center"/>
          </w:tcPr>
          <w:p w14:paraId="1B50E97C">
            <w:pPr>
              <w:pStyle w:val="48"/>
              <w:spacing w:beforeLines="0" w:afterLines="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250</w:t>
            </w:r>
          </w:p>
        </w:tc>
      </w:tr>
      <w:tr w14:paraId="5E8D19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645" w:type="pct"/>
            <w:tcBorders>
              <w:tl2br w:val="nil"/>
              <w:tr2bl w:val="nil"/>
            </w:tcBorders>
            <w:noWrap w:val="0"/>
            <w:vAlign w:val="center"/>
          </w:tcPr>
          <w:p w14:paraId="673912AE">
            <w:pPr>
              <w:pStyle w:val="48"/>
              <w:spacing w:beforeLines="0" w:afterLines="0"/>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lang w:val="en-US" w:eastAsia="zh-CN"/>
              </w:rPr>
              <w:t>除尘风机</w:t>
            </w:r>
          </w:p>
        </w:tc>
        <w:tc>
          <w:tcPr>
            <w:tcW w:w="399" w:type="pct"/>
            <w:tcBorders>
              <w:tl2br w:val="nil"/>
              <w:tr2bl w:val="nil"/>
            </w:tcBorders>
            <w:noWrap w:val="0"/>
            <w:vAlign w:val="center"/>
          </w:tcPr>
          <w:p w14:paraId="35E03DF8">
            <w:pPr>
              <w:pStyle w:val="48"/>
              <w:spacing w:beforeLines="0" w:afterLines="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2</w:t>
            </w:r>
          </w:p>
        </w:tc>
        <w:tc>
          <w:tcPr>
            <w:tcW w:w="400" w:type="pct"/>
            <w:tcBorders>
              <w:tl2br w:val="nil"/>
              <w:tr2bl w:val="nil"/>
            </w:tcBorders>
            <w:noWrap w:val="0"/>
            <w:vAlign w:val="center"/>
          </w:tcPr>
          <w:p w14:paraId="3168774E">
            <w:pPr>
              <w:pStyle w:val="48"/>
              <w:spacing w:beforeLines="0" w:afterLines="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90</w:t>
            </w:r>
          </w:p>
        </w:tc>
        <w:tc>
          <w:tcPr>
            <w:tcW w:w="892" w:type="pct"/>
            <w:vMerge w:val="continue"/>
            <w:tcBorders>
              <w:tl2br w:val="nil"/>
              <w:tr2bl w:val="nil"/>
            </w:tcBorders>
            <w:noWrap w:val="0"/>
            <w:vAlign w:val="center"/>
          </w:tcPr>
          <w:p w14:paraId="7B8F58D7">
            <w:pPr>
              <w:pStyle w:val="48"/>
              <w:spacing w:beforeLines="0" w:afterLines="0"/>
              <w:jc w:val="center"/>
              <w:rPr>
                <w:rFonts w:hint="default" w:ascii="Times New Roman" w:hAnsi="Times New Roman" w:cs="Times New Roman"/>
                <w:color w:val="auto"/>
                <w:sz w:val="24"/>
                <w:szCs w:val="24"/>
                <w:highlight w:val="none"/>
              </w:rPr>
            </w:pPr>
          </w:p>
        </w:tc>
        <w:tc>
          <w:tcPr>
            <w:tcW w:w="1269" w:type="pct"/>
            <w:tcBorders>
              <w:tl2br w:val="nil"/>
              <w:tr2bl w:val="nil"/>
            </w:tcBorders>
            <w:noWrap w:val="0"/>
            <w:vAlign w:val="center"/>
          </w:tcPr>
          <w:p w14:paraId="4D80806F">
            <w:pPr>
              <w:pStyle w:val="48"/>
              <w:spacing w:beforeLines="0" w:afterLine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20dB（A）</w:t>
            </w:r>
          </w:p>
        </w:tc>
        <w:tc>
          <w:tcPr>
            <w:tcW w:w="418" w:type="pct"/>
            <w:tcBorders>
              <w:tl2br w:val="nil"/>
              <w:tr2bl w:val="nil"/>
            </w:tcBorders>
            <w:noWrap w:val="0"/>
            <w:vAlign w:val="center"/>
          </w:tcPr>
          <w:p w14:paraId="5D03C47E">
            <w:pPr>
              <w:pStyle w:val="48"/>
              <w:spacing w:beforeLines="0" w:afterLines="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70</w:t>
            </w:r>
          </w:p>
        </w:tc>
        <w:tc>
          <w:tcPr>
            <w:tcW w:w="256" w:type="pct"/>
            <w:tcBorders>
              <w:tl2br w:val="nil"/>
              <w:tr2bl w:val="nil"/>
            </w:tcBorders>
            <w:noWrap w:val="0"/>
            <w:vAlign w:val="center"/>
          </w:tcPr>
          <w:p w14:paraId="3345AA48">
            <w:pPr>
              <w:pStyle w:val="48"/>
              <w:spacing w:beforeLines="0" w:afterLines="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935</w:t>
            </w:r>
          </w:p>
        </w:tc>
        <w:tc>
          <w:tcPr>
            <w:tcW w:w="256" w:type="pct"/>
            <w:tcBorders>
              <w:tl2br w:val="nil"/>
              <w:tr2bl w:val="nil"/>
            </w:tcBorders>
            <w:noWrap w:val="0"/>
            <w:vAlign w:val="center"/>
          </w:tcPr>
          <w:p w14:paraId="0B985DC8">
            <w:pPr>
              <w:pStyle w:val="48"/>
              <w:spacing w:beforeLines="0" w:afterLines="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110</w:t>
            </w:r>
          </w:p>
        </w:tc>
        <w:tc>
          <w:tcPr>
            <w:tcW w:w="227" w:type="pct"/>
            <w:tcBorders>
              <w:tl2br w:val="nil"/>
              <w:tr2bl w:val="nil"/>
            </w:tcBorders>
            <w:noWrap w:val="0"/>
            <w:vAlign w:val="center"/>
          </w:tcPr>
          <w:p w14:paraId="2436E502">
            <w:pPr>
              <w:pStyle w:val="48"/>
              <w:spacing w:beforeLines="0" w:afterLines="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85</w:t>
            </w:r>
          </w:p>
        </w:tc>
        <w:tc>
          <w:tcPr>
            <w:tcW w:w="236" w:type="pct"/>
            <w:tcBorders>
              <w:tl2br w:val="nil"/>
              <w:tr2bl w:val="nil"/>
            </w:tcBorders>
            <w:noWrap w:val="0"/>
            <w:vAlign w:val="center"/>
          </w:tcPr>
          <w:p w14:paraId="5094694E">
            <w:pPr>
              <w:pStyle w:val="48"/>
              <w:spacing w:beforeLines="0" w:afterLines="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240</w:t>
            </w:r>
          </w:p>
        </w:tc>
      </w:tr>
    </w:tbl>
    <w:p w14:paraId="2437B4FB">
      <w:pPr>
        <w:pStyle w:val="45"/>
        <w:bidi w:val="0"/>
        <w:rPr>
          <w:rFonts w:hint="default" w:ascii="Times New Roman" w:hAnsi="Times New Roman" w:cs="Times New Roman"/>
          <w:color w:val="auto"/>
          <w:highlight w:val="none"/>
        </w:rPr>
        <w:sectPr>
          <w:pgSz w:w="16840" w:h="11910" w:orient="landscape"/>
          <w:pgMar w:top="1420" w:right="1360" w:bottom="1340" w:left="280" w:header="1050" w:footer="850" w:gutter="0"/>
          <w:pgBorders>
            <w:top w:val="none" w:sz="0" w:space="0"/>
            <w:left w:val="none" w:sz="0" w:space="0"/>
            <w:bottom w:val="none" w:sz="0" w:space="0"/>
            <w:right w:val="none" w:sz="0" w:space="0"/>
          </w:pgBorders>
          <w:lnNumType w:countBy="0" w:distance="360"/>
          <w:cols w:space="720" w:num="1"/>
        </w:sectPr>
      </w:pPr>
    </w:p>
    <w:p w14:paraId="6A3355E2">
      <w:pPr>
        <w:pStyle w:val="5"/>
        <w:bidi w:val="0"/>
        <w:rPr>
          <w:rFonts w:hint="default"/>
          <w:lang w:val="en-US" w:eastAsia="zh-CN"/>
        </w:rPr>
      </w:pPr>
      <w:bookmarkStart w:id="308" w:name="_Toc24293"/>
      <w:r>
        <w:rPr>
          <w:rFonts w:hint="default"/>
          <w:lang w:val="en-US" w:eastAsia="zh-CN"/>
        </w:rPr>
        <w:t>点声源预测模式</w:t>
      </w:r>
      <w:bookmarkEnd w:id="308"/>
    </w:p>
    <w:p w14:paraId="7C322EB7">
      <w:pPr>
        <w:suppressLineNumbers w:val="0"/>
        <w:spacing w:before="0" w:beforeAutospacing="0" w:after="0" w:afterAutospacing="0" w:line="360" w:lineRule="auto"/>
        <w:ind w:left="0" w:right="0" w:firstLine="42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本项目噪声预测模式采用点源衰减模式预测：</w:t>
      </w:r>
    </w:p>
    <w:p w14:paraId="12BB9C66">
      <w:pPr>
        <w:suppressLineNumbers w:val="0"/>
        <w:spacing w:before="0" w:beforeAutospacing="0" w:after="0" w:afterAutospacing="0" w:line="360" w:lineRule="auto"/>
        <w:ind w:left="0" w:right="0" w:firstLine="42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建设项目声源在预测点产生的等效声级贡献值</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L</w:t>
      </w:r>
      <w:r>
        <w:rPr>
          <w:rFonts w:hint="default" w:ascii="Times New Roman" w:hAnsi="Times New Roman" w:cs="Times New Roman"/>
          <w:i/>
          <w:iCs/>
          <w:color w:val="auto"/>
          <w:szCs w:val="21"/>
          <w:highlight w:val="none"/>
        </w:rPr>
        <w:t>eqg</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计算公式：</w:t>
      </w:r>
    </w:p>
    <w:p w14:paraId="5553B0F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drawing>
          <wp:inline distT="0" distB="0" distL="114300" distR="114300">
            <wp:extent cx="1674495" cy="416560"/>
            <wp:effectExtent l="0" t="0" r="1905" b="2540"/>
            <wp:docPr id="17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36"/>
                    <pic:cNvPicPr>
                      <a:picLocks noChangeAspect="1"/>
                    </pic:cNvPicPr>
                  </pic:nvPicPr>
                  <pic:blipFill>
                    <a:blip r:embed="rId44"/>
                    <a:stretch>
                      <a:fillRect/>
                    </a:stretch>
                  </pic:blipFill>
                  <pic:spPr>
                    <a:xfrm>
                      <a:off x="0" y="0"/>
                      <a:ext cx="1674495" cy="416560"/>
                    </a:xfrm>
                    <a:prstGeom prst="rect">
                      <a:avLst/>
                    </a:prstGeom>
                    <a:noFill/>
                    <a:ln>
                      <a:noFill/>
                    </a:ln>
                  </pic:spPr>
                </pic:pic>
              </a:graphicData>
            </a:graphic>
          </wp:inline>
        </w:drawing>
      </w:r>
    </w:p>
    <w:p w14:paraId="11D0100F">
      <w:pPr>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式中：L</w:t>
      </w:r>
      <w:r>
        <w:rPr>
          <w:rFonts w:hint="default" w:ascii="Times New Roman" w:hAnsi="Times New Roman" w:cs="Times New Roman"/>
          <w:color w:val="auto"/>
          <w:szCs w:val="21"/>
          <w:highlight w:val="none"/>
          <w:vertAlign w:val="subscript"/>
        </w:rPr>
        <w:t>eqg</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建设项目声源在预测点的等效声级贡献值，dB</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A</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w:t>
      </w:r>
    </w:p>
    <w:p w14:paraId="6B17805A">
      <w:pPr>
        <w:suppressLineNumbers w:val="0"/>
        <w:spacing w:before="0" w:beforeAutospacing="0" w:after="0" w:afterAutospacing="0" w:line="360" w:lineRule="auto"/>
        <w:ind w:left="0" w:right="0" w:firstLine="1200" w:firstLineChars="5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L</w:t>
      </w:r>
      <w:r>
        <w:rPr>
          <w:rFonts w:hint="default" w:ascii="Times New Roman" w:hAnsi="Times New Roman" w:cs="Times New Roman"/>
          <w:color w:val="auto"/>
          <w:szCs w:val="21"/>
          <w:highlight w:val="none"/>
          <w:vertAlign w:val="subscript"/>
        </w:rPr>
        <w:t>Ai</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i声源在预测点产生的A声级，dB</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A</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w:t>
      </w:r>
    </w:p>
    <w:p w14:paraId="4A8C1992">
      <w:pPr>
        <w:suppressLineNumbers w:val="0"/>
        <w:spacing w:before="0" w:beforeAutospacing="0" w:after="0" w:afterAutospacing="0" w:line="360" w:lineRule="auto"/>
        <w:ind w:left="0" w:right="0" w:firstLine="1200" w:firstLineChars="5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T</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预测计算的时间段，s；</w:t>
      </w:r>
    </w:p>
    <w:p w14:paraId="3679162D">
      <w:pPr>
        <w:suppressLineNumbers w:val="0"/>
        <w:spacing w:before="0" w:beforeAutospacing="0" w:after="0" w:afterAutospacing="0" w:line="360" w:lineRule="auto"/>
        <w:ind w:left="0" w:right="0" w:firstLine="1200" w:firstLineChars="5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t</w:t>
      </w:r>
      <w:r>
        <w:rPr>
          <w:rFonts w:hint="default" w:ascii="Times New Roman" w:hAnsi="Times New Roman" w:cs="Times New Roman"/>
          <w:color w:val="auto"/>
          <w:szCs w:val="21"/>
          <w:highlight w:val="none"/>
          <w:vertAlign w:val="subscript"/>
        </w:rPr>
        <w:t xml:space="preserve">i </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i声源在T时段内的运行时间，s。</w:t>
      </w:r>
    </w:p>
    <w:p w14:paraId="251632AC">
      <w:pPr>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预测点的预测等效声级</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Leq</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计算公式</w:t>
      </w:r>
    </w:p>
    <w:p w14:paraId="4AD8518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drawing>
          <wp:inline distT="0" distB="0" distL="114300" distR="114300">
            <wp:extent cx="1792605" cy="262255"/>
            <wp:effectExtent l="0" t="0" r="10795" b="3810"/>
            <wp:docPr id="17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37"/>
                    <pic:cNvPicPr>
                      <a:picLocks noChangeAspect="1"/>
                    </pic:cNvPicPr>
                  </pic:nvPicPr>
                  <pic:blipFill>
                    <a:blip r:embed="rId45"/>
                    <a:stretch>
                      <a:fillRect/>
                    </a:stretch>
                  </pic:blipFill>
                  <pic:spPr>
                    <a:xfrm>
                      <a:off x="0" y="0"/>
                      <a:ext cx="1792605" cy="262255"/>
                    </a:xfrm>
                    <a:prstGeom prst="rect">
                      <a:avLst/>
                    </a:prstGeom>
                    <a:noFill/>
                    <a:ln>
                      <a:noFill/>
                    </a:ln>
                  </pic:spPr>
                </pic:pic>
              </a:graphicData>
            </a:graphic>
          </wp:inline>
        </w:drawing>
      </w:r>
    </w:p>
    <w:p w14:paraId="3A0705D8">
      <w:pPr>
        <w:suppressLineNumbers w:val="0"/>
        <w:spacing w:before="0" w:beforeAutospacing="0" w:after="0" w:afterAutospacing="0" w:line="360" w:lineRule="auto"/>
        <w:ind w:left="0" w:right="0" w:firstLine="42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式中：L</w:t>
      </w:r>
      <w:r>
        <w:rPr>
          <w:rFonts w:hint="default" w:ascii="Times New Roman" w:hAnsi="Times New Roman" w:cs="Times New Roman"/>
          <w:color w:val="auto"/>
          <w:sz w:val="24"/>
          <w:szCs w:val="24"/>
          <w:highlight w:val="none"/>
          <w:vertAlign w:val="subscript"/>
        </w:rPr>
        <w:t>eqg</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建设项目声源在预测点的等效声级贡献值，dB</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A</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w:t>
      </w:r>
    </w:p>
    <w:p w14:paraId="2CC2C86F">
      <w:pPr>
        <w:suppressLineNumbers w:val="0"/>
        <w:spacing w:before="0" w:beforeAutospacing="0" w:after="0" w:afterAutospacing="0" w:line="360" w:lineRule="auto"/>
        <w:ind w:left="0" w:right="0" w:firstLine="1200" w:firstLineChars="500"/>
        <w:jc w:val="left"/>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rPr>
        <w:t>L</w:t>
      </w:r>
      <w:r>
        <w:rPr>
          <w:rFonts w:hint="default" w:ascii="Times New Roman" w:hAnsi="Times New Roman" w:cs="Times New Roman"/>
          <w:color w:val="auto"/>
          <w:sz w:val="24"/>
          <w:szCs w:val="24"/>
          <w:highlight w:val="none"/>
          <w:vertAlign w:val="subscript"/>
        </w:rPr>
        <w:t>eqb</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预测点的背景值，dB</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A</w:t>
      </w:r>
      <w:r>
        <w:rPr>
          <w:rFonts w:hint="default" w:ascii="Times New Roman" w:hAnsi="Times New Roman" w:cs="Times New Roman"/>
          <w:color w:val="auto"/>
          <w:sz w:val="24"/>
          <w:szCs w:val="24"/>
          <w:highlight w:val="none"/>
          <w:lang w:eastAsia="zh-CN"/>
        </w:rPr>
        <w:t>）</w:t>
      </w:r>
    </w:p>
    <w:p w14:paraId="2128D0A3">
      <w:pPr>
        <w:widowControl/>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根据表</w:t>
      </w:r>
      <w:r>
        <w:rPr>
          <w:rFonts w:hint="default" w:ascii="Times New Roman" w:hAnsi="Times New Roman" w:cs="Times New Roman"/>
          <w:color w:val="auto"/>
          <w:sz w:val="24"/>
          <w:szCs w:val="24"/>
          <w:highlight w:val="none"/>
          <w:lang w:val="en-US" w:eastAsia="zh-CN"/>
        </w:rPr>
        <w:t>5.2-</w:t>
      </w:r>
      <w:r>
        <w:rPr>
          <w:rFonts w:hint="eastAsia" w:cs="Times New Roman"/>
          <w:color w:val="auto"/>
          <w:sz w:val="24"/>
          <w:szCs w:val="24"/>
          <w:highlight w:val="none"/>
          <w:lang w:val="en-US" w:eastAsia="zh-CN"/>
        </w:rPr>
        <w:t>18</w:t>
      </w:r>
      <w:r>
        <w:rPr>
          <w:rFonts w:hint="default" w:ascii="Times New Roman" w:hAnsi="Times New Roman" w:eastAsia="宋体" w:cs="Times New Roman"/>
          <w:color w:val="auto"/>
          <w:sz w:val="24"/>
          <w:szCs w:val="24"/>
          <w:highlight w:val="none"/>
          <w:lang w:val="en-US" w:eastAsia="zh-CN"/>
        </w:rPr>
        <w:t>所列主要噪声源，声源经过厂房隔声和距离衰减后到达计算点后叠加得到项目区厂界噪声预测结果见下表。</w:t>
      </w:r>
    </w:p>
    <w:p w14:paraId="5B801E83">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表</w:t>
      </w:r>
      <w:r>
        <w:rPr>
          <w:rFonts w:hint="default" w:ascii="Times New Roman" w:hAnsi="Times New Roman" w:cs="Times New Roman"/>
          <w:color w:val="auto"/>
          <w:highlight w:val="none"/>
          <w:lang w:val="en-US" w:eastAsia="zh-CN"/>
        </w:rPr>
        <w:t>5.2-1</w:t>
      </w:r>
      <w:r>
        <w:rPr>
          <w:rFonts w:hint="eastAsia" w:ascii="Times New Roman" w:hAnsi="Times New Roman" w:cs="Times New Roman"/>
          <w:color w:val="auto"/>
          <w:highlight w:val="none"/>
          <w:lang w:val="en-US" w:eastAsia="zh-CN"/>
        </w:rPr>
        <w:t>9</w:t>
      </w:r>
      <w:r>
        <w:rPr>
          <w:rFonts w:hint="default" w:ascii="Times New Roman" w:hAnsi="Times New Roman" w:cs="Times New Roman"/>
          <w:color w:val="auto"/>
          <w:highlight w:val="none"/>
        </w:rPr>
        <w:t xml:space="preserve">  </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厂界噪声预测结果</w:t>
      </w:r>
    </w:p>
    <w:tbl>
      <w:tblPr>
        <w:tblStyle w:val="3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40"/>
        <w:gridCol w:w="2144"/>
        <w:gridCol w:w="2526"/>
        <w:gridCol w:w="2549"/>
      </w:tblGrid>
      <w:tr w14:paraId="30AFF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43" w:type="pct"/>
            <w:tcBorders>
              <w:tl2br w:val="nil"/>
            </w:tcBorders>
            <w:shd w:val="clear" w:color="auto" w:fill="FFFFFF"/>
            <w:noWrap w:val="0"/>
            <w:vAlign w:val="center"/>
          </w:tcPr>
          <w:p w14:paraId="066A7253">
            <w:pPr>
              <w:pStyle w:val="48"/>
              <w:bidi w:val="0"/>
              <w:rPr>
                <w:rFonts w:hint="default" w:ascii="Times New Roman" w:hAnsi="Times New Roman" w:cs="Times New Roman"/>
                <w:color w:val="auto"/>
                <w:highlight w:val="none"/>
                <w:lang w:val="en-US" w:eastAsia="zh-CN"/>
              </w:rPr>
            </w:pPr>
          </w:p>
        </w:tc>
        <w:tc>
          <w:tcPr>
            <w:tcW w:w="1145" w:type="pct"/>
            <w:tcBorders>
              <w:tl2br w:val="nil"/>
            </w:tcBorders>
            <w:shd w:val="clear" w:color="auto" w:fill="FFFFFF"/>
            <w:noWrap w:val="0"/>
            <w:vAlign w:val="center"/>
          </w:tcPr>
          <w:p w14:paraId="71321C69">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厂界</w:t>
            </w:r>
          </w:p>
        </w:tc>
        <w:tc>
          <w:tcPr>
            <w:tcW w:w="1349" w:type="pct"/>
            <w:shd w:val="clear" w:color="auto" w:fill="FFFFFF"/>
            <w:noWrap w:val="0"/>
            <w:vAlign w:val="center"/>
          </w:tcPr>
          <w:p w14:paraId="11E3C171">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贡献</w:t>
            </w:r>
            <w:r>
              <w:rPr>
                <w:rFonts w:hint="default" w:ascii="Times New Roman" w:hAnsi="Times New Roman" w:cs="Times New Roman"/>
                <w:color w:val="auto"/>
                <w:highlight w:val="none"/>
              </w:rPr>
              <w:t>值</w:t>
            </w:r>
          </w:p>
        </w:tc>
        <w:tc>
          <w:tcPr>
            <w:tcW w:w="1361" w:type="pct"/>
            <w:shd w:val="clear" w:color="auto" w:fill="FFFFFF"/>
            <w:noWrap w:val="0"/>
            <w:vAlign w:val="center"/>
          </w:tcPr>
          <w:p w14:paraId="285DDC06">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标准值</w:t>
            </w:r>
          </w:p>
        </w:tc>
      </w:tr>
      <w:tr w14:paraId="20263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43" w:type="pct"/>
            <w:vMerge w:val="restart"/>
            <w:shd w:val="clear" w:color="auto" w:fill="FFFFFF"/>
            <w:noWrap w:val="0"/>
            <w:vAlign w:val="center"/>
          </w:tcPr>
          <w:p w14:paraId="73BAD807">
            <w:pPr>
              <w:pStyle w:val="48"/>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矿区</w:t>
            </w:r>
          </w:p>
        </w:tc>
        <w:tc>
          <w:tcPr>
            <w:tcW w:w="1145" w:type="pct"/>
            <w:shd w:val="clear" w:color="auto" w:fill="FFFFFF"/>
            <w:noWrap w:val="0"/>
            <w:vAlign w:val="center"/>
          </w:tcPr>
          <w:p w14:paraId="6D952A76">
            <w:pPr>
              <w:pStyle w:val="48"/>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1#</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厂界</w:t>
            </w:r>
            <w:r>
              <w:rPr>
                <w:rFonts w:hint="default" w:ascii="Times New Roman" w:hAnsi="Times New Roman" w:cs="Times New Roman"/>
                <w:color w:val="auto"/>
                <w:highlight w:val="none"/>
                <w:lang w:val="en-US" w:eastAsia="zh-CN"/>
              </w:rPr>
              <w:t>东</w:t>
            </w:r>
            <w:r>
              <w:rPr>
                <w:rFonts w:hint="default" w:ascii="Times New Roman" w:hAnsi="Times New Roman" w:cs="Times New Roman"/>
                <w:color w:val="auto"/>
                <w:highlight w:val="none"/>
              </w:rPr>
              <w:t>侧</w:t>
            </w:r>
            <w:r>
              <w:rPr>
                <w:rFonts w:hint="default" w:ascii="Times New Roman" w:hAnsi="Times New Roman" w:cs="Times New Roman"/>
                <w:color w:val="auto"/>
                <w:highlight w:val="none"/>
                <w:lang w:eastAsia="zh-CN"/>
              </w:rPr>
              <w:t>）</w:t>
            </w:r>
          </w:p>
        </w:tc>
        <w:tc>
          <w:tcPr>
            <w:tcW w:w="1349" w:type="pct"/>
            <w:shd w:val="clear" w:color="auto" w:fill="FFFFFF"/>
            <w:noWrap w:val="0"/>
            <w:vAlign w:val="center"/>
          </w:tcPr>
          <w:p w14:paraId="2A6181F1">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30</w:t>
            </w:r>
          </w:p>
        </w:tc>
        <w:tc>
          <w:tcPr>
            <w:tcW w:w="1361" w:type="pct"/>
            <w:vMerge w:val="restart"/>
            <w:shd w:val="clear" w:color="auto" w:fill="FFFFFF"/>
            <w:noWrap w:val="0"/>
            <w:vAlign w:val="center"/>
          </w:tcPr>
          <w:p w14:paraId="4472C999">
            <w:pPr>
              <w:pStyle w:val="48"/>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《工业企业厂界环境噪声排放标准》</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GB12348</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2008</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2类标准</w:t>
            </w:r>
            <w:r>
              <w:rPr>
                <w:rFonts w:hint="default" w:ascii="Times New Roman" w:hAnsi="Times New Roman" w:cs="Times New Roman"/>
                <w:color w:val="auto"/>
                <w:highlight w:val="none"/>
              </w:rPr>
              <w:t>要求，昼间6</w:t>
            </w:r>
            <w:r>
              <w:rPr>
                <w:rFonts w:hint="default" w:ascii="Times New Roman" w:hAnsi="Times New Roman" w:cs="Times New Roman"/>
                <w:color w:val="auto"/>
                <w:highlight w:val="none"/>
                <w:lang w:val="en-US" w:eastAsia="zh-CN"/>
              </w:rPr>
              <w:t>0</w:t>
            </w:r>
            <w:r>
              <w:rPr>
                <w:rFonts w:hint="default" w:ascii="Times New Roman" w:hAnsi="Times New Roman" w:cs="Times New Roman"/>
                <w:color w:val="auto"/>
                <w:highlight w:val="none"/>
              </w:rPr>
              <w:t>dB</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A</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、夜间5</w:t>
            </w:r>
            <w:r>
              <w:rPr>
                <w:rFonts w:hint="default" w:ascii="Times New Roman" w:hAnsi="Times New Roman" w:cs="Times New Roman"/>
                <w:color w:val="auto"/>
                <w:highlight w:val="none"/>
                <w:lang w:val="en-US" w:eastAsia="zh-CN"/>
              </w:rPr>
              <w:t>0</w:t>
            </w:r>
            <w:r>
              <w:rPr>
                <w:rFonts w:hint="default" w:ascii="Times New Roman" w:hAnsi="Times New Roman" w:cs="Times New Roman"/>
                <w:color w:val="auto"/>
                <w:highlight w:val="none"/>
              </w:rPr>
              <w:t>dB</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A</w:t>
            </w:r>
            <w:r>
              <w:rPr>
                <w:rFonts w:hint="default" w:ascii="Times New Roman" w:hAnsi="Times New Roman" w:cs="Times New Roman"/>
                <w:color w:val="auto"/>
                <w:highlight w:val="none"/>
                <w:lang w:eastAsia="zh-CN"/>
              </w:rPr>
              <w:t>）</w:t>
            </w:r>
          </w:p>
        </w:tc>
      </w:tr>
      <w:tr w14:paraId="31327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43" w:type="pct"/>
            <w:vMerge w:val="continue"/>
            <w:shd w:val="clear" w:color="auto" w:fill="FFFFFF"/>
            <w:noWrap w:val="0"/>
            <w:vAlign w:val="center"/>
          </w:tcPr>
          <w:p w14:paraId="2EBE398A">
            <w:pPr>
              <w:pStyle w:val="48"/>
              <w:bidi w:val="0"/>
              <w:rPr>
                <w:rFonts w:hint="default" w:ascii="Times New Roman" w:hAnsi="Times New Roman" w:cs="Times New Roman"/>
                <w:color w:val="auto"/>
                <w:highlight w:val="none"/>
              </w:rPr>
            </w:pPr>
          </w:p>
        </w:tc>
        <w:tc>
          <w:tcPr>
            <w:tcW w:w="1145" w:type="pct"/>
            <w:shd w:val="clear" w:color="auto" w:fill="FFFFFF"/>
            <w:noWrap w:val="0"/>
            <w:vAlign w:val="center"/>
          </w:tcPr>
          <w:p w14:paraId="54A61909">
            <w:pPr>
              <w:pStyle w:val="48"/>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2#</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厂界</w:t>
            </w:r>
            <w:r>
              <w:rPr>
                <w:rFonts w:hint="default" w:ascii="Times New Roman" w:hAnsi="Times New Roman" w:cs="Times New Roman"/>
                <w:color w:val="auto"/>
                <w:highlight w:val="none"/>
                <w:lang w:val="en-US" w:eastAsia="zh-CN"/>
              </w:rPr>
              <w:t>南</w:t>
            </w:r>
            <w:r>
              <w:rPr>
                <w:rFonts w:hint="default" w:ascii="Times New Roman" w:hAnsi="Times New Roman" w:cs="Times New Roman"/>
                <w:color w:val="auto"/>
                <w:highlight w:val="none"/>
              </w:rPr>
              <w:t>侧</w:t>
            </w:r>
            <w:r>
              <w:rPr>
                <w:rFonts w:hint="default" w:ascii="Times New Roman" w:hAnsi="Times New Roman" w:cs="Times New Roman"/>
                <w:color w:val="auto"/>
                <w:highlight w:val="none"/>
                <w:lang w:eastAsia="zh-CN"/>
              </w:rPr>
              <w:t>）</w:t>
            </w:r>
          </w:p>
        </w:tc>
        <w:tc>
          <w:tcPr>
            <w:tcW w:w="1349" w:type="pct"/>
            <w:shd w:val="clear" w:color="auto" w:fill="FFFFFF"/>
            <w:noWrap w:val="0"/>
            <w:vAlign w:val="center"/>
          </w:tcPr>
          <w:p w14:paraId="28C205E7">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32</w:t>
            </w:r>
          </w:p>
        </w:tc>
        <w:tc>
          <w:tcPr>
            <w:tcW w:w="1361" w:type="pct"/>
            <w:vMerge w:val="continue"/>
            <w:shd w:val="clear" w:color="auto" w:fill="FFFFFF"/>
            <w:noWrap w:val="0"/>
            <w:vAlign w:val="center"/>
          </w:tcPr>
          <w:p w14:paraId="2BC62F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color w:val="auto"/>
                <w:sz w:val="21"/>
                <w:szCs w:val="21"/>
                <w:highlight w:val="none"/>
              </w:rPr>
            </w:pPr>
          </w:p>
        </w:tc>
      </w:tr>
      <w:tr w14:paraId="5F4AF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43" w:type="pct"/>
            <w:vMerge w:val="continue"/>
            <w:shd w:val="clear" w:color="auto" w:fill="FFFFFF"/>
            <w:noWrap w:val="0"/>
            <w:vAlign w:val="center"/>
          </w:tcPr>
          <w:p w14:paraId="72DB18AE">
            <w:pPr>
              <w:pStyle w:val="48"/>
              <w:bidi w:val="0"/>
              <w:rPr>
                <w:rFonts w:hint="default" w:ascii="Times New Roman" w:hAnsi="Times New Roman" w:cs="Times New Roman"/>
                <w:color w:val="auto"/>
                <w:highlight w:val="none"/>
              </w:rPr>
            </w:pPr>
          </w:p>
        </w:tc>
        <w:tc>
          <w:tcPr>
            <w:tcW w:w="1145" w:type="pct"/>
            <w:shd w:val="clear" w:color="auto" w:fill="FFFFFF"/>
            <w:noWrap w:val="0"/>
            <w:vAlign w:val="center"/>
          </w:tcPr>
          <w:p w14:paraId="3693FB03">
            <w:pPr>
              <w:pStyle w:val="48"/>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厂界</w:t>
            </w:r>
            <w:r>
              <w:rPr>
                <w:rFonts w:hint="default" w:ascii="Times New Roman" w:hAnsi="Times New Roman" w:cs="Times New Roman"/>
                <w:color w:val="auto"/>
                <w:highlight w:val="none"/>
                <w:lang w:val="en-US" w:eastAsia="zh-CN"/>
              </w:rPr>
              <w:t>西</w:t>
            </w:r>
            <w:r>
              <w:rPr>
                <w:rFonts w:hint="default" w:ascii="Times New Roman" w:hAnsi="Times New Roman" w:cs="Times New Roman"/>
                <w:color w:val="auto"/>
                <w:highlight w:val="none"/>
              </w:rPr>
              <w:t>侧</w:t>
            </w:r>
            <w:r>
              <w:rPr>
                <w:rFonts w:hint="default" w:ascii="Times New Roman" w:hAnsi="Times New Roman" w:cs="Times New Roman"/>
                <w:color w:val="auto"/>
                <w:highlight w:val="none"/>
                <w:lang w:eastAsia="zh-CN"/>
              </w:rPr>
              <w:t>）</w:t>
            </w:r>
          </w:p>
        </w:tc>
        <w:tc>
          <w:tcPr>
            <w:tcW w:w="1349" w:type="pct"/>
            <w:shd w:val="clear" w:color="auto" w:fill="FFFFFF"/>
            <w:noWrap w:val="0"/>
            <w:vAlign w:val="center"/>
          </w:tcPr>
          <w:p w14:paraId="590BD564">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16</w:t>
            </w:r>
          </w:p>
        </w:tc>
        <w:tc>
          <w:tcPr>
            <w:tcW w:w="1361" w:type="pct"/>
            <w:vMerge w:val="continue"/>
            <w:shd w:val="clear" w:color="auto" w:fill="FFFFFF"/>
            <w:noWrap w:val="0"/>
            <w:vAlign w:val="center"/>
          </w:tcPr>
          <w:p w14:paraId="1AAD1DE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color w:val="auto"/>
                <w:sz w:val="21"/>
                <w:szCs w:val="21"/>
                <w:highlight w:val="none"/>
              </w:rPr>
            </w:pPr>
          </w:p>
        </w:tc>
      </w:tr>
      <w:tr w14:paraId="296F5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43" w:type="pct"/>
            <w:vMerge w:val="continue"/>
            <w:shd w:val="clear" w:color="auto" w:fill="FFFFFF"/>
            <w:noWrap w:val="0"/>
            <w:vAlign w:val="center"/>
          </w:tcPr>
          <w:p w14:paraId="5BA625AF">
            <w:pPr>
              <w:pStyle w:val="48"/>
              <w:bidi w:val="0"/>
              <w:rPr>
                <w:rFonts w:hint="default" w:ascii="Times New Roman" w:hAnsi="Times New Roman" w:cs="Times New Roman"/>
                <w:color w:val="auto"/>
                <w:highlight w:val="none"/>
              </w:rPr>
            </w:pPr>
          </w:p>
        </w:tc>
        <w:tc>
          <w:tcPr>
            <w:tcW w:w="1145" w:type="pct"/>
            <w:shd w:val="clear" w:color="auto" w:fill="FFFFFF"/>
            <w:noWrap w:val="0"/>
            <w:vAlign w:val="center"/>
          </w:tcPr>
          <w:p w14:paraId="58EB919D">
            <w:pPr>
              <w:pStyle w:val="48"/>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4#</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厂界</w:t>
            </w:r>
            <w:r>
              <w:rPr>
                <w:rFonts w:hint="default" w:ascii="Times New Roman" w:hAnsi="Times New Roman" w:cs="Times New Roman"/>
                <w:color w:val="auto"/>
                <w:highlight w:val="none"/>
                <w:lang w:val="en-US" w:eastAsia="zh-CN"/>
              </w:rPr>
              <w:t>北</w:t>
            </w:r>
            <w:r>
              <w:rPr>
                <w:rFonts w:hint="default" w:ascii="Times New Roman" w:hAnsi="Times New Roman" w:cs="Times New Roman"/>
                <w:color w:val="auto"/>
                <w:highlight w:val="none"/>
              </w:rPr>
              <w:t>侧</w:t>
            </w:r>
            <w:r>
              <w:rPr>
                <w:rFonts w:hint="default" w:ascii="Times New Roman" w:hAnsi="Times New Roman" w:cs="Times New Roman"/>
                <w:color w:val="auto"/>
                <w:highlight w:val="none"/>
                <w:lang w:eastAsia="zh-CN"/>
              </w:rPr>
              <w:t>）</w:t>
            </w:r>
          </w:p>
        </w:tc>
        <w:tc>
          <w:tcPr>
            <w:tcW w:w="1349" w:type="pct"/>
            <w:shd w:val="clear" w:color="auto" w:fill="FFFFFF"/>
            <w:noWrap w:val="0"/>
            <w:vAlign w:val="center"/>
          </w:tcPr>
          <w:p w14:paraId="0DAC778B">
            <w:pPr>
              <w:pStyle w:val="48"/>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13</w:t>
            </w:r>
          </w:p>
        </w:tc>
        <w:tc>
          <w:tcPr>
            <w:tcW w:w="1361" w:type="pct"/>
            <w:vMerge w:val="continue"/>
            <w:shd w:val="clear" w:color="auto" w:fill="FFFFFF"/>
            <w:noWrap w:val="0"/>
            <w:vAlign w:val="center"/>
          </w:tcPr>
          <w:p w14:paraId="38BE7DE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color w:val="auto"/>
                <w:sz w:val="21"/>
                <w:szCs w:val="21"/>
                <w:highlight w:val="none"/>
              </w:rPr>
            </w:pPr>
          </w:p>
        </w:tc>
      </w:tr>
    </w:tbl>
    <w:p w14:paraId="477B5324">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经过上表计算得出，本项目采矿场因矿区范围较大，筛分工业广场设备噪声对厂界的贡献值较小。矿区外西侧的工业广场南厂界噪声贡献值最大。正常工况下，产噪设备通过隔声、基础减振、距离衰减等措施后本项目运营期间厂界四周噪声均满足《工业企业厂界环境噪声排放标准》（GB12348-2008）中2类标准，运营期噪声对周围环境影响小。本项目周边无声环境敏感目标，项目在采取隔声减振等措施后对周边环境影响较小。</w:t>
      </w:r>
    </w:p>
    <w:p w14:paraId="761617F9">
      <w:pPr>
        <w:pStyle w:val="5"/>
        <w:bidi w:val="0"/>
        <w:rPr>
          <w:rFonts w:hint="default"/>
          <w:lang w:val="en-US" w:eastAsia="zh-CN"/>
        </w:rPr>
      </w:pPr>
      <w:bookmarkStart w:id="309" w:name="_Toc2412"/>
      <w:r>
        <w:rPr>
          <w:rFonts w:hint="default"/>
          <w:lang w:val="en-US" w:eastAsia="zh-CN"/>
        </w:rPr>
        <w:t>监测计划</w:t>
      </w:r>
      <w:bookmarkEnd w:id="309"/>
    </w:p>
    <w:p w14:paraId="5F373838">
      <w:pPr>
        <w:suppressLineNumbers w:val="0"/>
        <w:bidi w:val="0"/>
        <w:spacing w:before="0" w:beforeAutospacing="0" w:after="0" w:afterAutospacing="0"/>
        <w:ind w:left="0" w:right="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项目运营期噪声监测计划表见下表。</w:t>
      </w:r>
    </w:p>
    <w:p w14:paraId="6A94C2A7">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zh-CN" w:eastAsia="zh-CN"/>
        </w:rPr>
        <w:t>表</w:t>
      </w:r>
      <w:r>
        <w:rPr>
          <w:rFonts w:hint="default" w:ascii="Times New Roman" w:hAnsi="Times New Roman" w:cs="Times New Roman"/>
          <w:color w:val="auto"/>
          <w:highlight w:val="none"/>
          <w:lang w:val="en-US" w:eastAsia="zh-CN"/>
        </w:rPr>
        <w:t>5.2-</w:t>
      </w:r>
      <w:r>
        <w:rPr>
          <w:rFonts w:hint="eastAsia" w:ascii="Times New Roman" w:hAnsi="Times New Roman" w:cs="Times New Roman"/>
          <w:color w:val="auto"/>
          <w:highlight w:val="none"/>
          <w:lang w:val="en-US" w:eastAsia="zh-CN"/>
        </w:rPr>
        <w:t>20</w:t>
      </w:r>
      <w:r>
        <w:rPr>
          <w:rFonts w:hint="default" w:ascii="Times New Roman" w:hAnsi="Times New Roman" w:cs="Times New Roman"/>
          <w:color w:val="auto"/>
          <w:highlight w:val="none"/>
          <w:lang w:val="zh-CN" w:eastAsia="zh-CN"/>
        </w:rPr>
        <w:t xml:space="preserve">   运营期</w:t>
      </w:r>
      <w:r>
        <w:rPr>
          <w:rFonts w:hint="default" w:ascii="Times New Roman" w:hAnsi="Times New Roman" w:cs="Times New Roman"/>
          <w:color w:val="auto"/>
          <w:highlight w:val="none"/>
          <w:lang w:val="en-US" w:eastAsia="zh-CN"/>
        </w:rPr>
        <w:t>噪声</w:t>
      </w:r>
      <w:r>
        <w:rPr>
          <w:rFonts w:hint="default" w:ascii="Times New Roman" w:hAnsi="Times New Roman" w:cs="Times New Roman"/>
          <w:color w:val="auto"/>
          <w:highlight w:val="none"/>
          <w:lang w:val="zh-CN" w:eastAsia="zh-CN"/>
        </w:rPr>
        <w:t>监测</w:t>
      </w:r>
      <w:r>
        <w:rPr>
          <w:rFonts w:hint="default" w:ascii="Times New Roman" w:hAnsi="Times New Roman" w:cs="Times New Roman"/>
          <w:color w:val="auto"/>
          <w:highlight w:val="none"/>
          <w:lang w:val="en-US" w:eastAsia="zh-CN"/>
        </w:rPr>
        <w:t>计划表</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3"/>
        <w:gridCol w:w="1884"/>
        <w:gridCol w:w="1841"/>
        <w:gridCol w:w="3964"/>
      </w:tblGrid>
      <w:tr w14:paraId="05846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blHeader/>
        </w:trPr>
        <w:tc>
          <w:tcPr>
            <w:tcW w:w="893" w:type="pct"/>
            <w:tcBorders>
              <w:top w:val="single" w:color="auto" w:sz="4" w:space="0"/>
              <w:left w:val="single" w:color="auto" w:sz="0" w:space="0"/>
              <w:tl2br w:val="nil"/>
            </w:tcBorders>
            <w:shd w:val="clear" w:color="auto" w:fill="FFFFFF"/>
            <w:noWrap w:val="0"/>
            <w:vAlign w:val="center"/>
          </w:tcPr>
          <w:p w14:paraId="35112035">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监测点位</w:t>
            </w:r>
          </w:p>
        </w:tc>
        <w:tc>
          <w:tcPr>
            <w:tcW w:w="1006" w:type="pct"/>
            <w:tcBorders>
              <w:top w:val="single" w:color="auto" w:sz="4" w:space="0"/>
            </w:tcBorders>
            <w:shd w:val="clear" w:color="auto" w:fill="FFFFFF"/>
            <w:noWrap w:val="0"/>
            <w:vAlign w:val="center"/>
          </w:tcPr>
          <w:p w14:paraId="0A337DC0">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监测</w:t>
            </w:r>
            <w:r>
              <w:rPr>
                <w:rFonts w:hint="default" w:ascii="Times New Roman" w:hAnsi="Times New Roman" w:cs="Times New Roman"/>
                <w:color w:val="auto"/>
                <w:highlight w:val="none"/>
                <w:lang w:val="en-US" w:eastAsia="zh-CN"/>
              </w:rPr>
              <w:t>指标</w:t>
            </w:r>
          </w:p>
        </w:tc>
        <w:tc>
          <w:tcPr>
            <w:tcW w:w="983" w:type="pct"/>
            <w:tcBorders>
              <w:top w:val="single" w:color="auto" w:sz="4" w:space="0"/>
            </w:tcBorders>
            <w:shd w:val="clear" w:color="auto" w:fill="FFFFFF"/>
            <w:noWrap w:val="0"/>
            <w:vAlign w:val="center"/>
          </w:tcPr>
          <w:p w14:paraId="00BF8FA6">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监测频次</w:t>
            </w:r>
          </w:p>
        </w:tc>
        <w:tc>
          <w:tcPr>
            <w:tcW w:w="2116" w:type="pct"/>
            <w:tcBorders>
              <w:top w:val="single" w:color="auto" w:sz="4" w:space="0"/>
              <w:right w:val="single" w:color="auto" w:sz="4" w:space="0"/>
            </w:tcBorders>
            <w:shd w:val="clear" w:color="auto" w:fill="FFFFFF"/>
            <w:noWrap w:val="0"/>
            <w:vAlign w:val="center"/>
          </w:tcPr>
          <w:p w14:paraId="4DD07E8A">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执行排放标准</w:t>
            </w:r>
          </w:p>
        </w:tc>
      </w:tr>
      <w:tr w14:paraId="35196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93" w:type="pct"/>
            <w:tcBorders>
              <w:left w:val="single" w:color="auto" w:sz="4" w:space="0"/>
              <w:bottom w:val="single" w:color="auto" w:sz="4" w:space="0"/>
            </w:tcBorders>
            <w:shd w:val="clear" w:color="auto" w:fill="FFFFFF"/>
            <w:noWrap w:val="0"/>
            <w:vAlign w:val="center"/>
          </w:tcPr>
          <w:p w14:paraId="09B7C7B2">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厂界</w:t>
            </w:r>
            <w:r>
              <w:rPr>
                <w:rFonts w:hint="default" w:ascii="Times New Roman" w:hAnsi="Times New Roman" w:cs="Times New Roman"/>
                <w:color w:val="auto"/>
                <w:highlight w:val="none"/>
                <w:lang w:val="en-US" w:eastAsia="zh-CN"/>
              </w:rPr>
              <w:t>外</w:t>
            </w:r>
            <w:r>
              <w:rPr>
                <w:rFonts w:hint="default" w:ascii="Times New Roman" w:hAnsi="Times New Roman" w:cs="Times New Roman"/>
                <w:color w:val="auto"/>
                <w:highlight w:val="none"/>
              </w:rPr>
              <w:t>1m</w:t>
            </w:r>
          </w:p>
        </w:tc>
        <w:tc>
          <w:tcPr>
            <w:tcW w:w="1006" w:type="pct"/>
            <w:tcBorders>
              <w:bottom w:val="single" w:color="auto" w:sz="4" w:space="0"/>
            </w:tcBorders>
            <w:shd w:val="clear" w:color="auto" w:fill="FFFFFF"/>
            <w:noWrap w:val="0"/>
            <w:vAlign w:val="center"/>
          </w:tcPr>
          <w:p w14:paraId="203688A1">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等效</w:t>
            </w:r>
            <w:r>
              <w:rPr>
                <w:rFonts w:hint="default" w:ascii="Times New Roman" w:hAnsi="Times New Roman" w:cs="Times New Roman"/>
                <w:color w:val="auto"/>
                <w:highlight w:val="none"/>
                <w:lang w:val="en-US" w:eastAsia="zh-CN"/>
              </w:rPr>
              <w:t>A</w:t>
            </w:r>
            <w:r>
              <w:rPr>
                <w:rFonts w:hint="default" w:ascii="Times New Roman" w:hAnsi="Times New Roman" w:cs="Times New Roman"/>
                <w:color w:val="auto"/>
                <w:highlight w:val="none"/>
              </w:rPr>
              <w:t>声级</w:t>
            </w:r>
          </w:p>
        </w:tc>
        <w:tc>
          <w:tcPr>
            <w:tcW w:w="983" w:type="pct"/>
            <w:tcBorders>
              <w:bottom w:val="single" w:color="auto" w:sz="4" w:space="0"/>
            </w:tcBorders>
            <w:shd w:val="clear" w:color="auto" w:fill="FFFFFF"/>
            <w:noWrap w:val="0"/>
            <w:vAlign w:val="center"/>
          </w:tcPr>
          <w:p w14:paraId="6B2F434D">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每季度一次</w:t>
            </w:r>
          </w:p>
        </w:tc>
        <w:tc>
          <w:tcPr>
            <w:tcW w:w="2116" w:type="pct"/>
            <w:tcBorders>
              <w:bottom w:val="single" w:color="auto" w:sz="4" w:space="0"/>
              <w:right w:val="single" w:color="auto" w:sz="4" w:space="0"/>
            </w:tcBorders>
            <w:shd w:val="clear" w:color="auto" w:fill="FFFFFF"/>
            <w:noWrap w:val="0"/>
            <w:vAlign w:val="center"/>
          </w:tcPr>
          <w:p w14:paraId="4FAB283B">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《工业企业厂界环境噪声排放标准》</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GB12348</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2008</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2类标准</w:t>
            </w:r>
            <w:r>
              <w:rPr>
                <w:rFonts w:hint="default" w:ascii="Times New Roman" w:hAnsi="Times New Roman" w:cs="Times New Roman"/>
                <w:color w:val="auto"/>
                <w:highlight w:val="none"/>
              </w:rPr>
              <w:t>限</w:t>
            </w:r>
            <w:r>
              <w:rPr>
                <w:rFonts w:hint="default" w:ascii="Times New Roman" w:hAnsi="Times New Roman" w:cs="Times New Roman"/>
                <w:color w:val="auto"/>
                <w:highlight w:val="none"/>
                <w:lang w:val="en-US" w:eastAsia="zh-CN"/>
              </w:rPr>
              <w:t>值</w:t>
            </w:r>
          </w:p>
        </w:tc>
      </w:tr>
    </w:tbl>
    <w:p w14:paraId="22E21C22">
      <w:pPr>
        <w:keepNext w:val="0"/>
        <w:keepLines w:val="0"/>
        <w:pageBreakBefore w:val="0"/>
        <w:widowControl/>
        <w:kinsoku/>
        <w:wordWrap/>
        <w:overflowPunct/>
        <w:topLinePunct w:val="0"/>
        <w:autoSpaceDE/>
        <w:autoSpaceDN/>
        <w:bidi w:val="0"/>
        <w:adjustRightInd/>
        <w:snapToGrid w:val="0"/>
        <w:spacing w:line="240" w:lineRule="auto"/>
        <w:ind w:firstLine="482"/>
        <w:jc w:val="left"/>
        <w:textAlignment w:val="auto"/>
        <w:rPr>
          <w:rFonts w:hint="default" w:ascii="Times New Roman" w:hAnsi="Times New Roman" w:eastAsia="宋体" w:cs="Times New Roman"/>
          <w:b/>
          <w:bCs/>
          <w:caps w:val="0"/>
          <w:color w:val="auto"/>
          <w:spacing w:val="0"/>
          <w:position w:val="0"/>
          <w:highlight w:val="none"/>
          <w:lang w:val="en-US" w:eastAsia="zh-CN"/>
        </w:rPr>
      </w:pPr>
    </w:p>
    <w:p w14:paraId="322ABB93">
      <w:pPr>
        <w:keepNext w:val="0"/>
        <w:keepLines w:val="0"/>
        <w:pageBreakBefore w:val="0"/>
        <w:widowControl/>
        <w:kinsoku/>
        <w:wordWrap/>
        <w:overflowPunct/>
        <w:topLinePunct w:val="0"/>
        <w:autoSpaceDE/>
        <w:autoSpaceDN/>
        <w:bidi w:val="0"/>
        <w:adjustRightInd/>
        <w:snapToGrid w:val="0"/>
        <w:spacing w:line="240" w:lineRule="auto"/>
        <w:ind w:firstLine="482"/>
        <w:jc w:val="center"/>
        <w:textAlignment w:val="auto"/>
        <w:rPr>
          <w:rFonts w:hint="default" w:ascii="Times New Roman" w:hAnsi="Times New Roman" w:eastAsia="宋体" w:cs="Times New Roman"/>
          <w:b/>
          <w:bCs/>
          <w:caps w:val="0"/>
          <w:color w:val="FF0000"/>
          <w:spacing w:val="0"/>
          <w:position w:val="0"/>
          <w:highlight w:val="none"/>
          <w:lang w:val="en-US" w:eastAsia="zh-CN"/>
        </w:rPr>
      </w:pPr>
      <w:r>
        <w:rPr>
          <w:rFonts w:hint="default" w:ascii="Times New Roman" w:hAnsi="Times New Roman" w:eastAsia="宋体" w:cs="Times New Roman"/>
          <w:b/>
          <w:bCs/>
          <w:caps w:val="0"/>
          <w:color w:val="FF0000"/>
          <w:spacing w:val="0"/>
          <w:position w:val="0"/>
          <w:highlight w:val="none"/>
          <w:lang w:val="en-US" w:eastAsia="zh-CN"/>
        </w:rPr>
        <w:t>表5</w:t>
      </w:r>
      <w:r>
        <w:rPr>
          <w:rFonts w:hint="eastAsia" w:ascii="Times New Roman" w:hAnsi="Times New Roman" w:eastAsia="宋体" w:cs="Times New Roman"/>
          <w:b/>
          <w:bCs/>
          <w:caps w:val="0"/>
          <w:color w:val="FF0000"/>
          <w:spacing w:val="0"/>
          <w:position w:val="0"/>
          <w:highlight w:val="none"/>
          <w:lang w:val="en-US" w:eastAsia="zh-CN"/>
        </w:rPr>
        <w:t>.2-</w:t>
      </w:r>
      <w:r>
        <w:rPr>
          <w:rFonts w:hint="eastAsia" w:cs="Times New Roman"/>
          <w:b/>
          <w:bCs/>
          <w:caps w:val="0"/>
          <w:color w:val="FF0000"/>
          <w:spacing w:val="0"/>
          <w:position w:val="0"/>
          <w:highlight w:val="none"/>
          <w:lang w:val="en-US" w:eastAsia="zh-CN"/>
        </w:rPr>
        <w:t>21</w:t>
      </w:r>
      <w:r>
        <w:rPr>
          <w:rFonts w:hint="default" w:ascii="Times New Roman" w:hAnsi="Times New Roman" w:cs="Times New Roman"/>
          <w:b/>
          <w:bCs/>
          <w:caps w:val="0"/>
          <w:color w:val="FF0000"/>
          <w:spacing w:val="0"/>
          <w:position w:val="0"/>
          <w:highlight w:val="none"/>
          <w:lang w:val="en-US" w:eastAsia="zh-CN"/>
        </w:rPr>
        <w:t xml:space="preserve"> </w:t>
      </w:r>
      <w:r>
        <w:rPr>
          <w:rFonts w:hint="default" w:ascii="Times New Roman" w:hAnsi="Times New Roman" w:eastAsia="宋体" w:cs="Times New Roman"/>
          <w:b/>
          <w:bCs/>
          <w:caps w:val="0"/>
          <w:color w:val="FF0000"/>
          <w:spacing w:val="0"/>
          <w:position w:val="0"/>
          <w:highlight w:val="none"/>
          <w:lang w:val="en-US" w:eastAsia="zh-CN"/>
        </w:rPr>
        <w:t xml:space="preserve">  声环境影响评价自查表</w:t>
      </w:r>
    </w:p>
    <w:tbl>
      <w:tblPr>
        <w:tblStyle w:val="31"/>
        <w:tblW w:w="93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291"/>
        <w:gridCol w:w="1670"/>
        <w:gridCol w:w="950"/>
        <w:gridCol w:w="450"/>
        <w:gridCol w:w="610"/>
        <w:gridCol w:w="452"/>
        <w:gridCol w:w="473"/>
        <w:gridCol w:w="980"/>
        <w:gridCol w:w="608"/>
        <w:gridCol w:w="483"/>
        <w:gridCol w:w="1378"/>
      </w:tblGrid>
      <w:tr w14:paraId="37831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0" w:hRule="atLeast"/>
          <w:jc w:val="center"/>
        </w:trPr>
        <w:tc>
          <w:tcPr>
            <w:tcW w:w="2961" w:type="dxa"/>
            <w:gridSpan w:val="2"/>
            <w:tcBorders>
              <w:tl2br w:val="nil"/>
              <w:tr2bl w:val="nil"/>
            </w:tcBorders>
            <w:noWrap w:val="0"/>
            <w:vAlign w:val="center"/>
          </w:tcPr>
          <w:p w14:paraId="3BFF2FA7">
            <w:pPr>
              <w:pStyle w:val="42"/>
              <w:bidi w:val="0"/>
              <w:rPr>
                <w:rFonts w:hint="default" w:ascii="Times New Roman" w:hAnsi="Times New Roman" w:cs="Times New Roman"/>
                <w:caps w:val="0"/>
                <w:color w:val="FF0000"/>
                <w:spacing w:val="0"/>
                <w:position w:val="0"/>
                <w:highlight w:val="none"/>
              </w:rPr>
            </w:pPr>
            <w:r>
              <w:rPr>
                <w:rFonts w:hint="default" w:ascii="Times New Roman" w:hAnsi="Times New Roman" w:cs="Times New Roman"/>
                <w:caps w:val="0"/>
                <w:color w:val="FF0000"/>
                <w:spacing w:val="0"/>
                <w:position w:val="0"/>
                <w:highlight w:val="none"/>
              </w:rPr>
              <w:t>工作内容</w:t>
            </w:r>
          </w:p>
        </w:tc>
        <w:tc>
          <w:tcPr>
            <w:tcW w:w="6384" w:type="dxa"/>
            <w:gridSpan w:val="9"/>
            <w:tcBorders>
              <w:tl2br w:val="nil"/>
              <w:tr2bl w:val="nil"/>
            </w:tcBorders>
            <w:noWrap w:val="0"/>
            <w:vAlign w:val="center"/>
          </w:tcPr>
          <w:p w14:paraId="53FC88DD">
            <w:pPr>
              <w:pStyle w:val="42"/>
              <w:bidi w:val="0"/>
              <w:rPr>
                <w:rFonts w:hint="default" w:ascii="Times New Roman" w:hAnsi="Times New Roman" w:cs="Times New Roman"/>
                <w:caps w:val="0"/>
                <w:color w:val="FF0000"/>
                <w:spacing w:val="0"/>
                <w:position w:val="0"/>
                <w:highlight w:val="none"/>
                <w:lang w:val="en-US" w:eastAsia="zh-CN"/>
              </w:rPr>
            </w:pPr>
            <w:r>
              <w:rPr>
                <w:rFonts w:hint="default" w:ascii="Times New Roman" w:hAnsi="Times New Roman" w:cs="Times New Roman"/>
                <w:caps w:val="0"/>
                <w:color w:val="FF0000"/>
                <w:spacing w:val="0"/>
                <w:position w:val="0"/>
                <w:highlight w:val="none"/>
                <w:lang w:val="en-US" w:eastAsia="zh-CN"/>
              </w:rPr>
              <w:t>自查项目</w:t>
            </w:r>
          </w:p>
        </w:tc>
      </w:tr>
      <w:tr w14:paraId="7A383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9" w:hRule="atLeast"/>
          <w:jc w:val="center"/>
        </w:trPr>
        <w:tc>
          <w:tcPr>
            <w:tcW w:w="1291" w:type="dxa"/>
            <w:vMerge w:val="restart"/>
            <w:tcBorders>
              <w:tl2br w:val="nil"/>
              <w:tr2bl w:val="nil"/>
            </w:tcBorders>
            <w:noWrap w:val="0"/>
            <w:vAlign w:val="center"/>
          </w:tcPr>
          <w:p w14:paraId="7BE30EB0">
            <w:pPr>
              <w:pStyle w:val="42"/>
              <w:bidi w:val="0"/>
              <w:rPr>
                <w:rFonts w:hint="default" w:ascii="Times New Roman" w:hAnsi="Times New Roman" w:cs="Times New Roman"/>
                <w:caps w:val="0"/>
                <w:color w:val="FF0000"/>
                <w:spacing w:val="0"/>
                <w:position w:val="0"/>
                <w:highlight w:val="none"/>
                <w:lang w:val="en-US" w:eastAsia="zh-CN"/>
              </w:rPr>
            </w:pPr>
            <w:r>
              <w:rPr>
                <w:rFonts w:hint="default" w:ascii="Times New Roman" w:hAnsi="Times New Roman" w:cs="Times New Roman"/>
                <w:caps w:val="0"/>
                <w:color w:val="FF0000"/>
                <w:spacing w:val="0"/>
                <w:position w:val="0"/>
                <w:highlight w:val="none"/>
                <w:lang w:val="en-US" w:eastAsia="zh-CN"/>
              </w:rPr>
              <w:t>评价等级与范围</w:t>
            </w:r>
          </w:p>
        </w:tc>
        <w:tc>
          <w:tcPr>
            <w:tcW w:w="1670" w:type="dxa"/>
            <w:tcBorders>
              <w:tl2br w:val="nil"/>
              <w:tr2bl w:val="nil"/>
            </w:tcBorders>
            <w:noWrap w:val="0"/>
            <w:vAlign w:val="center"/>
          </w:tcPr>
          <w:p w14:paraId="273AA568">
            <w:pPr>
              <w:pStyle w:val="42"/>
              <w:bidi w:val="0"/>
              <w:rPr>
                <w:rFonts w:hint="default" w:ascii="Times New Roman" w:hAnsi="Times New Roman" w:cs="Times New Roman"/>
                <w:caps w:val="0"/>
                <w:color w:val="FF0000"/>
                <w:spacing w:val="0"/>
                <w:position w:val="0"/>
                <w:highlight w:val="none"/>
                <w:lang w:val="en-US" w:eastAsia="zh-CN"/>
              </w:rPr>
            </w:pPr>
            <w:r>
              <w:rPr>
                <w:rFonts w:hint="default" w:ascii="Times New Roman" w:hAnsi="Times New Roman" w:cs="Times New Roman"/>
                <w:caps w:val="0"/>
                <w:color w:val="FF0000"/>
                <w:spacing w:val="0"/>
                <w:position w:val="0"/>
                <w:highlight w:val="none"/>
                <w:lang w:val="en-US" w:eastAsia="zh-CN"/>
              </w:rPr>
              <w:t>评价等级</w:t>
            </w:r>
          </w:p>
        </w:tc>
        <w:tc>
          <w:tcPr>
            <w:tcW w:w="6384" w:type="dxa"/>
            <w:gridSpan w:val="9"/>
            <w:tcBorders>
              <w:tl2br w:val="nil"/>
              <w:tr2bl w:val="nil"/>
            </w:tcBorders>
            <w:noWrap w:val="0"/>
            <w:vAlign w:val="center"/>
          </w:tcPr>
          <w:p w14:paraId="72FF9E38">
            <w:pPr>
              <w:pStyle w:val="42"/>
              <w:bidi w:val="0"/>
              <w:rPr>
                <w:rFonts w:hint="default" w:ascii="Times New Roman" w:hAnsi="Times New Roman" w:cs="Times New Roman"/>
                <w:caps w:val="0"/>
                <w:color w:val="FF0000"/>
                <w:spacing w:val="0"/>
                <w:position w:val="0"/>
                <w:highlight w:val="none"/>
              </w:rPr>
            </w:pPr>
            <w:r>
              <w:rPr>
                <w:rFonts w:hint="default" w:ascii="Times New Roman" w:hAnsi="Times New Roman" w:cs="Times New Roman"/>
                <w:caps w:val="0"/>
                <w:color w:val="FF0000"/>
                <w:spacing w:val="0"/>
                <w:position w:val="0"/>
                <w:highlight w:val="none"/>
                <w:lang w:val="en-US" w:eastAsia="zh-CN"/>
              </w:rPr>
              <w:t>一级</w:t>
            </w:r>
            <w:r>
              <w:rPr>
                <w:rFonts w:hint="default" w:ascii="Times New Roman" w:hAnsi="Times New Roman" w:cs="Times New Roman"/>
                <w:caps w:val="0"/>
                <w:color w:val="FF0000"/>
                <w:spacing w:val="0"/>
                <w:position w:val="0"/>
                <w:highlight w:val="none"/>
                <w:lang w:eastAsia="zh-CN"/>
              </w:rPr>
              <w:t>□</w:t>
            </w:r>
            <w:r>
              <w:rPr>
                <w:rFonts w:hint="default" w:ascii="Times New Roman" w:hAnsi="Times New Roman" w:cs="Times New Roman"/>
                <w:caps w:val="0"/>
                <w:color w:val="FF0000"/>
                <w:spacing w:val="0"/>
                <w:position w:val="0"/>
                <w:highlight w:val="none"/>
              </w:rPr>
              <w:t>；</w:t>
            </w:r>
            <w:r>
              <w:rPr>
                <w:rFonts w:hint="default" w:ascii="Times New Roman" w:hAnsi="Times New Roman" w:cs="Times New Roman"/>
                <w:caps w:val="0"/>
                <w:color w:val="FF0000"/>
                <w:spacing w:val="0"/>
                <w:position w:val="0"/>
                <w:highlight w:val="none"/>
                <w:lang w:val="en-US" w:eastAsia="zh-CN"/>
              </w:rPr>
              <w:t>二级</w:t>
            </w:r>
            <w:r>
              <w:rPr>
                <w:rFonts w:hint="default" w:ascii="Times New Roman" w:hAnsi="Times New Roman" w:cs="Times New Roman"/>
                <w:caps w:val="0"/>
                <w:color w:val="FF0000"/>
                <w:spacing w:val="0"/>
                <w:position w:val="0"/>
                <w:highlight w:val="none"/>
                <w:lang w:eastAsia="zh-CN"/>
              </w:rPr>
              <w:sym w:font="Wingdings 2" w:char="0052"/>
            </w:r>
            <w:r>
              <w:rPr>
                <w:rFonts w:hint="default" w:ascii="Times New Roman" w:hAnsi="Times New Roman" w:cs="Times New Roman"/>
                <w:caps w:val="0"/>
                <w:color w:val="FF0000"/>
                <w:spacing w:val="0"/>
                <w:position w:val="0"/>
                <w:highlight w:val="none"/>
              </w:rPr>
              <w:t>；</w:t>
            </w:r>
            <w:r>
              <w:rPr>
                <w:rFonts w:hint="default" w:ascii="Times New Roman" w:hAnsi="Times New Roman" w:cs="Times New Roman"/>
                <w:caps w:val="0"/>
                <w:color w:val="FF0000"/>
                <w:spacing w:val="0"/>
                <w:position w:val="0"/>
                <w:highlight w:val="none"/>
                <w:lang w:val="en-US" w:eastAsia="zh-CN"/>
              </w:rPr>
              <w:t>三级</w:t>
            </w:r>
            <w:r>
              <w:rPr>
                <w:rFonts w:hint="default" w:ascii="Times New Roman" w:hAnsi="Times New Roman" w:cs="Times New Roman"/>
                <w:caps w:val="0"/>
                <w:color w:val="FF0000"/>
                <w:spacing w:val="0"/>
                <w:position w:val="0"/>
                <w:highlight w:val="none"/>
                <w:lang w:eastAsia="zh-CN"/>
              </w:rPr>
              <w:sym w:font="Wingdings 2" w:char="00A3"/>
            </w:r>
          </w:p>
        </w:tc>
      </w:tr>
      <w:tr w14:paraId="6EC8C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9" w:hRule="atLeast"/>
          <w:jc w:val="center"/>
        </w:trPr>
        <w:tc>
          <w:tcPr>
            <w:tcW w:w="1291" w:type="dxa"/>
            <w:vMerge w:val="continue"/>
            <w:tcBorders>
              <w:tl2br w:val="nil"/>
              <w:tr2bl w:val="nil"/>
            </w:tcBorders>
            <w:noWrap w:val="0"/>
            <w:vAlign w:val="center"/>
          </w:tcPr>
          <w:p w14:paraId="2A74467F">
            <w:pPr>
              <w:pStyle w:val="42"/>
              <w:bidi w:val="0"/>
              <w:rPr>
                <w:rFonts w:hint="default" w:ascii="Times New Roman" w:hAnsi="Times New Roman" w:cs="Times New Roman"/>
                <w:caps w:val="0"/>
                <w:color w:val="FF0000"/>
                <w:spacing w:val="0"/>
                <w:position w:val="0"/>
                <w:highlight w:val="none"/>
                <w:lang w:val="en-US" w:eastAsia="zh-CN"/>
              </w:rPr>
            </w:pPr>
          </w:p>
        </w:tc>
        <w:tc>
          <w:tcPr>
            <w:tcW w:w="1670" w:type="dxa"/>
            <w:tcBorders>
              <w:tl2br w:val="nil"/>
              <w:tr2bl w:val="nil"/>
            </w:tcBorders>
            <w:noWrap w:val="0"/>
            <w:vAlign w:val="center"/>
          </w:tcPr>
          <w:p w14:paraId="48CEE1E5">
            <w:pPr>
              <w:pStyle w:val="42"/>
              <w:bidi w:val="0"/>
              <w:rPr>
                <w:rFonts w:hint="default" w:ascii="Times New Roman" w:hAnsi="Times New Roman" w:cs="Times New Roman"/>
                <w:caps w:val="0"/>
                <w:color w:val="FF0000"/>
                <w:spacing w:val="0"/>
                <w:position w:val="0"/>
                <w:highlight w:val="none"/>
                <w:lang w:val="en-US" w:eastAsia="zh-CN"/>
              </w:rPr>
            </w:pPr>
            <w:r>
              <w:rPr>
                <w:rFonts w:hint="default" w:ascii="Times New Roman" w:hAnsi="Times New Roman" w:cs="Times New Roman"/>
                <w:caps w:val="0"/>
                <w:color w:val="FF0000"/>
                <w:spacing w:val="0"/>
                <w:position w:val="0"/>
                <w:highlight w:val="none"/>
                <w:lang w:val="en-US" w:eastAsia="zh-CN"/>
              </w:rPr>
              <w:t>评价范围</w:t>
            </w:r>
          </w:p>
        </w:tc>
        <w:tc>
          <w:tcPr>
            <w:tcW w:w="6384" w:type="dxa"/>
            <w:gridSpan w:val="9"/>
            <w:tcBorders>
              <w:tl2br w:val="nil"/>
              <w:tr2bl w:val="nil"/>
            </w:tcBorders>
            <w:noWrap w:val="0"/>
            <w:vAlign w:val="center"/>
          </w:tcPr>
          <w:p w14:paraId="741C6BFD">
            <w:pPr>
              <w:pStyle w:val="42"/>
              <w:bidi w:val="0"/>
              <w:rPr>
                <w:rFonts w:hint="default" w:ascii="Times New Roman" w:hAnsi="Times New Roman" w:cs="Times New Roman"/>
                <w:caps w:val="0"/>
                <w:color w:val="FF0000"/>
                <w:spacing w:val="0"/>
                <w:position w:val="0"/>
                <w:highlight w:val="none"/>
                <w:lang w:val="en-US" w:eastAsia="zh-CN"/>
              </w:rPr>
            </w:pPr>
            <w:r>
              <w:rPr>
                <w:rFonts w:hint="default" w:ascii="Times New Roman" w:hAnsi="Times New Roman" w:cs="Times New Roman"/>
                <w:caps w:val="0"/>
                <w:color w:val="FF0000"/>
                <w:spacing w:val="0"/>
                <w:position w:val="0"/>
                <w:highlight w:val="none"/>
                <w:lang w:val="en-US" w:eastAsia="zh-CN"/>
              </w:rPr>
              <w:t>200m</w:t>
            </w:r>
            <w:r>
              <w:rPr>
                <w:rFonts w:hint="default" w:ascii="Times New Roman" w:hAnsi="Times New Roman" w:cs="Times New Roman"/>
                <w:caps w:val="0"/>
                <w:color w:val="FF0000"/>
                <w:spacing w:val="0"/>
                <w:position w:val="0"/>
                <w:highlight w:val="none"/>
                <w:lang w:eastAsia="zh-CN"/>
              </w:rPr>
              <w:sym w:font="Wingdings 2" w:char="0052"/>
            </w:r>
            <w:r>
              <w:rPr>
                <w:rFonts w:hint="default" w:ascii="Times New Roman" w:hAnsi="Times New Roman" w:cs="Times New Roman"/>
                <w:caps w:val="0"/>
                <w:color w:val="FF0000"/>
                <w:spacing w:val="0"/>
                <w:position w:val="0"/>
                <w:highlight w:val="none"/>
              </w:rPr>
              <w:t>；</w:t>
            </w:r>
            <w:r>
              <w:rPr>
                <w:rFonts w:hint="default" w:ascii="Times New Roman" w:hAnsi="Times New Roman" w:cs="Times New Roman"/>
                <w:caps w:val="0"/>
                <w:color w:val="FF0000"/>
                <w:spacing w:val="0"/>
                <w:position w:val="0"/>
                <w:highlight w:val="none"/>
                <w:lang w:val="en-US" w:eastAsia="zh-CN"/>
              </w:rPr>
              <w:t xml:space="preserve">    大于200m</w:t>
            </w:r>
            <w:r>
              <w:rPr>
                <w:rFonts w:hint="default" w:ascii="Times New Roman" w:hAnsi="Times New Roman" w:cs="Times New Roman"/>
                <w:caps w:val="0"/>
                <w:color w:val="FF0000"/>
                <w:spacing w:val="0"/>
                <w:position w:val="0"/>
                <w:highlight w:val="none"/>
                <w:lang w:eastAsia="zh-CN"/>
              </w:rPr>
              <w:t>□</w:t>
            </w:r>
            <w:r>
              <w:rPr>
                <w:rFonts w:hint="default" w:ascii="Times New Roman" w:hAnsi="Times New Roman" w:cs="Times New Roman"/>
                <w:caps w:val="0"/>
                <w:color w:val="FF0000"/>
                <w:spacing w:val="0"/>
                <w:position w:val="0"/>
                <w:highlight w:val="none"/>
              </w:rPr>
              <w:t>；</w:t>
            </w:r>
            <w:r>
              <w:rPr>
                <w:rFonts w:hint="default" w:ascii="Times New Roman" w:hAnsi="Times New Roman" w:cs="Times New Roman"/>
                <w:caps w:val="0"/>
                <w:color w:val="FF0000"/>
                <w:spacing w:val="0"/>
                <w:position w:val="0"/>
                <w:highlight w:val="none"/>
                <w:lang w:val="en-US" w:eastAsia="zh-CN"/>
              </w:rPr>
              <w:t xml:space="preserve">   小于200m</w:t>
            </w:r>
            <w:r>
              <w:rPr>
                <w:rFonts w:hint="default" w:ascii="Times New Roman" w:hAnsi="Times New Roman" w:cs="Times New Roman"/>
                <w:caps w:val="0"/>
                <w:color w:val="FF0000"/>
                <w:spacing w:val="0"/>
                <w:position w:val="0"/>
                <w:highlight w:val="none"/>
                <w:lang w:eastAsia="zh-CN"/>
              </w:rPr>
              <w:sym w:font="Wingdings 2" w:char="00A3"/>
            </w:r>
          </w:p>
        </w:tc>
      </w:tr>
      <w:tr w14:paraId="3D8CC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9" w:hRule="atLeast"/>
          <w:jc w:val="center"/>
        </w:trPr>
        <w:tc>
          <w:tcPr>
            <w:tcW w:w="1291" w:type="dxa"/>
            <w:tcBorders>
              <w:tl2br w:val="nil"/>
              <w:tr2bl w:val="nil"/>
            </w:tcBorders>
            <w:noWrap w:val="0"/>
            <w:vAlign w:val="center"/>
          </w:tcPr>
          <w:p w14:paraId="22CD4FB7">
            <w:pPr>
              <w:pStyle w:val="42"/>
              <w:bidi w:val="0"/>
              <w:rPr>
                <w:rFonts w:hint="default" w:ascii="Times New Roman" w:hAnsi="Times New Roman" w:cs="Times New Roman"/>
                <w:caps w:val="0"/>
                <w:color w:val="FF0000"/>
                <w:spacing w:val="0"/>
                <w:position w:val="0"/>
                <w:highlight w:val="none"/>
                <w:lang w:val="en-US" w:eastAsia="zh-CN"/>
              </w:rPr>
            </w:pPr>
            <w:r>
              <w:rPr>
                <w:rFonts w:hint="default" w:ascii="Times New Roman" w:hAnsi="Times New Roman" w:cs="Times New Roman"/>
                <w:caps w:val="0"/>
                <w:color w:val="FF0000"/>
                <w:spacing w:val="0"/>
                <w:position w:val="0"/>
                <w:highlight w:val="none"/>
                <w:lang w:val="en-US" w:eastAsia="zh-CN"/>
              </w:rPr>
              <w:t>评价因子</w:t>
            </w:r>
          </w:p>
        </w:tc>
        <w:tc>
          <w:tcPr>
            <w:tcW w:w="1670" w:type="dxa"/>
            <w:tcBorders>
              <w:tl2br w:val="nil"/>
              <w:tr2bl w:val="nil"/>
            </w:tcBorders>
            <w:noWrap w:val="0"/>
            <w:vAlign w:val="center"/>
          </w:tcPr>
          <w:p w14:paraId="45E424E1">
            <w:pPr>
              <w:pStyle w:val="42"/>
              <w:bidi w:val="0"/>
              <w:rPr>
                <w:rFonts w:hint="default" w:ascii="Times New Roman" w:hAnsi="Times New Roman" w:cs="Times New Roman"/>
                <w:caps w:val="0"/>
                <w:color w:val="FF0000"/>
                <w:spacing w:val="0"/>
                <w:position w:val="0"/>
                <w:highlight w:val="none"/>
                <w:lang w:val="en-US" w:eastAsia="zh-CN"/>
              </w:rPr>
            </w:pPr>
            <w:r>
              <w:rPr>
                <w:rFonts w:hint="default" w:ascii="Times New Roman" w:hAnsi="Times New Roman" w:cs="Times New Roman"/>
                <w:caps w:val="0"/>
                <w:color w:val="FF0000"/>
                <w:spacing w:val="0"/>
                <w:position w:val="0"/>
                <w:highlight w:val="none"/>
                <w:lang w:val="en-US" w:eastAsia="zh-CN"/>
              </w:rPr>
              <w:t>评价因子</w:t>
            </w:r>
          </w:p>
        </w:tc>
        <w:tc>
          <w:tcPr>
            <w:tcW w:w="6384" w:type="dxa"/>
            <w:gridSpan w:val="9"/>
            <w:tcBorders>
              <w:tl2br w:val="nil"/>
              <w:tr2bl w:val="nil"/>
            </w:tcBorders>
            <w:noWrap w:val="0"/>
            <w:vAlign w:val="center"/>
          </w:tcPr>
          <w:p w14:paraId="1B0D033E">
            <w:pPr>
              <w:pStyle w:val="42"/>
              <w:bidi w:val="0"/>
              <w:rPr>
                <w:rFonts w:hint="default" w:ascii="Times New Roman" w:hAnsi="Times New Roman" w:cs="Times New Roman"/>
                <w:caps w:val="0"/>
                <w:color w:val="FF0000"/>
                <w:spacing w:val="0"/>
                <w:position w:val="0"/>
                <w:highlight w:val="none"/>
                <w:lang w:val="en-US" w:eastAsia="zh-CN"/>
              </w:rPr>
            </w:pPr>
            <w:r>
              <w:rPr>
                <w:rFonts w:hint="default" w:ascii="Times New Roman" w:hAnsi="Times New Roman" w:cs="Times New Roman"/>
                <w:caps w:val="0"/>
                <w:color w:val="FF0000"/>
                <w:spacing w:val="0"/>
                <w:position w:val="0"/>
                <w:highlight w:val="none"/>
                <w:lang w:val="en-US" w:eastAsia="zh-CN"/>
              </w:rPr>
              <w:t>等效连续A声级</w:t>
            </w:r>
            <w:r>
              <w:rPr>
                <w:rFonts w:hint="default" w:ascii="Times New Roman" w:hAnsi="Times New Roman" w:cs="Times New Roman"/>
                <w:caps w:val="0"/>
                <w:color w:val="FF0000"/>
                <w:spacing w:val="0"/>
                <w:position w:val="0"/>
                <w:highlight w:val="none"/>
                <w:lang w:eastAsia="zh-CN"/>
              </w:rPr>
              <w:sym w:font="Wingdings 2" w:char="0052"/>
            </w:r>
            <w:r>
              <w:rPr>
                <w:rFonts w:hint="default" w:ascii="Times New Roman" w:hAnsi="Times New Roman" w:cs="Times New Roman"/>
                <w:caps w:val="0"/>
                <w:color w:val="FF0000"/>
                <w:spacing w:val="0"/>
                <w:position w:val="0"/>
                <w:highlight w:val="none"/>
              </w:rPr>
              <w:t>；</w:t>
            </w:r>
            <w:r>
              <w:rPr>
                <w:rFonts w:hint="default" w:ascii="Times New Roman" w:hAnsi="Times New Roman" w:cs="Times New Roman"/>
                <w:caps w:val="0"/>
                <w:color w:val="FF0000"/>
                <w:spacing w:val="0"/>
                <w:position w:val="0"/>
                <w:highlight w:val="none"/>
                <w:lang w:val="en-US" w:eastAsia="zh-CN"/>
              </w:rPr>
              <w:t>最大A声级</w:t>
            </w:r>
            <w:r>
              <w:rPr>
                <w:rFonts w:hint="default" w:ascii="Times New Roman" w:hAnsi="Times New Roman" w:cs="Times New Roman"/>
                <w:caps w:val="0"/>
                <w:color w:val="FF0000"/>
                <w:spacing w:val="0"/>
                <w:position w:val="0"/>
                <w:highlight w:val="none"/>
                <w:lang w:eastAsia="zh-CN"/>
              </w:rPr>
              <w:t>□</w:t>
            </w:r>
            <w:r>
              <w:rPr>
                <w:rFonts w:hint="default" w:ascii="Times New Roman" w:hAnsi="Times New Roman" w:cs="Times New Roman"/>
                <w:caps w:val="0"/>
                <w:color w:val="FF0000"/>
                <w:spacing w:val="0"/>
                <w:position w:val="0"/>
                <w:highlight w:val="none"/>
              </w:rPr>
              <w:t>；</w:t>
            </w:r>
            <w:r>
              <w:rPr>
                <w:rFonts w:hint="default" w:ascii="Times New Roman" w:hAnsi="Times New Roman" w:cs="Times New Roman"/>
                <w:caps w:val="0"/>
                <w:color w:val="FF0000"/>
                <w:spacing w:val="0"/>
                <w:position w:val="0"/>
                <w:highlight w:val="none"/>
                <w:lang w:val="en-US" w:eastAsia="zh-CN"/>
              </w:rPr>
              <w:t>计权等效连续感觉噪声级</w:t>
            </w:r>
            <w:r>
              <w:rPr>
                <w:rFonts w:hint="default" w:ascii="Times New Roman" w:hAnsi="Times New Roman" w:cs="Times New Roman"/>
                <w:caps w:val="0"/>
                <w:color w:val="FF0000"/>
                <w:spacing w:val="0"/>
                <w:position w:val="0"/>
                <w:highlight w:val="none"/>
                <w:lang w:eastAsia="zh-CN"/>
              </w:rPr>
              <w:t>□</w:t>
            </w:r>
          </w:p>
        </w:tc>
      </w:tr>
      <w:tr w14:paraId="4447E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0" w:hRule="atLeast"/>
          <w:jc w:val="center"/>
        </w:trPr>
        <w:tc>
          <w:tcPr>
            <w:tcW w:w="1291" w:type="dxa"/>
            <w:tcBorders>
              <w:tl2br w:val="nil"/>
              <w:tr2bl w:val="nil"/>
            </w:tcBorders>
            <w:noWrap w:val="0"/>
            <w:vAlign w:val="center"/>
          </w:tcPr>
          <w:p w14:paraId="7C61A45A">
            <w:pPr>
              <w:pStyle w:val="42"/>
              <w:bidi w:val="0"/>
              <w:rPr>
                <w:rFonts w:hint="default" w:ascii="Times New Roman" w:hAnsi="Times New Roman" w:cs="Times New Roman"/>
                <w:caps w:val="0"/>
                <w:color w:val="FF0000"/>
                <w:spacing w:val="0"/>
                <w:position w:val="0"/>
                <w:highlight w:val="none"/>
                <w:lang w:val="en-US" w:eastAsia="zh-CN"/>
              </w:rPr>
            </w:pPr>
            <w:r>
              <w:rPr>
                <w:rFonts w:hint="default" w:ascii="Times New Roman" w:hAnsi="Times New Roman" w:cs="Times New Roman"/>
                <w:caps w:val="0"/>
                <w:color w:val="FF0000"/>
                <w:spacing w:val="0"/>
                <w:position w:val="0"/>
                <w:highlight w:val="none"/>
                <w:lang w:val="en-US" w:eastAsia="zh-CN"/>
              </w:rPr>
              <w:t>评价标准</w:t>
            </w:r>
          </w:p>
        </w:tc>
        <w:tc>
          <w:tcPr>
            <w:tcW w:w="1670" w:type="dxa"/>
            <w:tcBorders>
              <w:tl2br w:val="nil"/>
              <w:tr2bl w:val="nil"/>
            </w:tcBorders>
            <w:noWrap w:val="0"/>
            <w:vAlign w:val="center"/>
          </w:tcPr>
          <w:p w14:paraId="7FAAB455">
            <w:pPr>
              <w:pStyle w:val="42"/>
              <w:bidi w:val="0"/>
              <w:rPr>
                <w:rFonts w:hint="default" w:ascii="Times New Roman" w:hAnsi="Times New Roman" w:cs="Times New Roman"/>
                <w:caps w:val="0"/>
                <w:color w:val="FF0000"/>
                <w:spacing w:val="0"/>
                <w:position w:val="0"/>
                <w:highlight w:val="none"/>
                <w:lang w:val="en-US" w:eastAsia="zh-CN"/>
              </w:rPr>
            </w:pPr>
            <w:r>
              <w:rPr>
                <w:rFonts w:hint="default" w:ascii="Times New Roman" w:hAnsi="Times New Roman" w:cs="Times New Roman"/>
                <w:caps w:val="0"/>
                <w:color w:val="FF0000"/>
                <w:spacing w:val="0"/>
                <w:position w:val="0"/>
                <w:highlight w:val="none"/>
                <w:lang w:val="en-US" w:eastAsia="zh-CN"/>
              </w:rPr>
              <w:t>评价标准</w:t>
            </w:r>
          </w:p>
        </w:tc>
        <w:tc>
          <w:tcPr>
            <w:tcW w:w="6384" w:type="dxa"/>
            <w:gridSpan w:val="9"/>
            <w:tcBorders>
              <w:tl2br w:val="nil"/>
              <w:tr2bl w:val="nil"/>
            </w:tcBorders>
            <w:noWrap w:val="0"/>
            <w:vAlign w:val="center"/>
          </w:tcPr>
          <w:p w14:paraId="45A883A2">
            <w:pPr>
              <w:pStyle w:val="42"/>
              <w:bidi w:val="0"/>
              <w:rPr>
                <w:rFonts w:hint="default" w:ascii="Times New Roman" w:hAnsi="Times New Roman" w:cs="Times New Roman"/>
                <w:caps w:val="0"/>
                <w:color w:val="FF0000"/>
                <w:spacing w:val="0"/>
                <w:position w:val="0"/>
                <w:highlight w:val="none"/>
                <w:lang w:val="en-US" w:eastAsia="zh-CN"/>
              </w:rPr>
            </w:pPr>
            <w:r>
              <w:rPr>
                <w:rFonts w:hint="default" w:ascii="Times New Roman" w:hAnsi="Times New Roman" w:cs="Times New Roman"/>
                <w:caps w:val="0"/>
                <w:color w:val="FF0000"/>
                <w:spacing w:val="0"/>
                <w:position w:val="0"/>
                <w:highlight w:val="none"/>
                <w:lang w:val="en-US" w:eastAsia="zh-CN"/>
              </w:rPr>
              <w:t>国家标准</w:t>
            </w:r>
            <w:r>
              <w:rPr>
                <w:rFonts w:hint="default" w:ascii="Times New Roman" w:hAnsi="Times New Roman" w:cs="Times New Roman"/>
                <w:caps w:val="0"/>
                <w:color w:val="FF0000"/>
                <w:spacing w:val="0"/>
                <w:position w:val="0"/>
                <w:highlight w:val="none"/>
                <w:lang w:eastAsia="zh-CN"/>
              </w:rPr>
              <w:sym w:font="Wingdings 2" w:char="0052"/>
            </w:r>
            <w:r>
              <w:rPr>
                <w:rFonts w:hint="default" w:ascii="Times New Roman" w:hAnsi="Times New Roman" w:cs="Times New Roman"/>
                <w:caps w:val="0"/>
                <w:color w:val="FF0000"/>
                <w:spacing w:val="0"/>
                <w:position w:val="0"/>
                <w:highlight w:val="none"/>
              </w:rPr>
              <w:t>；</w:t>
            </w:r>
            <w:r>
              <w:rPr>
                <w:rFonts w:hint="default" w:ascii="Times New Roman" w:hAnsi="Times New Roman" w:cs="Times New Roman"/>
                <w:caps w:val="0"/>
                <w:color w:val="FF0000"/>
                <w:spacing w:val="0"/>
                <w:position w:val="0"/>
                <w:highlight w:val="none"/>
                <w:lang w:val="en-US" w:eastAsia="zh-CN"/>
              </w:rPr>
              <w:t>地方标准</w:t>
            </w:r>
            <w:r>
              <w:rPr>
                <w:rFonts w:hint="default" w:ascii="Times New Roman" w:hAnsi="Times New Roman" w:cs="Times New Roman"/>
                <w:caps w:val="0"/>
                <w:color w:val="FF0000"/>
                <w:spacing w:val="0"/>
                <w:position w:val="0"/>
                <w:highlight w:val="none"/>
                <w:lang w:eastAsia="zh-CN"/>
              </w:rPr>
              <w:t>□</w:t>
            </w:r>
            <w:r>
              <w:rPr>
                <w:rFonts w:hint="default" w:ascii="Times New Roman" w:hAnsi="Times New Roman" w:cs="Times New Roman"/>
                <w:caps w:val="0"/>
                <w:color w:val="FF0000"/>
                <w:spacing w:val="0"/>
                <w:position w:val="0"/>
                <w:highlight w:val="none"/>
              </w:rPr>
              <w:t>；</w:t>
            </w:r>
            <w:r>
              <w:rPr>
                <w:rFonts w:hint="default" w:ascii="Times New Roman" w:hAnsi="Times New Roman" w:cs="Times New Roman"/>
                <w:caps w:val="0"/>
                <w:color w:val="FF0000"/>
                <w:spacing w:val="0"/>
                <w:position w:val="0"/>
                <w:highlight w:val="none"/>
                <w:lang w:val="en-US" w:eastAsia="zh-CN"/>
              </w:rPr>
              <w:t>国外标准</w:t>
            </w:r>
            <w:r>
              <w:rPr>
                <w:rFonts w:hint="default" w:ascii="Times New Roman" w:hAnsi="Times New Roman" w:cs="Times New Roman"/>
                <w:caps w:val="0"/>
                <w:color w:val="FF0000"/>
                <w:spacing w:val="0"/>
                <w:position w:val="0"/>
                <w:highlight w:val="none"/>
              </w:rPr>
              <w:t>□</w:t>
            </w:r>
          </w:p>
        </w:tc>
      </w:tr>
      <w:tr w14:paraId="279E3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9" w:hRule="atLeast"/>
          <w:jc w:val="center"/>
        </w:trPr>
        <w:tc>
          <w:tcPr>
            <w:tcW w:w="1291" w:type="dxa"/>
            <w:vMerge w:val="restart"/>
            <w:tcBorders>
              <w:tl2br w:val="nil"/>
              <w:tr2bl w:val="nil"/>
            </w:tcBorders>
            <w:noWrap w:val="0"/>
            <w:vAlign w:val="center"/>
          </w:tcPr>
          <w:p w14:paraId="718C64D5">
            <w:pPr>
              <w:pStyle w:val="42"/>
              <w:bidi w:val="0"/>
              <w:rPr>
                <w:rFonts w:hint="default" w:ascii="Times New Roman" w:hAnsi="Times New Roman" w:cs="Times New Roman"/>
                <w:caps w:val="0"/>
                <w:color w:val="FF0000"/>
                <w:spacing w:val="0"/>
                <w:position w:val="0"/>
                <w:highlight w:val="none"/>
                <w:lang w:val="en-US" w:eastAsia="zh-CN"/>
              </w:rPr>
            </w:pPr>
            <w:r>
              <w:rPr>
                <w:rFonts w:hint="default" w:ascii="Times New Roman" w:hAnsi="Times New Roman" w:cs="Times New Roman"/>
                <w:caps w:val="0"/>
                <w:color w:val="FF0000"/>
                <w:spacing w:val="0"/>
                <w:position w:val="0"/>
                <w:highlight w:val="none"/>
                <w:lang w:val="en-US" w:eastAsia="zh-CN"/>
              </w:rPr>
              <w:t>现状评价</w:t>
            </w:r>
          </w:p>
        </w:tc>
        <w:tc>
          <w:tcPr>
            <w:tcW w:w="1670" w:type="dxa"/>
            <w:tcBorders>
              <w:tl2br w:val="nil"/>
              <w:tr2bl w:val="nil"/>
            </w:tcBorders>
            <w:noWrap w:val="0"/>
            <w:vAlign w:val="center"/>
          </w:tcPr>
          <w:p w14:paraId="1AAD68F0">
            <w:pPr>
              <w:pStyle w:val="42"/>
              <w:bidi w:val="0"/>
              <w:rPr>
                <w:rFonts w:hint="default" w:ascii="Times New Roman" w:hAnsi="Times New Roman" w:cs="Times New Roman"/>
                <w:caps w:val="0"/>
                <w:color w:val="FF0000"/>
                <w:spacing w:val="0"/>
                <w:position w:val="0"/>
                <w:highlight w:val="none"/>
                <w:lang w:val="en-US" w:eastAsia="zh-CN"/>
              </w:rPr>
            </w:pPr>
            <w:r>
              <w:rPr>
                <w:rFonts w:hint="default" w:ascii="Times New Roman" w:hAnsi="Times New Roman" w:cs="Times New Roman"/>
                <w:caps w:val="0"/>
                <w:color w:val="FF0000"/>
                <w:spacing w:val="0"/>
                <w:position w:val="0"/>
                <w:highlight w:val="none"/>
                <w:lang w:val="en-US" w:eastAsia="zh-CN"/>
              </w:rPr>
              <w:t>环境功能区</w:t>
            </w:r>
          </w:p>
        </w:tc>
        <w:tc>
          <w:tcPr>
            <w:tcW w:w="950" w:type="dxa"/>
            <w:tcBorders>
              <w:tl2br w:val="nil"/>
              <w:tr2bl w:val="nil"/>
            </w:tcBorders>
            <w:noWrap w:val="0"/>
            <w:vAlign w:val="center"/>
          </w:tcPr>
          <w:p w14:paraId="18EEE0AA">
            <w:pPr>
              <w:pStyle w:val="42"/>
              <w:bidi w:val="0"/>
              <w:rPr>
                <w:rFonts w:hint="default" w:ascii="Times New Roman" w:hAnsi="Times New Roman" w:cs="Times New Roman"/>
                <w:caps w:val="0"/>
                <w:color w:val="FF0000"/>
                <w:spacing w:val="0"/>
                <w:position w:val="0"/>
                <w:highlight w:val="none"/>
                <w:lang w:eastAsia="zh-CN"/>
              </w:rPr>
            </w:pPr>
            <w:r>
              <w:rPr>
                <w:rFonts w:hint="default" w:ascii="Times New Roman" w:hAnsi="Times New Roman" w:cs="Times New Roman"/>
                <w:caps w:val="0"/>
                <w:color w:val="FF0000"/>
                <w:spacing w:val="0"/>
                <w:position w:val="0"/>
                <w:highlight w:val="none"/>
                <w:lang w:val="en-US" w:eastAsia="zh-CN"/>
              </w:rPr>
              <w:t>0类区</w:t>
            </w:r>
            <w:r>
              <w:rPr>
                <w:rFonts w:hint="default" w:ascii="Times New Roman" w:hAnsi="Times New Roman" w:cs="Times New Roman"/>
                <w:caps w:val="0"/>
                <w:color w:val="FF0000"/>
                <w:spacing w:val="0"/>
                <w:position w:val="0"/>
                <w:highlight w:val="none"/>
              </w:rPr>
              <w:t>□</w:t>
            </w:r>
          </w:p>
        </w:tc>
        <w:tc>
          <w:tcPr>
            <w:tcW w:w="1060" w:type="dxa"/>
            <w:gridSpan w:val="2"/>
            <w:tcBorders>
              <w:tl2br w:val="nil"/>
              <w:tr2bl w:val="nil"/>
            </w:tcBorders>
            <w:noWrap w:val="0"/>
            <w:vAlign w:val="center"/>
          </w:tcPr>
          <w:p w14:paraId="050BA0DE">
            <w:pPr>
              <w:pStyle w:val="42"/>
              <w:bidi w:val="0"/>
              <w:rPr>
                <w:rFonts w:hint="default" w:ascii="Times New Roman" w:hAnsi="Times New Roman" w:cs="Times New Roman"/>
                <w:caps w:val="0"/>
                <w:color w:val="FF0000"/>
                <w:spacing w:val="0"/>
                <w:position w:val="0"/>
                <w:highlight w:val="none"/>
                <w:lang w:eastAsia="zh-CN"/>
              </w:rPr>
            </w:pPr>
            <w:r>
              <w:rPr>
                <w:rFonts w:hint="default" w:ascii="Times New Roman" w:hAnsi="Times New Roman" w:cs="Times New Roman"/>
                <w:caps w:val="0"/>
                <w:color w:val="FF0000"/>
                <w:spacing w:val="0"/>
                <w:position w:val="0"/>
                <w:highlight w:val="none"/>
                <w:lang w:val="en-US" w:eastAsia="zh-CN"/>
              </w:rPr>
              <w:t>1类区</w:t>
            </w:r>
            <w:r>
              <w:rPr>
                <w:rFonts w:hint="default" w:ascii="Times New Roman" w:hAnsi="Times New Roman" w:cs="Times New Roman"/>
                <w:caps w:val="0"/>
                <w:color w:val="FF0000"/>
                <w:spacing w:val="0"/>
                <w:position w:val="0"/>
                <w:highlight w:val="none"/>
              </w:rPr>
              <w:t>□</w:t>
            </w:r>
          </w:p>
        </w:tc>
        <w:tc>
          <w:tcPr>
            <w:tcW w:w="925" w:type="dxa"/>
            <w:gridSpan w:val="2"/>
            <w:tcBorders>
              <w:tl2br w:val="nil"/>
              <w:tr2bl w:val="nil"/>
            </w:tcBorders>
            <w:noWrap w:val="0"/>
            <w:vAlign w:val="center"/>
          </w:tcPr>
          <w:p w14:paraId="5941BE31">
            <w:pPr>
              <w:pStyle w:val="42"/>
              <w:bidi w:val="0"/>
              <w:rPr>
                <w:rFonts w:hint="default" w:ascii="Times New Roman" w:hAnsi="Times New Roman" w:cs="Times New Roman"/>
                <w:caps w:val="0"/>
                <w:color w:val="FF0000"/>
                <w:spacing w:val="0"/>
                <w:position w:val="0"/>
                <w:highlight w:val="none"/>
                <w:lang w:eastAsia="zh-CN"/>
              </w:rPr>
            </w:pPr>
            <w:r>
              <w:rPr>
                <w:rFonts w:hint="default" w:ascii="Times New Roman" w:hAnsi="Times New Roman" w:cs="Times New Roman"/>
                <w:caps w:val="0"/>
                <w:color w:val="FF0000"/>
                <w:spacing w:val="0"/>
                <w:position w:val="0"/>
                <w:highlight w:val="none"/>
                <w:lang w:val="en-US" w:eastAsia="zh-CN"/>
              </w:rPr>
              <w:t>2类区</w:t>
            </w:r>
            <w:r>
              <w:rPr>
                <w:rFonts w:hint="default" w:ascii="Times New Roman" w:hAnsi="Times New Roman" w:cs="Times New Roman"/>
                <w:caps w:val="0"/>
                <w:color w:val="FF0000"/>
                <w:spacing w:val="0"/>
                <w:position w:val="0"/>
                <w:highlight w:val="none"/>
              </w:rPr>
              <w:sym w:font="Wingdings 2" w:char="0052"/>
            </w:r>
          </w:p>
        </w:tc>
        <w:tc>
          <w:tcPr>
            <w:tcW w:w="980" w:type="dxa"/>
            <w:tcBorders>
              <w:tl2br w:val="nil"/>
              <w:tr2bl w:val="nil"/>
            </w:tcBorders>
            <w:noWrap w:val="0"/>
            <w:vAlign w:val="center"/>
          </w:tcPr>
          <w:p w14:paraId="020ABBDF">
            <w:pPr>
              <w:pStyle w:val="42"/>
              <w:bidi w:val="0"/>
              <w:rPr>
                <w:rFonts w:hint="default" w:ascii="Times New Roman" w:hAnsi="Times New Roman" w:cs="Times New Roman"/>
                <w:caps w:val="0"/>
                <w:color w:val="FF0000"/>
                <w:spacing w:val="0"/>
                <w:position w:val="0"/>
                <w:highlight w:val="none"/>
                <w:lang w:eastAsia="zh-CN"/>
              </w:rPr>
            </w:pPr>
            <w:r>
              <w:rPr>
                <w:rFonts w:hint="default" w:ascii="Times New Roman" w:hAnsi="Times New Roman" w:cs="Times New Roman"/>
                <w:caps w:val="0"/>
                <w:color w:val="FF0000"/>
                <w:spacing w:val="0"/>
                <w:position w:val="0"/>
                <w:highlight w:val="none"/>
                <w:lang w:val="en-US" w:eastAsia="zh-CN"/>
              </w:rPr>
              <w:t>3类区</w:t>
            </w:r>
            <w:r>
              <w:rPr>
                <w:rFonts w:hint="default" w:ascii="Times New Roman" w:hAnsi="Times New Roman" w:cs="Times New Roman"/>
                <w:caps w:val="0"/>
                <w:color w:val="FF0000"/>
                <w:spacing w:val="0"/>
                <w:position w:val="0"/>
                <w:highlight w:val="none"/>
                <w:lang w:eastAsia="zh-CN"/>
              </w:rPr>
              <w:sym w:font="Wingdings 2" w:char="00A3"/>
            </w:r>
          </w:p>
        </w:tc>
        <w:tc>
          <w:tcPr>
            <w:tcW w:w="1091" w:type="dxa"/>
            <w:gridSpan w:val="2"/>
            <w:tcBorders>
              <w:tl2br w:val="nil"/>
              <w:tr2bl w:val="nil"/>
            </w:tcBorders>
            <w:noWrap w:val="0"/>
            <w:vAlign w:val="center"/>
          </w:tcPr>
          <w:p w14:paraId="078FE0A4">
            <w:pPr>
              <w:pStyle w:val="42"/>
              <w:bidi w:val="0"/>
              <w:rPr>
                <w:rFonts w:hint="default" w:ascii="Times New Roman" w:hAnsi="Times New Roman" w:cs="Times New Roman"/>
                <w:caps w:val="0"/>
                <w:color w:val="FF0000"/>
                <w:spacing w:val="0"/>
                <w:position w:val="0"/>
                <w:highlight w:val="none"/>
                <w:lang w:eastAsia="zh-CN"/>
              </w:rPr>
            </w:pPr>
            <w:r>
              <w:rPr>
                <w:rFonts w:hint="default" w:ascii="Times New Roman" w:hAnsi="Times New Roman" w:cs="Times New Roman"/>
                <w:caps w:val="0"/>
                <w:color w:val="FF0000"/>
                <w:spacing w:val="0"/>
                <w:position w:val="0"/>
                <w:highlight w:val="none"/>
                <w:lang w:val="en-US" w:eastAsia="zh-CN"/>
              </w:rPr>
              <w:t>4a类区</w:t>
            </w:r>
            <w:r>
              <w:rPr>
                <w:rFonts w:hint="default" w:ascii="Times New Roman" w:hAnsi="Times New Roman" w:cs="Times New Roman"/>
                <w:caps w:val="0"/>
                <w:color w:val="FF0000"/>
                <w:spacing w:val="0"/>
                <w:position w:val="0"/>
                <w:highlight w:val="none"/>
              </w:rPr>
              <w:t>□</w:t>
            </w:r>
          </w:p>
        </w:tc>
        <w:tc>
          <w:tcPr>
            <w:tcW w:w="1378" w:type="dxa"/>
            <w:tcBorders>
              <w:tl2br w:val="nil"/>
              <w:tr2bl w:val="nil"/>
            </w:tcBorders>
            <w:noWrap w:val="0"/>
            <w:vAlign w:val="center"/>
          </w:tcPr>
          <w:p w14:paraId="53F38BC1">
            <w:pPr>
              <w:pStyle w:val="42"/>
              <w:bidi w:val="0"/>
              <w:rPr>
                <w:rFonts w:hint="default" w:ascii="Times New Roman" w:hAnsi="Times New Roman" w:cs="Times New Roman"/>
                <w:caps w:val="0"/>
                <w:color w:val="FF0000"/>
                <w:spacing w:val="0"/>
                <w:position w:val="0"/>
                <w:highlight w:val="none"/>
                <w:lang w:eastAsia="zh-CN"/>
              </w:rPr>
            </w:pPr>
            <w:r>
              <w:rPr>
                <w:rFonts w:hint="default" w:ascii="Times New Roman" w:hAnsi="Times New Roman" w:cs="Times New Roman"/>
                <w:caps w:val="0"/>
                <w:color w:val="FF0000"/>
                <w:spacing w:val="0"/>
                <w:position w:val="0"/>
                <w:highlight w:val="none"/>
                <w:lang w:val="en-US" w:eastAsia="zh-CN"/>
              </w:rPr>
              <w:t>4b类区</w:t>
            </w:r>
            <w:r>
              <w:rPr>
                <w:rFonts w:hint="default" w:ascii="Times New Roman" w:hAnsi="Times New Roman" w:cs="Times New Roman"/>
                <w:caps w:val="0"/>
                <w:color w:val="FF0000"/>
                <w:spacing w:val="0"/>
                <w:position w:val="0"/>
                <w:highlight w:val="none"/>
              </w:rPr>
              <w:t>□</w:t>
            </w:r>
          </w:p>
        </w:tc>
      </w:tr>
      <w:tr w14:paraId="04EB9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62" w:hRule="atLeast"/>
          <w:jc w:val="center"/>
        </w:trPr>
        <w:tc>
          <w:tcPr>
            <w:tcW w:w="1291" w:type="dxa"/>
            <w:vMerge w:val="continue"/>
            <w:tcBorders>
              <w:tl2br w:val="nil"/>
              <w:tr2bl w:val="nil"/>
            </w:tcBorders>
            <w:noWrap w:val="0"/>
            <w:vAlign w:val="center"/>
          </w:tcPr>
          <w:p w14:paraId="4440434C">
            <w:pPr>
              <w:pStyle w:val="42"/>
              <w:bidi w:val="0"/>
              <w:rPr>
                <w:rFonts w:hint="default" w:ascii="Times New Roman" w:hAnsi="Times New Roman" w:cs="Times New Roman"/>
                <w:caps w:val="0"/>
                <w:color w:val="FF0000"/>
                <w:spacing w:val="0"/>
                <w:position w:val="0"/>
                <w:highlight w:val="none"/>
                <w:lang w:val="en-US" w:eastAsia="zh-CN"/>
              </w:rPr>
            </w:pPr>
          </w:p>
        </w:tc>
        <w:tc>
          <w:tcPr>
            <w:tcW w:w="1670" w:type="dxa"/>
            <w:tcBorders>
              <w:tl2br w:val="nil"/>
              <w:tr2bl w:val="nil"/>
            </w:tcBorders>
            <w:noWrap w:val="0"/>
            <w:vAlign w:val="center"/>
          </w:tcPr>
          <w:p w14:paraId="727082FA">
            <w:pPr>
              <w:pStyle w:val="42"/>
              <w:bidi w:val="0"/>
              <w:rPr>
                <w:rFonts w:hint="default" w:ascii="Times New Roman" w:hAnsi="Times New Roman" w:cs="Times New Roman"/>
                <w:caps w:val="0"/>
                <w:color w:val="FF0000"/>
                <w:spacing w:val="0"/>
                <w:position w:val="0"/>
                <w:highlight w:val="none"/>
                <w:lang w:val="en-US" w:eastAsia="zh-CN"/>
              </w:rPr>
            </w:pPr>
            <w:r>
              <w:rPr>
                <w:rFonts w:hint="default" w:ascii="Times New Roman" w:hAnsi="Times New Roman" w:cs="Times New Roman"/>
                <w:caps w:val="0"/>
                <w:color w:val="FF0000"/>
                <w:spacing w:val="0"/>
                <w:position w:val="0"/>
                <w:highlight w:val="none"/>
                <w:lang w:val="en-US" w:eastAsia="zh-CN"/>
              </w:rPr>
              <w:t>评价年度</w:t>
            </w:r>
          </w:p>
        </w:tc>
        <w:tc>
          <w:tcPr>
            <w:tcW w:w="1400" w:type="dxa"/>
            <w:gridSpan w:val="2"/>
            <w:tcBorders>
              <w:tl2br w:val="nil"/>
              <w:tr2bl w:val="nil"/>
            </w:tcBorders>
            <w:noWrap w:val="0"/>
            <w:vAlign w:val="center"/>
          </w:tcPr>
          <w:p w14:paraId="4507C141">
            <w:pPr>
              <w:pStyle w:val="42"/>
              <w:bidi w:val="0"/>
              <w:rPr>
                <w:rFonts w:hint="default" w:ascii="Times New Roman" w:hAnsi="Times New Roman" w:cs="Times New Roman"/>
                <w:caps w:val="0"/>
                <w:color w:val="FF0000"/>
                <w:spacing w:val="0"/>
                <w:position w:val="0"/>
                <w:highlight w:val="none"/>
              </w:rPr>
            </w:pPr>
            <w:r>
              <w:rPr>
                <w:rFonts w:hint="default" w:ascii="Times New Roman" w:hAnsi="Times New Roman" w:cs="Times New Roman"/>
                <w:caps w:val="0"/>
                <w:color w:val="FF0000"/>
                <w:spacing w:val="0"/>
                <w:position w:val="0"/>
                <w:highlight w:val="none"/>
                <w:lang w:val="en-US" w:eastAsia="zh-CN"/>
              </w:rPr>
              <w:t>初期</w:t>
            </w:r>
            <w:r>
              <w:rPr>
                <w:rFonts w:hint="default" w:ascii="Times New Roman" w:hAnsi="Times New Roman" w:cs="Times New Roman"/>
                <w:caps w:val="0"/>
                <w:color w:val="FF0000"/>
                <w:spacing w:val="0"/>
                <w:position w:val="0"/>
                <w:highlight w:val="none"/>
              </w:rPr>
              <w:t>□</w:t>
            </w:r>
          </w:p>
        </w:tc>
        <w:tc>
          <w:tcPr>
            <w:tcW w:w="1535" w:type="dxa"/>
            <w:gridSpan w:val="3"/>
            <w:tcBorders>
              <w:tl2br w:val="nil"/>
              <w:tr2bl w:val="nil"/>
            </w:tcBorders>
            <w:noWrap w:val="0"/>
            <w:vAlign w:val="center"/>
          </w:tcPr>
          <w:p w14:paraId="078B1AFF">
            <w:pPr>
              <w:pStyle w:val="42"/>
              <w:bidi w:val="0"/>
              <w:rPr>
                <w:rFonts w:hint="default" w:ascii="Times New Roman" w:hAnsi="Times New Roman" w:cs="Times New Roman"/>
                <w:caps w:val="0"/>
                <w:color w:val="FF0000"/>
                <w:spacing w:val="0"/>
                <w:position w:val="0"/>
                <w:highlight w:val="none"/>
                <w:lang w:val="en-US" w:eastAsia="zh-CN"/>
              </w:rPr>
            </w:pPr>
            <w:r>
              <w:rPr>
                <w:rFonts w:hint="default" w:ascii="Times New Roman" w:hAnsi="Times New Roman" w:cs="Times New Roman"/>
                <w:caps w:val="0"/>
                <w:color w:val="FF0000"/>
                <w:spacing w:val="0"/>
                <w:position w:val="0"/>
                <w:highlight w:val="none"/>
                <w:lang w:val="en-US" w:eastAsia="zh-CN"/>
              </w:rPr>
              <w:t>近期</w:t>
            </w:r>
            <w:r>
              <w:rPr>
                <w:rFonts w:hint="default" w:ascii="Times New Roman" w:hAnsi="Times New Roman" w:cs="Times New Roman"/>
                <w:caps w:val="0"/>
                <w:color w:val="FF0000"/>
                <w:spacing w:val="0"/>
                <w:position w:val="0"/>
                <w:highlight w:val="none"/>
                <w:lang w:eastAsia="zh-CN"/>
              </w:rPr>
              <w:sym w:font="Wingdings 2" w:char="0052"/>
            </w:r>
          </w:p>
        </w:tc>
        <w:tc>
          <w:tcPr>
            <w:tcW w:w="1588" w:type="dxa"/>
            <w:gridSpan w:val="2"/>
            <w:tcBorders>
              <w:tl2br w:val="nil"/>
              <w:tr2bl w:val="nil"/>
            </w:tcBorders>
            <w:noWrap w:val="0"/>
            <w:vAlign w:val="center"/>
          </w:tcPr>
          <w:p w14:paraId="71C25B51">
            <w:pPr>
              <w:pStyle w:val="42"/>
              <w:bidi w:val="0"/>
              <w:rPr>
                <w:rFonts w:hint="default" w:ascii="Times New Roman" w:hAnsi="Times New Roman" w:cs="Times New Roman"/>
                <w:caps w:val="0"/>
                <w:color w:val="FF0000"/>
                <w:spacing w:val="0"/>
                <w:position w:val="0"/>
                <w:highlight w:val="none"/>
              </w:rPr>
            </w:pPr>
            <w:r>
              <w:rPr>
                <w:rFonts w:hint="default" w:ascii="Times New Roman" w:hAnsi="Times New Roman" w:cs="Times New Roman"/>
                <w:caps w:val="0"/>
                <w:color w:val="FF0000"/>
                <w:spacing w:val="0"/>
                <w:position w:val="0"/>
                <w:highlight w:val="none"/>
                <w:lang w:val="en-US" w:eastAsia="zh-CN"/>
              </w:rPr>
              <w:t>中期</w:t>
            </w:r>
            <w:r>
              <w:rPr>
                <w:rFonts w:hint="default" w:ascii="Times New Roman" w:hAnsi="Times New Roman" w:cs="Times New Roman"/>
                <w:caps w:val="0"/>
                <w:color w:val="FF0000"/>
                <w:spacing w:val="0"/>
                <w:position w:val="0"/>
                <w:highlight w:val="none"/>
              </w:rPr>
              <w:t>□</w:t>
            </w:r>
          </w:p>
        </w:tc>
        <w:tc>
          <w:tcPr>
            <w:tcW w:w="1861" w:type="dxa"/>
            <w:gridSpan w:val="2"/>
            <w:tcBorders>
              <w:tl2br w:val="nil"/>
              <w:tr2bl w:val="nil"/>
            </w:tcBorders>
            <w:noWrap w:val="0"/>
            <w:vAlign w:val="center"/>
          </w:tcPr>
          <w:p w14:paraId="3E67F4C8">
            <w:pPr>
              <w:pStyle w:val="42"/>
              <w:bidi w:val="0"/>
              <w:rPr>
                <w:rFonts w:hint="default" w:ascii="Times New Roman" w:hAnsi="Times New Roman" w:cs="Times New Roman"/>
                <w:caps w:val="0"/>
                <w:color w:val="FF0000"/>
                <w:spacing w:val="0"/>
                <w:position w:val="0"/>
                <w:highlight w:val="none"/>
              </w:rPr>
            </w:pPr>
            <w:r>
              <w:rPr>
                <w:rFonts w:hint="default" w:ascii="Times New Roman" w:hAnsi="Times New Roman" w:cs="Times New Roman"/>
                <w:caps w:val="0"/>
                <w:color w:val="FF0000"/>
                <w:spacing w:val="0"/>
                <w:position w:val="0"/>
                <w:highlight w:val="none"/>
                <w:lang w:val="en-US" w:eastAsia="zh-CN"/>
              </w:rPr>
              <w:t>远期</w:t>
            </w:r>
            <w:r>
              <w:rPr>
                <w:rFonts w:hint="default" w:ascii="Times New Roman" w:hAnsi="Times New Roman" w:cs="Times New Roman"/>
                <w:caps w:val="0"/>
                <w:color w:val="FF0000"/>
                <w:spacing w:val="0"/>
                <w:position w:val="0"/>
                <w:highlight w:val="none"/>
              </w:rPr>
              <w:t>□</w:t>
            </w:r>
          </w:p>
        </w:tc>
      </w:tr>
      <w:tr w14:paraId="10CA2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0" w:hRule="atLeast"/>
          <w:jc w:val="center"/>
        </w:trPr>
        <w:tc>
          <w:tcPr>
            <w:tcW w:w="1291" w:type="dxa"/>
            <w:vMerge w:val="continue"/>
            <w:tcBorders>
              <w:tl2br w:val="nil"/>
              <w:tr2bl w:val="nil"/>
            </w:tcBorders>
            <w:noWrap w:val="0"/>
            <w:vAlign w:val="center"/>
          </w:tcPr>
          <w:p w14:paraId="2D692C68">
            <w:pPr>
              <w:pStyle w:val="42"/>
              <w:bidi w:val="0"/>
              <w:rPr>
                <w:rFonts w:hint="default" w:ascii="Times New Roman" w:hAnsi="Times New Roman" w:cs="Times New Roman"/>
                <w:caps w:val="0"/>
                <w:color w:val="FF0000"/>
                <w:spacing w:val="0"/>
                <w:position w:val="0"/>
                <w:highlight w:val="none"/>
              </w:rPr>
            </w:pPr>
          </w:p>
        </w:tc>
        <w:tc>
          <w:tcPr>
            <w:tcW w:w="1670" w:type="dxa"/>
            <w:tcBorders>
              <w:tl2br w:val="nil"/>
              <w:tr2bl w:val="nil"/>
            </w:tcBorders>
            <w:noWrap w:val="0"/>
            <w:vAlign w:val="center"/>
          </w:tcPr>
          <w:p w14:paraId="1950A768">
            <w:pPr>
              <w:pStyle w:val="42"/>
              <w:bidi w:val="0"/>
              <w:rPr>
                <w:rFonts w:hint="default" w:ascii="Times New Roman" w:hAnsi="Times New Roman" w:cs="Times New Roman"/>
                <w:caps w:val="0"/>
                <w:color w:val="FF0000"/>
                <w:spacing w:val="0"/>
                <w:position w:val="0"/>
                <w:highlight w:val="none"/>
                <w:lang w:val="en-US" w:eastAsia="zh-CN"/>
              </w:rPr>
            </w:pPr>
            <w:r>
              <w:rPr>
                <w:rFonts w:hint="default" w:ascii="Times New Roman" w:hAnsi="Times New Roman" w:cs="Times New Roman"/>
                <w:caps w:val="0"/>
                <w:color w:val="FF0000"/>
                <w:spacing w:val="0"/>
                <w:position w:val="0"/>
                <w:highlight w:val="none"/>
                <w:lang w:val="en-US" w:eastAsia="zh-CN"/>
              </w:rPr>
              <w:t>现状调查方法</w:t>
            </w:r>
          </w:p>
        </w:tc>
        <w:tc>
          <w:tcPr>
            <w:tcW w:w="6384" w:type="dxa"/>
            <w:gridSpan w:val="9"/>
            <w:tcBorders>
              <w:tl2br w:val="nil"/>
              <w:tr2bl w:val="nil"/>
            </w:tcBorders>
            <w:noWrap w:val="0"/>
            <w:vAlign w:val="center"/>
          </w:tcPr>
          <w:p w14:paraId="3A96A940">
            <w:pPr>
              <w:pStyle w:val="42"/>
              <w:bidi w:val="0"/>
              <w:rPr>
                <w:rFonts w:hint="default" w:ascii="Times New Roman" w:hAnsi="Times New Roman" w:cs="Times New Roman"/>
                <w:caps w:val="0"/>
                <w:color w:val="FF0000"/>
                <w:spacing w:val="0"/>
                <w:position w:val="0"/>
                <w:highlight w:val="none"/>
              </w:rPr>
            </w:pPr>
            <w:r>
              <w:rPr>
                <w:rFonts w:hint="default" w:ascii="Times New Roman" w:hAnsi="Times New Roman" w:cs="Times New Roman"/>
                <w:caps w:val="0"/>
                <w:color w:val="FF0000"/>
                <w:spacing w:val="0"/>
                <w:position w:val="0"/>
                <w:highlight w:val="none"/>
                <w:lang w:val="en-US" w:eastAsia="zh-CN"/>
              </w:rPr>
              <w:t>现场实测法</w:t>
            </w:r>
            <w:r>
              <w:rPr>
                <w:rFonts w:hint="default" w:ascii="Times New Roman" w:hAnsi="Times New Roman" w:cs="Times New Roman"/>
                <w:caps w:val="0"/>
                <w:color w:val="FF0000"/>
                <w:spacing w:val="0"/>
                <w:position w:val="0"/>
                <w:highlight w:val="none"/>
                <w:lang w:eastAsia="zh-CN"/>
              </w:rPr>
              <w:sym w:font="Wingdings 2" w:char="00A3"/>
            </w:r>
            <w:r>
              <w:rPr>
                <w:rFonts w:hint="default" w:ascii="Times New Roman" w:hAnsi="Times New Roman" w:cs="Times New Roman"/>
                <w:caps w:val="0"/>
                <w:color w:val="FF0000"/>
                <w:spacing w:val="0"/>
                <w:position w:val="0"/>
                <w:highlight w:val="none"/>
              </w:rPr>
              <w:t>；</w:t>
            </w:r>
            <w:r>
              <w:rPr>
                <w:rFonts w:hint="default" w:ascii="Times New Roman" w:hAnsi="Times New Roman" w:cs="Times New Roman"/>
                <w:caps w:val="0"/>
                <w:color w:val="FF0000"/>
                <w:spacing w:val="0"/>
                <w:position w:val="0"/>
                <w:highlight w:val="none"/>
                <w:lang w:val="en-US" w:eastAsia="zh-CN"/>
              </w:rPr>
              <w:t>现场实测加模型计算法</w:t>
            </w:r>
            <w:r>
              <w:rPr>
                <w:rFonts w:hint="default" w:ascii="Times New Roman" w:hAnsi="Times New Roman" w:cs="Times New Roman"/>
                <w:caps w:val="0"/>
                <w:color w:val="FF0000"/>
                <w:spacing w:val="0"/>
                <w:position w:val="0"/>
                <w:highlight w:val="none"/>
                <w:lang w:eastAsia="zh-CN"/>
              </w:rPr>
              <w:t>□</w:t>
            </w:r>
            <w:r>
              <w:rPr>
                <w:rFonts w:hint="default" w:ascii="Times New Roman" w:hAnsi="Times New Roman" w:cs="Times New Roman"/>
                <w:caps w:val="0"/>
                <w:color w:val="FF0000"/>
                <w:spacing w:val="0"/>
                <w:position w:val="0"/>
                <w:highlight w:val="none"/>
              </w:rPr>
              <w:t>；</w:t>
            </w:r>
            <w:r>
              <w:rPr>
                <w:rFonts w:hint="default" w:ascii="Times New Roman" w:hAnsi="Times New Roman" w:cs="Times New Roman"/>
                <w:caps w:val="0"/>
                <w:color w:val="FF0000"/>
                <w:spacing w:val="0"/>
                <w:position w:val="0"/>
                <w:highlight w:val="none"/>
                <w:lang w:val="en-US" w:eastAsia="zh-CN"/>
              </w:rPr>
              <w:t>收集资料</w:t>
            </w:r>
            <w:r>
              <w:rPr>
                <w:rFonts w:hint="default" w:ascii="Times New Roman" w:hAnsi="Times New Roman" w:cs="Times New Roman"/>
                <w:caps w:val="0"/>
                <w:color w:val="FF0000"/>
                <w:spacing w:val="0"/>
                <w:position w:val="0"/>
                <w:highlight w:val="none"/>
                <w:lang w:eastAsia="zh-CN"/>
              </w:rPr>
              <w:t>☑；</w:t>
            </w:r>
          </w:p>
        </w:tc>
      </w:tr>
      <w:tr w14:paraId="7822D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50" w:hRule="atLeast"/>
          <w:jc w:val="center"/>
        </w:trPr>
        <w:tc>
          <w:tcPr>
            <w:tcW w:w="1291" w:type="dxa"/>
            <w:vMerge w:val="continue"/>
            <w:tcBorders>
              <w:tl2br w:val="nil"/>
              <w:tr2bl w:val="nil"/>
            </w:tcBorders>
            <w:noWrap w:val="0"/>
            <w:vAlign w:val="center"/>
          </w:tcPr>
          <w:p w14:paraId="65BAB347">
            <w:pPr>
              <w:pStyle w:val="42"/>
              <w:bidi w:val="0"/>
              <w:rPr>
                <w:rFonts w:hint="default" w:ascii="Times New Roman" w:hAnsi="Times New Roman" w:cs="Times New Roman"/>
                <w:caps w:val="0"/>
                <w:color w:val="FF0000"/>
                <w:spacing w:val="0"/>
                <w:position w:val="0"/>
                <w:highlight w:val="none"/>
                <w:lang w:val="en-US" w:eastAsia="zh-CN"/>
              </w:rPr>
            </w:pPr>
          </w:p>
        </w:tc>
        <w:tc>
          <w:tcPr>
            <w:tcW w:w="1670" w:type="dxa"/>
            <w:tcBorders>
              <w:tl2br w:val="nil"/>
              <w:tr2bl w:val="nil"/>
            </w:tcBorders>
            <w:noWrap w:val="0"/>
            <w:vAlign w:val="center"/>
          </w:tcPr>
          <w:p w14:paraId="0FA84EBD">
            <w:pPr>
              <w:pStyle w:val="42"/>
              <w:bidi w:val="0"/>
              <w:rPr>
                <w:rFonts w:hint="default" w:ascii="Times New Roman" w:hAnsi="Times New Roman" w:cs="Times New Roman"/>
                <w:caps w:val="0"/>
                <w:color w:val="FF0000"/>
                <w:spacing w:val="0"/>
                <w:position w:val="0"/>
                <w:highlight w:val="none"/>
                <w:lang w:val="en-US" w:eastAsia="zh-CN"/>
              </w:rPr>
            </w:pPr>
            <w:r>
              <w:rPr>
                <w:rFonts w:hint="default" w:ascii="Times New Roman" w:hAnsi="Times New Roman" w:cs="Times New Roman"/>
                <w:caps w:val="0"/>
                <w:color w:val="FF0000"/>
                <w:spacing w:val="0"/>
                <w:position w:val="0"/>
                <w:highlight w:val="none"/>
                <w:lang w:val="en-US" w:eastAsia="zh-CN"/>
              </w:rPr>
              <w:t>现状评价</w:t>
            </w:r>
          </w:p>
        </w:tc>
        <w:tc>
          <w:tcPr>
            <w:tcW w:w="2935" w:type="dxa"/>
            <w:gridSpan w:val="5"/>
            <w:tcBorders>
              <w:tl2br w:val="nil"/>
              <w:tr2bl w:val="nil"/>
            </w:tcBorders>
            <w:noWrap w:val="0"/>
            <w:vAlign w:val="center"/>
          </w:tcPr>
          <w:p w14:paraId="007AD573">
            <w:pPr>
              <w:pStyle w:val="42"/>
              <w:bidi w:val="0"/>
              <w:rPr>
                <w:rFonts w:hint="default" w:ascii="Times New Roman" w:hAnsi="Times New Roman" w:cs="Times New Roman"/>
                <w:caps w:val="0"/>
                <w:color w:val="FF0000"/>
                <w:spacing w:val="0"/>
                <w:position w:val="0"/>
                <w:highlight w:val="none"/>
                <w:lang w:val="en-US" w:eastAsia="zh-CN"/>
              </w:rPr>
            </w:pPr>
            <w:r>
              <w:rPr>
                <w:rFonts w:hint="default" w:ascii="Times New Roman" w:hAnsi="Times New Roman" w:cs="Times New Roman"/>
                <w:caps w:val="0"/>
                <w:color w:val="FF0000"/>
                <w:spacing w:val="0"/>
                <w:position w:val="0"/>
                <w:highlight w:val="none"/>
                <w:lang w:val="en-US" w:eastAsia="zh-CN"/>
              </w:rPr>
              <w:t>达标百分比</w:t>
            </w:r>
          </w:p>
        </w:tc>
        <w:tc>
          <w:tcPr>
            <w:tcW w:w="3449" w:type="dxa"/>
            <w:gridSpan w:val="4"/>
            <w:tcBorders>
              <w:tl2br w:val="nil"/>
              <w:tr2bl w:val="nil"/>
            </w:tcBorders>
            <w:noWrap w:val="0"/>
            <w:vAlign w:val="center"/>
          </w:tcPr>
          <w:p w14:paraId="74505908">
            <w:pPr>
              <w:pStyle w:val="42"/>
              <w:bidi w:val="0"/>
              <w:rPr>
                <w:rFonts w:hint="default" w:ascii="Times New Roman" w:hAnsi="Times New Roman" w:cs="Times New Roman"/>
                <w:caps w:val="0"/>
                <w:color w:val="FF0000"/>
                <w:spacing w:val="0"/>
                <w:position w:val="0"/>
                <w:highlight w:val="none"/>
                <w:lang w:val="en-US" w:eastAsia="zh-CN"/>
              </w:rPr>
            </w:pPr>
            <w:r>
              <w:rPr>
                <w:rFonts w:hint="default" w:ascii="Times New Roman" w:hAnsi="Times New Roman" w:cs="Times New Roman"/>
                <w:caps w:val="0"/>
                <w:color w:val="FF0000"/>
                <w:spacing w:val="0"/>
                <w:position w:val="0"/>
                <w:highlight w:val="none"/>
                <w:lang w:val="en-US" w:eastAsia="zh-CN"/>
              </w:rPr>
              <w:t>100%</w:t>
            </w:r>
          </w:p>
        </w:tc>
      </w:tr>
      <w:tr w14:paraId="4AD18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42" w:hRule="atLeast"/>
          <w:jc w:val="center"/>
        </w:trPr>
        <w:tc>
          <w:tcPr>
            <w:tcW w:w="1291" w:type="dxa"/>
            <w:tcBorders>
              <w:tl2br w:val="nil"/>
              <w:tr2bl w:val="nil"/>
            </w:tcBorders>
            <w:noWrap w:val="0"/>
            <w:vAlign w:val="center"/>
          </w:tcPr>
          <w:p w14:paraId="175C7194">
            <w:pPr>
              <w:pStyle w:val="42"/>
              <w:bidi w:val="0"/>
              <w:rPr>
                <w:rFonts w:hint="default" w:ascii="Times New Roman" w:hAnsi="Times New Roman" w:cs="Times New Roman"/>
                <w:caps w:val="0"/>
                <w:color w:val="FF0000"/>
                <w:spacing w:val="0"/>
                <w:position w:val="0"/>
                <w:highlight w:val="none"/>
                <w:lang w:val="en-US" w:eastAsia="zh-CN"/>
              </w:rPr>
            </w:pPr>
            <w:r>
              <w:rPr>
                <w:rFonts w:hint="default" w:ascii="Times New Roman" w:hAnsi="Times New Roman" w:cs="Times New Roman"/>
                <w:caps w:val="0"/>
                <w:color w:val="FF0000"/>
                <w:spacing w:val="0"/>
                <w:position w:val="0"/>
                <w:highlight w:val="none"/>
                <w:lang w:val="en-US" w:eastAsia="zh-CN"/>
              </w:rPr>
              <w:t>噪声源调查</w:t>
            </w:r>
          </w:p>
        </w:tc>
        <w:tc>
          <w:tcPr>
            <w:tcW w:w="1670" w:type="dxa"/>
            <w:tcBorders>
              <w:tl2br w:val="nil"/>
              <w:tr2bl w:val="nil"/>
            </w:tcBorders>
            <w:noWrap w:val="0"/>
            <w:vAlign w:val="center"/>
          </w:tcPr>
          <w:p w14:paraId="3E2A8631">
            <w:pPr>
              <w:pStyle w:val="42"/>
              <w:bidi w:val="0"/>
              <w:rPr>
                <w:rFonts w:hint="default" w:ascii="Times New Roman" w:hAnsi="Times New Roman" w:cs="Times New Roman"/>
                <w:caps w:val="0"/>
                <w:color w:val="FF0000"/>
                <w:spacing w:val="0"/>
                <w:position w:val="0"/>
                <w:highlight w:val="none"/>
                <w:lang w:val="en-US" w:eastAsia="zh-CN"/>
              </w:rPr>
            </w:pPr>
            <w:r>
              <w:rPr>
                <w:rFonts w:hint="default" w:ascii="Times New Roman" w:hAnsi="Times New Roman" w:cs="Times New Roman"/>
                <w:caps w:val="0"/>
                <w:color w:val="FF0000"/>
                <w:spacing w:val="0"/>
                <w:position w:val="0"/>
                <w:highlight w:val="none"/>
                <w:lang w:val="en-US" w:eastAsia="zh-CN"/>
              </w:rPr>
              <w:t>噪声源调查方法</w:t>
            </w:r>
          </w:p>
        </w:tc>
        <w:tc>
          <w:tcPr>
            <w:tcW w:w="6384" w:type="dxa"/>
            <w:gridSpan w:val="9"/>
            <w:tcBorders>
              <w:tl2br w:val="nil"/>
              <w:tr2bl w:val="nil"/>
            </w:tcBorders>
            <w:noWrap w:val="0"/>
            <w:vAlign w:val="center"/>
          </w:tcPr>
          <w:p w14:paraId="4D23611F">
            <w:pPr>
              <w:pStyle w:val="42"/>
              <w:bidi w:val="0"/>
              <w:rPr>
                <w:rFonts w:hint="default" w:ascii="Times New Roman" w:hAnsi="Times New Roman" w:cs="Times New Roman"/>
                <w:caps w:val="0"/>
                <w:color w:val="FF0000"/>
                <w:spacing w:val="0"/>
                <w:position w:val="0"/>
                <w:highlight w:val="none"/>
              </w:rPr>
            </w:pPr>
            <w:r>
              <w:rPr>
                <w:rFonts w:hint="default" w:ascii="Times New Roman" w:hAnsi="Times New Roman" w:cs="Times New Roman"/>
                <w:caps w:val="0"/>
                <w:color w:val="FF0000"/>
                <w:spacing w:val="0"/>
                <w:position w:val="0"/>
                <w:highlight w:val="none"/>
                <w:lang w:eastAsia="zh-CN"/>
              </w:rPr>
              <w:t>现场实测□</w:t>
            </w:r>
            <w:r>
              <w:rPr>
                <w:rFonts w:hint="default" w:ascii="Times New Roman" w:hAnsi="Times New Roman" w:cs="Times New Roman"/>
                <w:caps w:val="0"/>
                <w:color w:val="FF0000"/>
                <w:spacing w:val="0"/>
                <w:position w:val="0"/>
                <w:highlight w:val="none"/>
                <w:lang w:val="en-US" w:eastAsia="zh-CN"/>
              </w:rPr>
              <w:t xml:space="preserve">         </w:t>
            </w:r>
            <w:r>
              <w:rPr>
                <w:rFonts w:hint="default" w:ascii="Times New Roman" w:hAnsi="Times New Roman" w:cs="Times New Roman"/>
                <w:caps w:val="0"/>
                <w:color w:val="FF0000"/>
                <w:spacing w:val="0"/>
                <w:position w:val="0"/>
                <w:highlight w:val="none"/>
                <w:lang w:eastAsia="zh-CN"/>
              </w:rPr>
              <w:t>已有资料</w:t>
            </w:r>
            <w:r>
              <w:rPr>
                <w:rFonts w:hint="default" w:ascii="Times New Roman" w:hAnsi="Times New Roman" w:cs="Times New Roman"/>
                <w:caps w:val="0"/>
                <w:color w:val="FF0000"/>
                <w:spacing w:val="0"/>
                <w:position w:val="0"/>
                <w:highlight w:val="none"/>
                <w:lang w:eastAsia="zh-CN"/>
              </w:rPr>
              <w:sym w:font="Wingdings 2" w:char="0052"/>
            </w:r>
            <w:r>
              <w:rPr>
                <w:rFonts w:hint="default" w:ascii="Times New Roman" w:hAnsi="Times New Roman" w:cs="Times New Roman"/>
                <w:caps w:val="0"/>
                <w:color w:val="FF0000"/>
                <w:spacing w:val="0"/>
                <w:position w:val="0"/>
                <w:highlight w:val="none"/>
                <w:lang w:val="en-US" w:eastAsia="zh-CN"/>
              </w:rPr>
              <w:t xml:space="preserve">         </w:t>
            </w:r>
            <w:r>
              <w:rPr>
                <w:rFonts w:hint="default" w:ascii="Times New Roman" w:hAnsi="Times New Roman" w:cs="Times New Roman"/>
                <w:caps w:val="0"/>
                <w:color w:val="FF0000"/>
                <w:spacing w:val="0"/>
                <w:position w:val="0"/>
                <w:highlight w:val="none"/>
                <w:lang w:eastAsia="zh-CN"/>
              </w:rPr>
              <w:t>研究成果</w:t>
            </w:r>
            <w:r>
              <w:rPr>
                <w:rFonts w:hint="default" w:ascii="Times New Roman" w:hAnsi="Times New Roman" w:cs="Times New Roman"/>
                <w:caps w:val="0"/>
                <w:color w:val="FF0000"/>
                <w:spacing w:val="0"/>
                <w:position w:val="0"/>
                <w:highlight w:val="none"/>
              </w:rPr>
              <w:t>□</w:t>
            </w:r>
          </w:p>
        </w:tc>
      </w:tr>
      <w:tr w14:paraId="146DB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9" w:hRule="atLeast"/>
          <w:jc w:val="center"/>
        </w:trPr>
        <w:tc>
          <w:tcPr>
            <w:tcW w:w="1291" w:type="dxa"/>
            <w:vMerge w:val="restart"/>
            <w:tcBorders>
              <w:tl2br w:val="nil"/>
              <w:tr2bl w:val="nil"/>
            </w:tcBorders>
            <w:noWrap w:val="0"/>
            <w:vAlign w:val="center"/>
          </w:tcPr>
          <w:p w14:paraId="2B6920B7">
            <w:pPr>
              <w:pStyle w:val="42"/>
              <w:bidi w:val="0"/>
              <w:rPr>
                <w:rFonts w:hint="default" w:ascii="Times New Roman" w:hAnsi="Times New Roman" w:cs="Times New Roman"/>
                <w:caps w:val="0"/>
                <w:color w:val="FF0000"/>
                <w:spacing w:val="0"/>
                <w:position w:val="0"/>
                <w:highlight w:val="none"/>
                <w:lang w:val="en-US" w:eastAsia="zh-CN"/>
              </w:rPr>
            </w:pPr>
            <w:r>
              <w:rPr>
                <w:rFonts w:hint="default" w:ascii="Times New Roman" w:hAnsi="Times New Roman" w:cs="Times New Roman"/>
                <w:caps w:val="0"/>
                <w:color w:val="FF0000"/>
                <w:spacing w:val="0"/>
                <w:position w:val="0"/>
                <w:highlight w:val="none"/>
                <w:lang w:val="en-US" w:eastAsia="zh-CN"/>
              </w:rPr>
              <w:t>声环境影响预测与评价</w:t>
            </w:r>
          </w:p>
        </w:tc>
        <w:tc>
          <w:tcPr>
            <w:tcW w:w="1670" w:type="dxa"/>
            <w:tcBorders>
              <w:tl2br w:val="nil"/>
              <w:tr2bl w:val="nil"/>
            </w:tcBorders>
            <w:noWrap w:val="0"/>
            <w:vAlign w:val="center"/>
          </w:tcPr>
          <w:p w14:paraId="147B1F48">
            <w:pPr>
              <w:pStyle w:val="42"/>
              <w:bidi w:val="0"/>
              <w:rPr>
                <w:rFonts w:hint="default" w:ascii="Times New Roman" w:hAnsi="Times New Roman" w:cs="Times New Roman"/>
                <w:caps w:val="0"/>
                <w:color w:val="FF0000"/>
                <w:spacing w:val="0"/>
                <w:position w:val="0"/>
                <w:highlight w:val="none"/>
                <w:lang w:val="en-US" w:eastAsia="zh-CN"/>
              </w:rPr>
            </w:pPr>
            <w:r>
              <w:rPr>
                <w:rFonts w:hint="default" w:ascii="Times New Roman" w:hAnsi="Times New Roman" w:cs="Times New Roman"/>
                <w:caps w:val="0"/>
                <w:color w:val="FF0000"/>
                <w:spacing w:val="0"/>
                <w:position w:val="0"/>
                <w:highlight w:val="none"/>
                <w:lang w:val="en-US" w:eastAsia="zh-CN"/>
              </w:rPr>
              <w:t>预测模型</w:t>
            </w:r>
          </w:p>
        </w:tc>
        <w:tc>
          <w:tcPr>
            <w:tcW w:w="6384" w:type="dxa"/>
            <w:gridSpan w:val="9"/>
            <w:tcBorders>
              <w:tl2br w:val="nil"/>
              <w:tr2bl w:val="nil"/>
            </w:tcBorders>
            <w:noWrap w:val="0"/>
            <w:vAlign w:val="center"/>
          </w:tcPr>
          <w:p w14:paraId="5820903F">
            <w:pPr>
              <w:pStyle w:val="42"/>
              <w:bidi w:val="0"/>
              <w:rPr>
                <w:rFonts w:hint="default" w:ascii="Times New Roman" w:hAnsi="Times New Roman" w:cs="Times New Roman"/>
                <w:caps w:val="0"/>
                <w:color w:val="FF0000"/>
                <w:spacing w:val="0"/>
                <w:position w:val="0"/>
                <w:highlight w:val="none"/>
              </w:rPr>
            </w:pPr>
            <w:r>
              <w:rPr>
                <w:rFonts w:hint="default" w:ascii="Times New Roman" w:hAnsi="Times New Roman" w:cs="Times New Roman"/>
                <w:caps w:val="0"/>
                <w:color w:val="FF0000"/>
                <w:spacing w:val="0"/>
                <w:position w:val="0"/>
                <w:highlight w:val="none"/>
                <w:lang w:eastAsia="zh-CN"/>
              </w:rPr>
              <w:t>导则推荐模型</w:t>
            </w:r>
            <w:r>
              <w:rPr>
                <w:rFonts w:hint="default" w:ascii="Times New Roman" w:hAnsi="Times New Roman" w:cs="Times New Roman"/>
                <w:caps w:val="0"/>
                <w:color w:val="FF0000"/>
                <w:spacing w:val="0"/>
                <w:position w:val="0"/>
                <w:highlight w:val="none"/>
                <w:lang w:eastAsia="zh-CN"/>
              </w:rPr>
              <w:sym w:font="Wingdings 2" w:char="0052"/>
            </w:r>
            <w:r>
              <w:rPr>
                <w:rFonts w:hint="default" w:ascii="Times New Roman" w:hAnsi="Times New Roman" w:cs="Times New Roman"/>
                <w:caps w:val="0"/>
                <w:color w:val="FF0000"/>
                <w:spacing w:val="0"/>
                <w:position w:val="0"/>
                <w:highlight w:val="none"/>
                <w:lang w:val="en-US" w:eastAsia="zh-CN"/>
              </w:rPr>
              <w:t xml:space="preserve">              </w:t>
            </w:r>
            <w:r>
              <w:rPr>
                <w:rFonts w:hint="default" w:ascii="Times New Roman" w:hAnsi="Times New Roman" w:cs="Times New Roman"/>
                <w:caps w:val="0"/>
                <w:color w:val="FF0000"/>
                <w:spacing w:val="0"/>
                <w:position w:val="0"/>
                <w:highlight w:val="none"/>
              </w:rPr>
              <w:t>其他□</w:t>
            </w:r>
            <w:r>
              <w:rPr>
                <w:rFonts w:hint="default" w:ascii="Times New Roman" w:hAnsi="Times New Roman" w:cs="Times New Roman"/>
                <w:caps w:val="0"/>
                <w:color w:val="FF0000"/>
                <w:spacing w:val="0"/>
                <w:position w:val="0"/>
                <w:highlight w:val="none"/>
                <w:lang w:val="en-US" w:eastAsia="zh-CN"/>
              </w:rPr>
              <w:t xml:space="preserve">             </w:t>
            </w:r>
          </w:p>
        </w:tc>
      </w:tr>
      <w:tr w14:paraId="2A5AF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0" w:hRule="atLeast"/>
          <w:jc w:val="center"/>
        </w:trPr>
        <w:tc>
          <w:tcPr>
            <w:tcW w:w="1291" w:type="dxa"/>
            <w:vMerge w:val="continue"/>
            <w:tcBorders>
              <w:tl2br w:val="nil"/>
              <w:tr2bl w:val="nil"/>
            </w:tcBorders>
            <w:noWrap w:val="0"/>
            <w:vAlign w:val="center"/>
          </w:tcPr>
          <w:p w14:paraId="5337F3EF">
            <w:pPr>
              <w:pStyle w:val="42"/>
              <w:bidi w:val="0"/>
              <w:rPr>
                <w:rFonts w:hint="default" w:ascii="Times New Roman" w:hAnsi="Times New Roman" w:cs="Times New Roman"/>
                <w:caps w:val="0"/>
                <w:color w:val="FF0000"/>
                <w:spacing w:val="0"/>
                <w:position w:val="0"/>
                <w:highlight w:val="none"/>
              </w:rPr>
            </w:pPr>
          </w:p>
        </w:tc>
        <w:tc>
          <w:tcPr>
            <w:tcW w:w="1670" w:type="dxa"/>
            <w:tcBorders>
              <w:tl2br w:val="nil"/>
              <w:tr2bl w:val="nil"/>
            </w:tcBorders>
            <w:noWrap w:val="0"/>
            <w:vAlign w:val="center"/>
          </w:tcPr>
          <w:p w14:paraId="20A1FB90">
            <w:pPr>
              <w:pStyle w:val="42"/>
              <w:bidi w:val="0"/>
              <w:rPr>
                <w:rFonts w:hint="default" w:ascii="Times New Roman" w:hAnsi="Times New Roman" w:cs="Times New Roman"/>
                <w:caps w:val="0"/>
                <w:color w:val="FF0000"/>
                <w:spacing w:val="0"/>
                <w:position w:val="0"/>
                <w:highlight w:val="none"/>
                <w:lang w:val="en-US" w:eastAsia="zh-CN"/>
              </w:rPr>
            </w:pPr>
            <w:r>
              <w:rPr>
                <w:rFonts w:hint="default" w:ascii="Times New Roman" w:hAnsi="Times New Roman" w:cs="Times New Roman"/>
                <w:caps w:val="0"/>
                <w:color w:val="FF0000"/>
                <w:spacing w:val="0"/>
                <w:position w:val="0"/>
                <w:highlight w:val="none"/>
                <w:lang w:val="en-US" w:eastAsia="zh-CN"/>
              </w:rPr>
              <w:t>预测范围</w:t>
            </w:r>
          </w:p>
        </w:tc>
        <w:tc>
          <w:tcPr>
            <w:tcW w:w="6384" w:type="dxa"/>
            <w:gridSpan w:val="9"/>
            <w:tcBorders>
              <w:tl2br w:val="nil"/>
              <w:tr2bl w:val="nil"/>
            </w:tcBorders>
            <w:noWrap w:val="0"/>
            <w:vAlign w:val="center"/>
          </w:tcPr>
          <w:p w14:paraId="567551EF">
            <w:pPr>
              <w:pStyle w:val="42"/>
              <w:bidi w:val="0"/>
              <w:rPr>
                <w:rFonts w:hint="default" w:ascii="Times New Roman" w:hAnsi="Times New Roman" w:cs="Times New Roman"/>
                <w:caps w:val="0"/>
                <w:color w:val="FF0000"/>
                <w:spacing w:val="0"/>
                <w:position w:val="0"/>
                <w:highlight w:val="none"/>
              </w:rPr>
            </w:pPr>
            <w:r>
              <w:rPr>
                <w:rFonts w:hint="default" w:ascii="Times New Roman" w:hAnsi="Times New Roman" w:cs="Times New Roman"/>
                <w:caps w:val="0"/>
                <w:color w:val="FF0000"/>
                <w:spacing w:val="0"/>
                <w:position w:val="0"/>
                <w:highlight w:val="none"/>
                <w:lang w:val="en-US" w:eastAsia="zh-CN"/>
              </w:rPr>
              <w:t>200m</w:t>
            </w:r>
            <w:r>
              <w:rPr>
                <w:rFonts w:hint="eastAsia" w:ascii="Times New Roman" w:hAnsi="Times New Roman" w:cs="Times New Roman"/>
                <w:caps w:val="0"/>
                <w:color w:val="FF0000"/>
                <w:spacing w:val="0"/>
                <w:position w:val="0"/>
                <w:highlight w:val="none"/>
                <w:lang w:eastAsia="zh-CN"/>
              </w:rPr>
              <w:t>□</w:t>
            </w:r>
            <w:r>
              <w:rPr>
                <w:rFonts w:hint="default" w:ascii="Times New Roman" w:hAnsi="Times New Roman" w:cs="Times New Roman"/>
                <w:caps w:val="0"/>
                <w:color w:val="FF0000"/>
                <w:spacing w:val="0"/>
                <w:position w:val="0"/>
                <w:highlight w:val="none"/>
              </w:rPr>
              <w:t>；</w:t>
            </w:r>
            <w:r>
              <w:rPr>
                <w:rFonts w:hint="default" w:ascii="Times New Roman" w:hAnsi="Times New Roman" w:cs="Times New Roman"/>
                <w:caps w:val="0"/>
                <w:color w:val="FF0000"/>
                <w:spacing w:val="0"/>
                <w:position w:val="0"/>
                <w:highlight w:val="none"/>
                <w:lang w:val="en-US" w:eastAsia="zh-CN"/>
              </w:rPr>
              <w:t xml:space="preserve">    大于200m</w:t>
            </w:r>
            <w:r>
              <w:rPr>
                <w:rFonts w:hint="default" w:ascii="Times New Roman" w:hAnsi="Times New Roman" w:cs="Times New Roman"/>
                <w:caps w:val="0"/>
                <w:color w:val="FF0000"/>
                <w:spacing w:val="0"/>
                <w:position w:val="0"/>
                <w:highlight w:val="none"/>
                <w:lang w:eastAsia="zh-CN"/>
              </w:rPr>
              <w:t>□</w:t>
            </w:r>
            <w:r>
              <w:rPr>
                <w:rFonts w:hint="default" w:ascii="Times New Roman" w:hAnsi="Times New Roman" w:cs="Times New Roman"/>
                <w:caps w:val="0"/>
                <w:color w:val="FF0000"/>
                <w:spacing w:val="0"/>
                <w:position w:val="0"/>
                <w:highlight w:val="none"/>
              </w:rPr>
              <w:t>；</w:t>
            </w:r>
            <w:r>
              <w:rPr>
                <w:rFonts w:hint="default" w:ascii="Times New Roman" w:hAnsi="Times New Roman" w:cs="Times New Roman"/>
                <w:caps w:val="0"/>
                <w:color w:val="FF0000"/>
                <w:spacing w:val="0"/>
                <w:position w:val="0"/>
                <w:highlight w:val="none"/>
                <w:lang w:val="en-US" w:eastAsia="zh-CN"/>
              </w:rPr>
              <w:t xml:space="preserve">   小于200m</w:t>
            </w:r>
            <w:r>
              <w:rPr>
                <w:rFonts w:hint="default" w:ascii="Times New Roman" w:hAnsi="Times New Roman" w:cs="Times New Roman"/>
                <w:caps w:val="0"/>
                <w:color w:val="FF0000"/>
                <w:spacing w:val="0"/>
                <w:position w:val="0"/>
                <w:highlight w:val="none"/>
                <w:lang w:eastAsia="zh-CN"/>
              </w:rPr>
              <w:sym w:font="Wingdings 2" w:char="0052"/>
            </w:r>
          </w:p>
        </w:tc>
      </w:tr>
      <w:tr w14:paraId="651F0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0" w:hRule="atLeast"/>
          <w:jc w:val="center"/>
        </w:trPr>
        <w:tc>
          <w:tcPr>
            <w:tcW w:w="1291" w:type="dxa"/>
            <w:vMerge w:val="continue"/>
            <w:tcBorders>
              <w:tl2br w:val="nil"/>
              <w:tr2bl w:val="nil"/>
            </w:tcBorders>
            <w:noWrap w:val="0"/>
            <w:vAlign w:val="center"/>
          </w:tcPr>
          <w:p w14:paraId="76165A33">
            <w:pPr>
              <w:pStyle w:val="42"/>
              <w:bidi w:val="0"/>
              <w:rPr>
                <w:rFonts w:hint="default" w:ascii="Times New Roman" w:hAnsi="Times New Roman" w:cs="Times New Roman"/>
                <w:caps w:val="0"/>
                <w:color w:val="FF0000"/>
                <w:spacing w:val="0"/>
                <w:position w:val="0"/>
                <w:highlight w:val="none"/>
              </w:rPr>
            </w:pPr>
          </w:p>
        </w:tc>
        <w:tc>
          <w:tcPr>
            <w:tcW w:w="1670" w:type="dxa"/>
            <w:tcBorders>
              <w:tl2br w:val="nil"/>
              <w:tr2bl w:val="nil"/>
            </w:tcBorders>
            <w:noWrap w:val="0"/>
            <w:vAlign w:val="center"/>
          </w:tcPr>
          <w:p w14:paraId="5A296738">
            <w:pPr>
              <w:pStyle w:val="42"/>
              <w:bidi w:val="0"/>
              <w:rPr>
                <w:rFonts w:hint="default" w:ascii="Times New Roman" w:hAnsi="Times New Roman" w:cs="Times New Roman"/>
                <w:caps w:val="0"/>
                <w:color w:val="FF0000"/>
                <w:spacing w:val="0"/>
                <w:position w:val="0"/>
                <w:highlight w:val="none"/>
                <w:lang w:val="en-US" w:eastAsia="zh-CN"/>
              </w:rPr>
            </w:pPr>
            <w:r>
              <w:rPr>
                <w:rFonts w:hint="default" w:ascii="Times New Roman" w:hAnsi="Times New Roman" w:cs="Times New Roman"/>
                <w:caps w:val="0"/>
                <w:color w:val="FF0000"/>
                <w:spacing w:val="0"/>
                <w:position w:val="0"/>
                <w:highlight w:val="none"/>
                <w:lang w:val="en-US" w:eastAsia="zh-CN"/>
              </w:rPr>
              <w:t>预测因子</w:t>
            </w:r>
          </w:p>
        </w:tc>
        <w:tc>
          <w:tcPr>
            <w:tcW w:w="6384" w:type="dxa"/>
            <w:gridSpan w:val="9"/>
            <w:tcBorders>
              <w:tl2br w:val="nil"/>
              <w:tr2bl w:val="nil"/>
            </w:tcBorders>
            <w:noWrap w:val="0"/>
            <w:vAlign w:val="center"/>
          </w:tcPr>
          <w:p w14:paraId="78D69E97">
            <w:pPr>
              <w:pStyle w:val="42"/>
              <w:bidi w:val="0"/>
              <w:rPr>
                <w:rFonts w:hint="default" w:ascii="Times New Roman" w:hAnsi="Times New Roman" w:cs="Times New Roman"/>
                <w:caps w:val="0"/>
                <w:color w:val="FF0000"/>
                <w:spacing w:val="0"/>
                <w:position w:val="0"/>
                <w:highlight w:val="none"/>
                <w:lang w:val="en-US" w:eastAsia="zh-CN"/>
              </w:rPr>
            </w:pPr>
            <w:r>
              <w:rPr>
                <w:rFonts w:hint="default" w:ascii="Times New Roman" w:hAnsi="Times New Roman" w:cs="Times New Roman"/>
                <w:caps w:val="0"/>
                <w:color w:val="FF0000"/>
                <w:spacing w:val="0"/>
                <w:position w:val="0"/>
                <w:highlight w:val="none"/>
                <w:lang w:val="en-US" w:eastAsia="zh-CN"/>
              </w:rPr>
              <w:t>等效连续A声级</w:t>
            </w:r>
            <w:r>
              <w:rPr>
                <w:rFonts w:hint="default" w:ascii="Times New Roman" w:hAnsi="Times New Roman" w:cs="Times New Roman"/>
                <w:caps w:val="0"/>
                <w:color w:val="FF0000"/>
                <w:spacing w:val="0"/>
                <w:position w:val="0"/>
                <w:highlight w:val="none"/>
                <w:lang w:eastAsia="zh-CN"/>
              </w:rPr>
              <w:sym w:font="Wingdings 2" w:char="0052"/>
            </w:r>
            <w:r>
              <w:rPr>
                <w:rFonts w:hint="default" w:ascii="Times New Roman" w:hAnsi="Times New Roman" w:cs="Times New Roman"/>
                <w:caps w:val="0"/>
                <w:color w:val="FF0000"/>
                <w:spacing w:val="0"/>
                <w:position w:val="0"/>
                <w:highlight w:val="none"/>
              </w:rPr>
              <w:t>；</w:t>
            </w:r>
            <w:r>
              <w:rPr>
                <w:rFonts w:hint="default" w:ascii="Times New Roman" w:hAnsi="Times New Roman" w:cs="Times New Roman"/>
                <w:caps w:val="0"/>
                <w:color w:val="FF0000"/>
                <w:spacing w:val="0"/>
                <w:position w:val="0"/>
                <w:highlight w:val="none"/>
                <w:lang w:val="en-US" w:eastAsia="zh-CN"/>
              </w:rPr>
              <w:t>最大A声级</w:t>
            </w:r>
            <w:r>
              <w:rPr>
                <w:rFonts w:hint="default" w:ascii="Times New Roman" w:hAnsi="Times New Roman" w:cs="Times New Roman"/>
                <w:caps w:val="0"/>
                <w:color w:val="FF0000"/>
                <w:spacing w:val="0"/>
                <w:position w:val="0"/>
                <w:highlight w:val="none"/>
                <w:lang w:eastAsia="zh-CN"/>
              </w:rPr>
              <w:t>□</w:t>
            </w:r>
            <w:r>
              <w:rPr>
                <w:rFonts w:hint="default" w:ascii="Times New Roman" w:hAnsi="Times New Roman" w:cs="Times New Roman"/>
                <w:caps w:val="0"/>
                <w:color w:val="FF0000"/>
                <w:spacing w:val="0"/>
                <w:position w:val="0"/>
                <w:highlight w:val="none"/>
              </w:rPr>
              <w:t>；</w:t>
            </w:r>
            <w:r>
              <w:rPr>
                <w:rFonts w:hint="default" w:ascii="Times New Roman" w:hAnsi="Times New Roman" w:cs="Times New Roman"/>
                <w:caps w:val="0"/>
                <w:color w:val="FF0000"/>
                <w:spacing w:val="0"/>
                <w:position w:val="0"/>
                <w:highlight w:val="none"/>
                <w:lang w:val="en-US" w:eastAsia="zh-CN"/>
              </w:rPr>
              <w:t>计权等效连续感觉噪声级</w:t>
            </w:r>
            <w:r>
              <w:rPr>
                <w:rFonts w:hint="default" w:ascii="Times New Roman" w:hAnsi="Times New Roman" w:cs="Times New Roman"/>
                <w:caps w:val="0"/>
                <w:color w:val="FF0000"/>
                <w:spacing w:val="0"/>
                <w:position w:val="0"/>
                <w:highlight w:val="none"/>
                <w:lang w:eastAsia="zh-CN"/>
              </w:rPr>
              <w:t>□</w:t>
            </w:r>
          </w:p>
        </w:tc>
      </w:tr>
      <w:tr w14:paraId="17B1C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9" w:hRule="atLeast"/>
          <w:jc w:val="center"/>
        </w:trPr>
        <w:tc>
          <w:tcPr>
            <w:tcW w:w="1291" w:type="dxa"/>
            <w:vMerge w:val="continue"/>
            <w:tcBorders>
              <w:tl2br w:val="nil"/>
              <w:tr2bl w:val="nil"/>
            </w:tcBorders>
            <w:noWrap w:val="0"/>
            <w:vAlign w:val="center"/>
          </w:tcPr>
          <w:p w14:paraId="50631FD4">
            <w:pPr>
              <w:pStyle w:val="42"/>
              <w:bidi w:val="0"/>
              <w:rPr>
                <w:rFonts w:hint="default" w:ascii="Times New Roman" w:hAnsi="Times New Roman" w:cs="Times New Roman"/>
                <w:caps w:val="0"/>
                <w:color w:val="FF0000"/>
                <w:spacing w:val="0"/>
                <w:position w:val="0"/>
                <w:highlight w:val="none"/>
              </w:rPr>
            </w:pPr>
          </w:p>
        </w:tc>
        <w:tc>
          <w:tcPr>
            <w:tcW w:w="1670" w:type="dxa"/>
            <w:tcBorders>
              <w:tl2br w:val="nil"/>
              <w:tr2bl w:val="nil"/>
            </w:tcBorders>
            <w:noWrap w:val="0"/>
            <w:vAlign w:val="center"/>
          </w:tcPr>
          <w:p w14:paraId="14B13547">
            <w:pPr>
              <w:pStyle w:val="42"/>
              <w:bidi w:val="0"/>
              <w:rPr>
                <w:rFonts w:hint="default" w:ascii="Times New Roman" w:hAnsi="Times New Roman" w:cs="Times New Roman"/>
                <w:caps w:val="0"/>
                <w:color w:val="FF0000"/>
                <w:spacing w:val="0"/>
                <w:position w:val="0"/>
                <w:highlight w:val="none"/>
                <w:lang w:val="en-US" w:eastAsia="zh-CN"/>
              </w:rPr>
            </w:pPr>
            <w:r>
              <w:rPr>
                <w:rFonts w:hint="default" w:ascii="Times New Roman" w:hAnsi="Times New Roman" w:cs="Times New Roman"/>
                <w:caps w:val="0"/>
                <w:color w:val="FF0000"/>
                <w:spacing w:val="0"/>
                <w:position w:val="0"/>
                <w:highlight w:val="none"/>
                <w:lang w:val="en-US" w:eastAsia="zh-CN"/>
              </w:rPr>
              <w:t>厂界噪声贡献值</w:t>
            </w:r>
          </w:p>
        </w:tc>
        <w:tc>
          <w:tcPr>
            <w:tcW w:w="6384" w:type="dxa"/>
            <w:gridSpan w:val="9"/>
            <w:tcBorders>
              <w:tl2br w:val="nil"/>
              <w:tr2bl w:val="nil"/>
            </w:tcBorders>
            <w:noWrap w:val="0"/>
            <w:vAlign w:val="center"/>
          </w:tcPr>
          <w:p w14:paraId="2EAF7AA7">
            <w:pPr>
              <w:pStyle w:val="42"/>
              <w:bidi w:val="0"/>
              <w:rPr>
                <w:rFonts w:hint="default" w:ascii="Times New Roman" w:hAnsi="Times New Roman" w:cs="Times New Roman"/>
                <w:caps w:val="0"/>
                <w:color w:val="FF0000"/>
                <w:spacing w:val="0"/>
                <w:position w:val="0"/>
                <w:highlight w:val="none"/>
              </w:rPr>
            </w:pPr>
            <w:r>
              <w:rPr>
                <w:rFonts w:hint="default" w:ascii="Times New Roman" w:hAnsi="Times New Roman" w:cs="Times New Roman"/>
                <w:caps w:val="0"/>
                <w:color w:val="FF0000"/>
                <w:spacing w:val="0"/>
                <w:position w:val="0"/>
                <w:highlight w:val="none"/>
                <w:lang w:val="en-US" w:eastAsia="zh-CN"/>
              </w:rPr>
              <w:t>达标</w:t>
            </w:r>
            <w:r>
              <w:rPr>
                <w:rFonts w:hint="default" w:ascii="Times New Roman" w:hAnsi="Times New Roman" w:cs="Times New Roman"/>
                <w:caps w:val="0"/>
                <w:color w:val="FF0000"/>
                <w:spacing w:val="0"/>
                <w:position w:val="0"/>
                <w:highlight w:val="none"/>
                <w:lang w:eastAsia="zh-CN"/>
              </w:rPr>
              <w:sym w:font="Wingdings 2" w:char="0052"/>
            </w:r>
            <w:r>
              <w:rPr>
                <w:rFonts w:hint="default" w:ascii="Times New Roman" w:hAnsi="Times New Roman" w:cs="Times New Roman"/>
                <w:caps w:val="0"/>
                <w:color w:val="FF0000"/>
                <w:spacing w:val="0"/>
                <w:position w:val="0"/>
                <w:highlight w:val="none"/>
              </w:rPr>
              <w:t>；</w:t>
            </w:r>
            <w:r>
              <w:rPr>
                <w:rFonts w:hint="default" w:ascii="Times New Roman" w:hAnsi="Times New Roman" w:cs="Times New Roman"/>
                <w:caps w:val="0"/>
                <w:color w:val="FF0000"/>
                <w:spacing w:val="0"/>
                <w:position w:val="0"/>
                <w:highlight w:val="none"/>
                <w:lang w:val="en-US" w:eastAsia="zh-CN"/>
              </w:rPr>
              <w:t>不达标</w:t>
            </w:r>
            <w:r>
              <w:rPr>
                <w:rFonts w:hint="default" w:ascii="Times New Roman" w:hAnsi="Times New Roman" w:cs="Times New Roman"/>
                <w:caps w:val="0"/>
                <w:color w:val="FF0000"/>
                <w:spacing w:val="0"/>
                <w:position w:val="0"/>
                <w:highlight w:val="none"/>
              </w:rPr>
              <w:sym w:font="Wingdings 2" w:char="00A3"/>
            </w:r>
          </w:p>
        </w:tc>
      </w:tr>
      <w:tr w14:paraId="26B01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9" w:hRule="atLeast"/>
          <w:jc w:val="center"/>
        </w:trPr>
        <w:tc>
          <w:tcPr>
            <w:tcW w:w="1291" w:type="dxa"/>
            <w:vMerge w:val="continue"/>
            <w:tcBorders>
              <w:tl2br w:val="nil"/>
              <w:tr2bl w:val="nil"/>
            </w:tcBorders>
            <w:noWrap w:val="0"/>
            <w:vAlign w:val="center"/>
          </w:tcPr>
          <w:p w14:paraId="286EA72C">
            <w:pPr>
              <w:pStyle w:val="42"/>
              <w:bidi w:val="0"/>
              <w:rPr>
                <w:rFonts w:hint="default" w:ascii="Times New Roman" w:hAnsi="Times New Roman" w:cs="Times New Roman"/>
                <w:caps w:val="0"/>
                <w:color w:val="FF0000"/>
                <w:spacing w:val="0"/>
                <w:position w:val="0"/>
                <w:highlight w:val="none"/>
              </w:rPr>
            </w:pPr>
          </w:p>
        </w:tc>
        <w:tc>
          <w:tcPr>
            <w:tcW w:w="1670" w:type="dxa"/>
            <w:tcBorders>
              <w:tl2br w:val="nil"/>
              <w:tr2bl w:val="nil"/>
            </w:tcBorders>
            <w:noWrap w:val="0"/>
            <w:vAlign w:val="center"/>
          </w:tcPr>
          <w:p w14:paraId="7F8332F4">
            <w:pPr>
              <w:pStyle w:val="42"/>
              <w:bidi w:val="0"/>
              <w:rPr>
                <w:rFonts w:hint="default" w:ascii="Times New Roman" w:hAnsi="Times New Roman" w:cs="Times New Roman"/>
                <w:caps w:val="0"/>
                <w:color w:val="FF0000"/>
                <w:spacing w:val="0"/>
                <w:position w:val="0"/>
                <w:highlight w:val="none"/>
                <w:lang w:val="en-US" w:eastAsia="zh-CN"/>
              </w:rPr>
            </w:pPr>
            <w:r>
              <w:rPr>
                <w:rFonts w:hint="default" w:ascii="Times New Roman" w:hAnsi="Times New Roman" w:cs="Times New Roman"/>
                <w:caps w:val="0"/>
                <w:color w:val="FF0000"/>
                <w:spacing w:val="0"/>
                <w:position w:val="0"/>
                <w:highlight w:val="none"/>
                <w:lang w:val="en-US" w:eastAsia="zh-CN"/>
              </w:rPr>
              <w:t>声环境保护目标处噪声值</w:t>
            </w:r>
          </w:p>
        </w:tc>
        <w:tc>
          <w:tcPr>
            <w:tcW w:w="6384" w:type="dxa"/>
            <w:gridSpan w:val="9"/>
            <w:tcBorders>
              <w:tl2br w:val="nil"/>
              <w:tr2bl w:val="nil"/>
            </w:tcBorders>
            <w:noWrap w:val="0"/>
            <w:vAlign w:val="center"/>
          </w:tcPr>
          <w:p w14:paraId="5F6439C9">
            <w:pPr>
              <w:pStyle w:val="42"/>
              <w:bidi w:val="0"/>
              <w:rPr>
                <w:rFonts w:hint="default" w:ascii="Times New Roman" w:hAnsi="Times New Roman" w:cs="Times New Roman"/>
                <w:caps w:val="0"/>
                <w:color w:val="FF0000"/>
                <w:spacing w:val="0"/>
                <w:position w:val="0"/>
                <w:highlight w:val="none"/>
                <w:lang w:val="en-US" w:eastAsia="zh-CN"/>
              </w:rPr>
            </w:pPr>
            <w:r>
              <w:rPr>
                <w:rFonts w:hint="default" w:ascii="Times New Roman" w:hAnsi="Times New Roman" w:cs="Times New Roman"/>
                <w:caps w:val="0"/>
                <w:color w:val="FF0000"/>
                <w:spacing w:val="0"/>
                <w:position w:val="0"/>
                <w:highlight w:val="none"/>
                <w:lang w:val="en-US" w:eastAsia="zh-CN"/>
              </w:rPr>
              <w:t>达标</w:t>
            </w:r>
            <w:r>
              <w:rPr>
                <w:rFonts w:hint="default" w:ascii="Times New Roman" w:hAnsi="Times New Roman" w:cs="Times New Roman"/>
                <w:caps w:val="0"/>
                <w:color w:val="FF0000"/>
                <w:spacing w:val="0"/>
                <w:position w:val="0"/>
                <w:highlight w:val="none"/>
                <w:lang w:eastAsia="zh-CN"/>
              </w:rPr>
              <w:t>□</w:t>
            </w:r>
            <w:r>
              <w:rPr>
                <w:rFonts w:hint="default" w:ascii="Times New Roman" w:hAnsi="Times New Roman" w:cs="Times New Roman"/>
                <w:caps w:val="0"/>
                <w:color w:val="FF0000"/>
                <w:spacing w:val="0"/>
                <w:position w:val="0"/>
                <w:highlight w:val="none"/>
              </w:rPr>
              <w:t>；</w:t>
            </w:r>
            <w:r>
              <w:rPr>
                <w:rFonts w:hint="default" w:ascii="Times New Roman" w:hAnsi="Times New Roman" w:cs="Times New Roman"/>
                <w:caps w:val="0"/>
                <w:color w:val="FF0000"/>
                <w:spacing w:val="0"/>
                <w:position w:val="0"/>
                <w:highlight w:val="none"/>
                <w:lang w:val="en-US" w:eastAsia="zh-CN"/>
              </w:rPr>
              <w:t>不达标</w:t>
            </w:r>
            <w:r>
              <w:rPr>
                <w:rFonts w:hint="default" w:ascii="Times New Roman" w:hAnsi="Times New Roman" w:cs="Times New Roman"/>
                <w:caps w:val="0"/>
                <w:color w:val="FF0000"/>
                <w:spacing w:val="0"/>
                <w:position w:val="0"/>
                <w:highlight w:val="none"/>
              </w:rPr>
              <w:t>□</w:t>
            </w:r>
          </w:p>
        </w:tc>
      </w:tr>
      <w:tr w14:paraId="7348C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9" w:hRule="atLeast"/>
          <w:jc w:val="center"/>
        </w:trPr>
        <w:tc>
          <w:tcPr>
            <w:tcW w:w="1291" w:type="dxa"/>
            <w:vMerge w:val="restart"/>
            <w:tcBorders>
              <w:tl2br w:val="nil"/>
              <w:tr2bl w:val="nil"/>
            </w:tcBorders>
            <w:noWrap w:val="0"/>
            <w:vAlign w:val="center"/>
          </w:tcPr>
          <w:p w14:paraId="35CD867B">
            <w:pPr>
              <w:pStyle w:val="42"/>
              <w:bidi w:val="0"/>
              <w:rPr>
                <w:rFonts w:hint="default" w:ascii="Times New Roman" w:hAnsi="Times New Roman" w:cs="Times New Roman"/>
                <w:caps w:val="0"/>
                <w:color w:val="FF0000"/>
                <w:spacing w:val="0"/>
                <w:position w:val="0"/>
                <w:highlight w:val="none"/>
                <w:lang w:val="en-US" w:eastAsia="zh-CN"/>
              </w:rPr>
            </w:pPr>
            <w:r>
              <w:rPr>
                <w:rFonts w:hint="default" w:ascii="Times New Roman" w:hAnsi="Times New Roman" w:cs="Times New Roman"/>
                <w:caps w:val="0"/>
                <w:color w:val="FF0000"/>
                <w:spacing w:val="0"/>
                <w:position w:val="0"/>
                <w:highlight w:val="none"/>
                <w:lang w:val="en-US" w:eastAsia="zh-CN"/>
              </w:rPr>
              <w:t>环境监测计划</w:t>
            </w:r>
          </w:p>
        </w:tc>
        <w:tc>
          <w:tcPr>
            <w:tcW w:w="1670" w:type="dxa"/>
            <w:tcBorders>
              <w:tl2br w:val="nil"/>
              <w:tr2bl w:val="nil"/>
            </w:tcBorders>
            <w:noWrap w:val="0"/>
            <w:vAlign w:val="center"/>
          </w:tcPr>
          <w:p w14:paraId="78AD23FB">
            <w:pPr>
              <w:pStyle w:val="42"/>
              <w:bidi w:val="0"/>
              <w:rPr>
                <w:rFonts w:hint="default" w:ascii="Times New Roman" w:hAnsi="Times New Roman" w:cs="Times New Roman"/>
                <w:caps w:val="0"/>
                <w:color w:val="FF0000"/>
                <w:spacing w:val="0"/>
                <w:position w:val="0"/>
                <w:highlight w:val="none"/>
                <w:lang w:val="en-US" w:eastAsia="zh-CN"/>
              </w:rPr>
            </w:pPr>
            <w:r>
              <w:rPr>
                <w:rFonts w:hint="default" w:ascii="Times New Roman" w:hAnsi="Times New Roman" w:cs="Times New Roman"/>
                <w:caps w:val="0"/>
                <w:color w:val="FF0000"/>
                <w:spacing w:val="0"/>
                <w:position w:val="0"/>
                <w:highlight w:val="none"/>
                <w:lang w:val="en-US" w:eastAsia="zh-CN"/>
              </w:rPr>
              <w:t>排放监测</w:t>
            </w:r>
          </w:p>
        </w:tc>
        <w:tc>
          <w:tcPr>
            <w:tcW w:w="6384" w:type="dxa"/>
            <w:gridSpan w:val="9"/>
            <w:tcBorders>
              <w:tl2br w:val="nil"/>
              <w:tr2bl w:val="nil"/>
            </w:tcBorders>
            <w:noWrap w:val="0"/>
            <w:vAlign w:val="center"/>
          </w:tcPr>
          <w:p w14:paraId="717F8250">
            <w:pPr>
              <w:pStyle w:val="42"/>
              <w:bidi w:val="0"/>
              <w:rPr>
                <w:rFonts w:hint="default" w:ascii="Times New Roman" w:hAnsi="Times New Roman" w:cs="Times New Roman"/>
                <w:caps w:val="0"/>
                <w:color w:val="FF0000"/>
                <w:spacing w:val="0"/>
                <w:position w:val="0"/>
                <w:highlight w:val="none"/>
                <w:lang w:val="en-US" w:eastAsia="zh-CN"/>
              </w:rPr>
            </w:pPr>
            <w:r>
              <w:rPr>
                <w:rFonts w:hint="default" w:ascii="Times New Roman" w:hAnsi="Times New Roman" w:cs="Times New Roman"/>
                <w:caps w:val="0"/>
                <w:color w:val="FF0000"/>
                <w:spacing w:val="0"/>
                <w:position w:val="0"/>
                <w:highlight w:val="none"/>
                <w:lang w:val="en-US" w:eastAsia="zh-CN"/>
              </w:rPr>
              <w:t>厂界监测</w:t>
            </w:r>
            <w:r>
              <w:rPr>
                <w:rFonts w:hint="default" w:ascii="Times New Roman" w:hAnsi="Times New Roman" w:cs="Times New Roman"/>
                <w:caps w:val="0"/>
                <w:color w:val="FF0000"/>
                <w:spacing w:val="0"/>
                <w:position w:val="0"/>
                <w:highlight w:val="none"/>
                <w:lang w:eastAsia="zh-CN"/>
              </w:rPr>
              <w:sym w:font="Wingdings 2" w:char="0052"/>
            </w:r>
            <w:r>
              <w:rPr>
                <w:rFonts w:hint="default" w:ascii="Times New Roman" w:hAnsi="Times New Roman" w:cs="Times New Roman"/>
                <w:caps w:val="0"/>
                <w:color w:val="FF0000"/>
                <w:spacing w:val="0"/>
                <w:position w:val="0"/>
                <w:highlight w:val="none"/>
              </w:rPr>
              <w:t>；</w:t>
            </w:r>
            <w:r>
              <w:rPr>
                <w:rFonts w:hint="default" w:ascii="Times New Roman" w:hAnsi="Times New Roman" w:cs="Times New Roman"/>
                <w:caps w:val="0"/>
                <w:color w:val="FF0000"/>
                <w:spacing w:val="0"/>
                <w:position w:val="0"/>
                <w:highlight w:val="none"/>
                <w:lang w:val="en-US" w:eastAsia="zh-CN"/>
              </w:rPr>
              <w:t>固定位置监测</w:t>
            </w:r>
            <w:r>
              <w:rPr>
                <w:rFonts w:hint="default" w:ascii="Times New Roman" w:hAnsi="Times New Roman" w:cs="Times New Roman"/>
                <w:caps w:val="0"/>
                <w:color w:val="FF0000"/>
                <w:spacing w:val="0"/>
                <w:position w:val="0"/>
                <w:highlight w:val="none"/>
              </w:rPr>
              <w:t>□</w:t>
            </w:r>
            <w:r>
              <w:rPr>
                <w:rFonts w:hint="default" w:ascii="Times New Roman" w:hAnsi="Times New Roman" w:cs="Times New Roman"/>
                <w:caps w:val="0"/>
                <w:color w:val="FF0000"/>
                <w:spacing w:val="0"/>
                <w:position w:val="0"/>
                <w:highlight w:val="none"/>
                <w:lang w:eastAsia="zh-CN"/>
              </w:rPr>
              <w:t>；</w:t>
            </w:r>
            <w:r>
              <w:rPr>
                <w:rFonts w:hint="default" w:ascii="Times New Roman" w:hAnsi="Times New Roman" w:cs="Times New Roman"/>
                <w:caps w:val="0"/>
                <w:color w:val="FF0000"/>
                <w:spacing w:val="0"/>
                <w:position w:val="0"/>
                <w:highlight w:val="none"/>
                <w:lang w:val="en-US" w:eastAsia="zh-CN"/>
              </w:rPr>
              <w:t>自动检测</w:t>
            </w:r>
            <w:r>
              <w:rPr>
                <w:rFonts w:hint="default" w:ascii="Times New Roman" w:hAnsi="Times New Roman" w:cs="Times New Roman"/>
                <w:caps w:val="0"/>
                <w:color w:val="FF0000"/>
                <w:spacing w:val="0"/>
                <w:position w:val="0"/>
                <w:highlight w:val="none"/>
              </w:rPr>
              <w:t>□；</w:t>
            </w:r>
            <w:r>
              <w:rPr>
                <w:rFonts w:hint="default" w:ascii="Times New Roman" w:hAnsi="Times New Roman" w:cs="Times New Roman"/>
                <w:caps w:val="0"/>
                <w:color w:val="FF0000"/>
                <w:spacing w:val="0"/>
                <w:position w:val="0"/>
                <w:highlight w:val="none"/>
                <w:lang w:val="en-US" w:eastAsia="zh-CN"/>
              </w:rPr>
              <w:t>手动监测</w:t>
            </w:r>
            <w:r>
              <w:rPr>
                <w:rFonts w:hint="default" w:ascii="Times New Roman" w:hAnsi="Times New Roman" w:cs="Times New Roman"/>
                <w:caps w:val="0"/>
                <w:color w:val="FF0000"/>
                <w:spacing w:val="0"/>
                <w:position w:val="0"/>
                <w:highlight w:val="none"/>
              </w:rPr>
              <w:t>□</w:t>
            </w:r>
            <w:r>
              <w:rPr>
                <w:rFonts w:hint="default" w:ascii="Times New Roman" w:hAnsi="Times New Roman" w:cs="Times New Roman"/>
                <w:caps w:val="0"/>
                <w:color w:val="FF0000"/>
                <w:spacing w:val="0"/>
                <w:position w:val="0"/>
                <w:highlight w:val="none"/>
                <w:lang w:eastAsia="zh-CN"/>
              </w:rPr>
              <w:t>；</w:t>
            </w:r>
            <w:r>
              <w:rPr>
                <w:rFonts w:hint="default" w:ascii="Times New Roman" w:hAnsi="Times New Roman" w:cs="Times New Roman"/>
                <w:caps w:val="0"/>
                <w:color w:val="FF0000"/>
                <w:spacing w:val="0"/>
                <w:position w:val="0"/>
                <w:highlight w:val="none"/>
                <w:lang w:val="en-US" w:eastAsia="zh-CN"/>
              </w:rPr>
              <w:t>无监测</w:t>
            </w:r>
            <w:r>
              <w:rPr>
                <w:rFonts w:hint="default" w:ascii="Times New Roman" w:hAnsi="Times New Roman" w:cs="Times New Roman"/>
                <w:caps w:val="0"/>
                <w:color w:val="FF0000"/>
                <w:spacing w:val="0"/>
                <w:position w:val="0"/>
                <w:highlight w:val="none"/>
              </w:rPr>
              <w:t>□</w:t>
            </w:r>
          </w:p>
        </w:tc>
      </w:tr>
      <w:tr w14:paraId="2AAB9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9" w:hRule="atLeast"/>
          <w:jc w:val="center"/>
        </w:trPr>
        <w:tc>
          <w:tcPr>
            <w:tcW w:w="1291" w:type="dxa"/>
            <w:vMerge w:val="continue"/>
            <w:tcBorders>
              <w:tl2br w:val="nil"/>
              <w:tr2bl w:val="nil"/>
            </w:tcBorders>
            <w:noWrap w:val="0"/>
            <w:vAlign w:val="center"/>
          </w:tcPr>
          <w:p w14:paraId="6221CBF5">
            <w:pPr>
              <w:pStyle w:val="42"/>
              <w:bidi w:val="0"/>
              <w:rPr>
                <w:rFonts w:hint="default" w:ascii="Times New Roman" w:hAnsi="Times New Roman" w:cs="Times New Roman"/>
                <w:caps w:val="0"/>
                <w:color w:val="FF0000"/>
                <w:spacing w:val="0"/>
                <w:position w:val="0"/>
                <w:highlight w:val="none"/>
              </w:rPr>
            </w:pPr>
          </w:p>
        </w:tc>
        <w:tc>
          <w:tcPr>
            <w:tcW w:w="1670" w:type="dxa"/>
            <w:tcBorders>
              <w:tl2br w:val="nil"/>
              <w:tr2bl w:val="nil"/>
            </w:tcBorders>
            <w:noWrap w:val="0"/>
            <w:vAlign w:val="center"/>
          </w:tcPr>
          <w:p w14:paraId="1C874ED9">
            <w:pPr>
              <w:pStyle w:val="42"/>
              <w:bidi w:val="0"/>
              <w:rPr>
                <w:rFonts w:hint="default" w:ascii="Times New Roman" w:hAnsi="Times New Roman" w:cs="Times New Roman"/>
                <w:caps w:val="0"/>
                <w:color w:val="FF0000"/>
                <w:spacing w:val="0"/>
                <w:position w:val="0"/>
                <w:highlight w:val="none"/>
                <w:lang w:val="en-US" w:eastAsia="zh-CN"/>
              </w:rPr>
            </w:pPr>
            <w:r>
              <w:rPr>
                <w:rFonts w:hint="default" w:ascii="Times New Roman" w:hAnsi="Times New Roman" w:cs="Times New Roman"/>
                <w:caps w:val="0"/>
                <w:color w:val="FF0000"/>
                <w:spacing w:val="0"/>
                <w:position w:val="0"/>
                <w:highlight w:val="none"/>
                <w:lang w:val="en-US" w:eastAsia="zh-CN"/>
              </w:rPr>
              <w:t>声环境保护目标处噪声监测</w:t>
            </w:r>
          </w:p>
        </w:tc>
        <w:tc>
          <w:tcPr>
            <w:tcW w:w="2462" w:type="dxa"/>
            <w:gridSpan w:val="4"/>
            <w:tcBorders>
              <w:tl2br w:val="nil"/>
              <w:tr2bl w:val="nil"/>
            </w:tcBorders>
            <w:noWrap w:val="0"/>
            <w:vAlign w:val="center"/>
          </w:tcPr>
          <w:p w14:paraId="27C5865A">
            <w:pPr>
              <w:pStyle w:val="42"/>
              <w:bidi w:val="0"/>
              <w:rPr>
                <w:rFonts w:hint="default" w:ascii="Times New Roman" w:hAnsi="Times New Roman" w:cs="Times New Roman"/>
                <w:caps w:val="0"/>
                <w:color w:val="FF0000"/>
                <w:spacing w:val="0"/>
                <w:position w:val="0"/>
                <w:highlight w:val="none"/>
                <w:lang w:val="en-US" w:eastAsia="zh-CN"/>
              </w:rPr>
            </w:pPr>
            <w:r>
              <w:rPr>
                <w:rFonts w:hint="default" w:ascii="Times New Roman" w:hAnsi="Times New Roman" w:cs="Times New Roman"/>
                <w:caps w:val="0"/>
                <w:color w:val="FF0000"/>
                <w:spacing w:val="0"/>
                <w:position w:val="0"/>
                <w:highlight w:val="none"/>
                <w:lang w:val="en-US" w:eastAsia="zh-CN"/>
              </w:rPr>
              <w:t>监测因子：(  )</w:t>
            </w:r>
          </w:p>
        </w:tc>
        <w:tc>
          <w:tcPr>
            <w:tcW w:w="2061" w:type="dxa"/>
            <w:gridSpan w:val="3"/>
            <w:tcBorders>
              <w:tl2br w:val="nil"/>
              <w:tr2bl w:val="nil"/>
            </w:tcBorders>
            <w:noWrap w:val="0"/>
            <w:vAlign w:val="center"/>
          </w:tcPr>
          <w:p w14:paraId="594F01CF">
            <w:pPr>
              <w:pStyle w:val="42"/>
              <w:bidi w:val="0"/>
              <w:rPr>
                <w:rFonts w:hint="default" w:ascii="Times New Roman" w:hAnsi="Times New Roman" w:cs="Times New Roman"/>
                <w:caps w:val="0"/>
                <w:color w:val="FF0000"/>
                <w:spacing w:val="0"/>
                <w:position w:val="0"/>
                <w:highlight w:val="none"/>
                <w:lang w:val="en-US" w:eastAsia="zh-CN"/>
              </w:rPr>
            </w:pPr>
            <w:r>
              <w:rPr>
                <w:rFonts w:hint="default" w:ascii="Times New Roman" w:hAnsi="Times New Roman" w:cs="Times New Roman"/>
                <w:caps w:val="0"/>
                <w:color w:val="FF0000"/>
                <w:spacing w:val="0"/>
                <w:position w:val="0"/>
                <w:highlight w:val="none"/>
                <w:lang w:val="en-US" w:eastAsia="zh-CN"/>
              </w:rPr>
              <w:t>监测点位：(  )</w:t>
            </w:r>
          </w:p>
        </w:tc>
        <w:tc>
          <w:tcPr>
            <w:tcW w:w="1861" w:type="dxa"/>
            <w:gridSpan w:val="2"/>
            <w:tcBorders>
              <w:tl2br w:val="nil"/>
              <w:tr2bl w:val="nil"/>
            </w:tcBorders>
            <w:noWrap w:val="0"/>
            <w:vAlign w:val="center"/>
          </w:tcPr>
          <w:p w14:paraId="4A1B63F4">
            <w:pPr>
              <w:pStyle w:val="42"/>
              <w:bidi w:val="0"/>
              <w:rPr>
                <w:rFonts w:hint="default" w:ascii="Times New Roman" w:hAnsi="Times New Roman" w:cs="Times New Roman"/>
                <w:caps w:val="0"/>
                <w:color w:val="FF0000"/>
                <w:spacing w:val="0"/>
                <w:position w:val="0"/>
                <w:highlight w:val="none"/>
                <w:lang w:val="en-US" w:eastAsia="zh-CN"/>
              </w:rPr>
            </w:pPr>
            <w:r>
              <w:rPr>
                <w:rFonts w:hint="default" w:ascii="Times New Roman" w:hAnsi="Times New Roman" w:cs="Times New Roman"/>
                <w:caps w:val="0"/>
                <w:color w:val="FF0000"/>
                <w:spacing w:val="0"/>
                <w:position w:val="0"/>
                <w:highlight w:val="none"/>
                <w:lang w:val="en-US" w:eastAsia="zh-CN"/>
              </w:rPr>
              <w:t>无监测</w:t>
            </w:r>
            <w:r>
              <w:rPr>
                <w:rFonts w:hint="default" w:ascii="Times New Roman" w:hAnsi="Times New Roman" w:cs="Times New Roman"/>
                <w:caps w:val="0"/>
                <w:color w:val="FF0000"/>
                <w:spacing w:val="0"/>
                <w:position w:val="0"/>
                <w:highlight w:val="none"/>
                <w:lang w:eastAsia="zh-CN"/>
              </w:rPr>
              <w:sym w:font="Wingdings 2" w:char="0052"/>
            </w:r>
          </w:p>
        </w:tc>
      </w:tr>
      <w:tr w14:paraId="7571D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26" w:hRule="atLeast"/>
          <w:jc w:val="center"/>
        </w:trPr>
        <w:tc>
          <w:tcPr>
            <w:tcW w:w="2961" w:type="dxa"/>
            <w:gridSpan w:val="2"/>
            <w:tcBorders>
              <w:tl2br w:val="nil"/>
              <w:tr2bl w:val="nil"/>
            </w:tcBorders>
            <w:noWrap w:val="0"/>
            <w:vAlign w:val="center"/>
          </w:tcPr>
          <w:p w14:paraId="3FB0CFE3">
            <w:pPr>
              <w:pStyle w:val="42"/>
              <w:bidi w:val="0"/>
              <w:rPr>
                <w:rFonts w:hint="default" w:ascii="Times New Roman" w:hAnsi="Times New Roman" w:cs="Times New Roman"/>
                <w:caps w:val="0"/>
                <w:color w:val="FF0000"/>
                <w:spacing w:val="0"/>
                <w:position w:val="0"/>
                <w:highlight w:val="none"/>
                <w:lang w:val="en-US" w:eastAsia="zh-CN"/>
              </w:rPr>
            </w:pPr>
            <w:r>
              <w:rPr>
                <w:rFonts w:hint="default" w:ascii="Times New Roman" w:hAnsi="Times New Roman" w:cs="Times New Roman"/>
                <w:caps w:val="0"/>
                <w:color w:val="FF0000"/>
                <w:spacing w:val="0"/>
                <w:position w:val="0"/>
                <w:highlight w:val="none"/>
                <w:lang w:val="en-US" w:eastAsia="zh-CN"/>
              </w:rPr>
              <w:t>评价结论</w:t>
            </w:r>
          </w:p>
        </w:tc>
        <w:tc>
          <w:tcPr>
            <w:tcW w:w="6384" w:type="dxa"/>
            <w:gridSpan w:val="9"/>
            <w:tcBorders>
              <w:tl2br w:val="nil"/>
              <w:tr2bl w:val="nil"/>
            </w:tcBorders>
            <w:noWrap w:val="0"/>
            <w:vAlign w:val="center"/>
          </w:tcPr>
          <w:p w14:paraId="4B69899F">
            <w:pPr>
              <w:pStyle w:val="42"/>
              <w:bidi w:val="0"/>
              <w:rPr>
                <w:rFonts w:hint="default" w:ascii="Times New Roman" w:hAnsi="Times New Roman" w:cs="Times New Roman"/>
                <w:caps w:val="0"/>
                <w:color w:val="FF0000"/>
                <w:spacing w:val="0"/>
                <w:position w:val="0"/>
                <w:highlight w:val="none"/>
              </w:rPr>
            </w:pPr>
            <w:r>
              <w:rPr>
                <w:rFonts w:hint="default" w:ascii="Times New Roman" w:hAnsi="Times New Roman" w:cs="Times New Roman"/>
                <w:caps w:val="0"/>
                <w:color w:val="FF0000"/>
                <w:spacing w:val="0"/>
                <w:position w:val="0"/>
                <w:highlight w:val="none"/>
              </w:rPr>
              <w:t>可</w:t>
            </w:r>
            <w:r>
              <w:rPr>
                <w:rFonts w:hint="default" w:ascii="Times New Roman" w:hAnsi="Times New Roman" w:cs="Times New Roman"/>
                <w:caps w:val="0"/>
                <w:color w:val="FF0000"/>
                <w:spacing w:val="0"/>
                <w:position w:val="0"/>
                <w:highlight w:val="none"/>
                <w:lang w:eastAsia="zh-CN"/>
              </w:rPr>
              <w:t>行</w:t>
            </w:r>
            <w:r>
              <w:rPr>
                <w:rFonts w:hint="default" w:ascii="Times New Roman" w:hAnsi="Times New Roman" w:cs="Times New Roman"/>
                <w:caps w:val="0"/>
                <w:color w:val="FF0000"/>
                <w:spacing w:val="0"/>
                <w:position w:val="0"/>
                <w:highlight w:val="none"/>
                <w:lang w:eastAsia="zh-CN"/>
              </w:rPr>
              <w:sym w:font="Wingdings 2" w:char="0052"/>
            </w:r>
            <w:r>
              <w:rPr>
                <w:rFonts w:hint="default" w:ascii="Times New Roman" w:hAnsi="Times New Roman" w:cs="Times New Roman"/>
                <w:caps w:val="0"/>
                <w:color w:val="FF0000"/>
                <w:spacing w:val="0"/>
                <w:position w:val="0"/>
                <w:highlight w:val="none"/>
              </w:rPr>
              <w:t xml:space="preserve">      不可</w:t>
            </w:r>
            <w:r>
              <w:rPr>
                <w:rFonts w:hint="default" w:ascii="Times New Roman" w:hAnsi="Times New Roman" w:cs="Times New Roman"/>
                <w:caps w:val="0"/>
                <w:color w:val="FF0000"/>
                <w:spacing w:val="0"/>
                <w:position w:val="0"/>
                <w:highlight w:val="none"/>
                <w:lang w:eastAsia="zh-CN"/>
              </w:rPr>
              <w:t>行</w:t>
            </w:r>
            <w:r>
              <w:rPr>
                <w:rFonts w:hint="default" w:ascii="Times New Roman" w:hAnsi="Times New Roman" w:cs="Times New Roman"/>
                <w:caps w:val="0"/>
                <w:color w:val="FF0000"/>
                <w:spacing w:val="0"/>
                <w:position w:val="0"/>
                <w:highlight w:val="none"/>
              </w:rPr>
              <w:t>□</w:t>
            </w:r>
          </w:p>
        </w:tc>
      </w:tr>
      <w:tr w14:paraId="0B674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9" w:hRule="atLeast"/>
          <w:jc w:val="center"/>
        </w:trPr>
        <w:tc>
          <w:tcPr>
            <w:tcW w:w="9345" w:type="dxa"/>
            <w:gridSpan w:val="11"/>
            <w:tcBorders>
              <w:tl2br w:val="nil"/>
              <w:tr2bl w:val="nil"/>
            </w:tcBorders>
            <w:noWrap w:val="0"/>
            <w:vAlign w:val="center"/>
          </w:tcPr>
          <w:p w14:paraId="532241BD">
            <w:pPr>
              <w:pStyle w:val="42"/>
              <w:bidi w:val="0"/>
              <w:rPr>
                <w:rFonts w:hint="default" w:ascii="Times New Roman" w:hAnsi="Times New Roman" w:cs="Times New Roman"/>
                <w:caps w:val="0"/>
                <w:color w:val="FF0000"/>
                <w:spacing w:val="0"/>
                <w:position w:val="0"/>
                <w:highlight w:val="none"/>
                <w:lang w:eastAsia="zh-CN"/>
              </w:rPr>
            </w:pPr>
            <w:r>
              <w:rPr>
                <w:rFonts w:hint="default" w:ascii="Times New Roman" w:hAnsi="Times New Roman" w:cs="Times New Roman"/>
                <w:caps w:val="0"/>
                <w:color w:val="FF0000"/>
                <w:spacing w:val="0"/>
                <w:position w:val="0"/>
                <w:highlight w:val="none"/>
              </w:rPr>
              <w:t>注：“□”为勾选项，可√；“</w:t>
            </w:r>
            <w:r>
              <w:rPr>
                <w:rFonts w:hint="default" w:ascii="Times New Roman" w:hAnsi="Times New Roman" w:cs="Times New Roman"/>
                <w:caps w:val="0"/>
                <w:color w:val="FF0000"/>
                <w:spacing w:val="0"/>
                <w:position w:val="0"/>
                <w:highlight w:val="none"/>
                <w:lang w:eastAsia="zh-CN"/>
              </w:rPr>
              <w:t>(</w:t>
            </w:r>
            <w:r>
              <w:rPr>
                <w:rFonts w:hint="default" w:ascii="Times New Roman" w:hAnsi="Times New Roman" w:cs="Times New Roman"/>
                <w:caps w:val="0"/>
                <w:color w:val="FF0000"/>
                <w:spacing w:val="0"/>
                <w:position w:val="0"/>
                <w:highlight w:val="none"/>
              </w:rPr>
              <w:tab/>
            </w:r>
            <w:r>
              <w:rPr>
                <w:rFonts w:hint="default" w:ascii="Times New Roman" w:hAnsi="Times New Roman" w:cs="Times New Roman"/>
                <w:caps w:val="0"/>
                <w:color w:val="FF0000"/>
                <w:spacing w:val="0"/>
                <w:position w:val="0"/>
                <w:highlight w:val="none"/>
                <w:lang w:eastAsia="zh-CN"/>
              </w:rPr>
              <w:t>)</w:t>
            </w:r>
            <w:r>
              <w:rPr>
                <w:rFonts w:hint="default" w:ascii="Times New Roman" w:hAnsi="Times New Roman" w:cs="Times New Roman"/>
                <w:caps w:val="0"/>
                <w:color w:val="FF0000"/>
                <w:spacing w:val="0"/>
                <w:position w:val="0"/>
                <w:highlight w:val="none"/>
              </w:rPr>
              <w:t>”为内容填写项</w:t>
            </w:r>
            <w:r>
              <w:rPr>
                <w:rFonts w:hint="default" w:ascii="Times New Roman" w:hAnsi="Times New Roman" w:cs="Times New Roman"/>
                <w:caps w:val="0"/>
                <w:color w:val="FF0000"/>
                <w:spacing w:val="0"/>
                <w:position w:val="0"/>
                <w:highlight w:val="none"/>
                <w:lang w:eastAsia="zh-CN"/>
              </w:rPr>
              <w:t>。</w:t>
            </w:r>
          </w:p>
        </w:tc>
      </w:tr>
    </w:tbl>
    <w:p w14:paraId="63899697">
      <w:pPr>
        <w:spacing w:beforeLines="0" w:afterLines="0"/>
        <w:rPr>
          <w:rFonts w:hint="default" w:ascii="Times New Roman" w:hAnsi="Times New Roman" w:cs="Times New Roman"/>
          <w:color w:val="auto"/>
          <w:sz w:val="24"/>
          <w:szCs w:val="24"/>
          <w:highlight w:val="none"/>
        </w:rPr>
      </w:pPr>
    </w:p>
    <w:p w14:paraId="6FC53DDF">
      <w:pPr>
        <w:pStyle w:val="4"/>
        <w:bidi w:val="0"/>
        <w:rPr>
          <w:rFonts w:hint="default"/>
        </w:rPr>
      </w:pPr>
      <w:bookmarkStart w:id="310" w:name="5.2.4固体废物环境影响分析"/>
      <w:bookmarkEnd w:id="310"/>
      <w:r>
        <w:rPr>
          <w:rFonts w:hint="default"/>
          <w:lang w:val="en-US" w:eastAsia="zh-CN"/>
        </w:rPr>
        <w:t>土壤环境影响分析</w:t>
      </w:r>
    </w:p>
    <w:p w14:paraId="7C71AB3A">
      <w:pPr>
        <w:pStyle w:val="5"/>
        <w:bidi w:val="0"/>
        <w:rPr>
          <w:rFonts w:hint="default"/>
        </w:rPr>
      </w:pPr>
      <w:bookmarkStart w:id="311" w:name="_Toc23409"/>
      <w:bookmarkStart w:id="312" w:name="_Toc24394"/>
      <w:bookmarkStart w:id="313" w:name="_Toc13"/>
      <w:bookmarkStart w:id="314" w:name="_Toc22212"/>
      <w:bookmarkStart w:id="315" w:name="_Toc27453"/>
      <w:r>
        <w:rPr>
          <w:rFonts w:hint="default"/>
          <w:lang w:val="en-US" w:eastAsia="zh-CN"/>
        </w:rPr>
        <w:t>评价等级判定</w:t>
      </w:r>
      <w:bookmarkEnd w:id="311"/>
    </w:p>
    <w:bookmarkEnd w:id="312"/>
    <w:bookmarkEnd w:id="313"/>
    <w:bookmarkEnd w:id="314"/>
    <w:bookmarkEnd w:id="315"/>
    <w:p w14:paraId="71B38D90">
      <w:pPr>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本工程为</w:t>
      </w:r>
      <w:r>
        <w:rPr>
          <w:rFonts w:hint="default" w:ascii="Times New Roman" w:hAnsi="Times New Roman" w:cs="Times New Roman"/>
          <w:color w:val="auto"/>
          <w:highlight w:val="none"/>
          <w:lang w:val="en-US" w:eastAsia="zh-CN"/>
        </w:rPr>
        <w:t>石英砂矿开采项目</w:t>
      </w:r>
      <w:r>
        <w:rPr>
          <w:rFonts w:hint="default" w:ascii="Times New Roman" w:hAnsi="Times New Roman" w:cs="Times New Roman"/>
          <w:color w:val="auto"/>
          <w:highlight w:val="none"/>
          <w:lang w:eastAsia="zh-CN"/>
        </w:rPr>
        <w:t>，根据《环境影响评价技术导则 土壤环境（试行）》（HJ 964-2018）附录A，为</w:t>
      </w:r>
      <w:r>
        <w:rPr>
          <w:rFonts w:hint="default" w:ascii="Times New Roman" w:hAnsi="Times New Roman" w:cs="Times New Roman"/>
          <w:color w:val="auto"/>
          <w:highlight w:val="none"/>
          <w:lang w:val="en-US" w:eastAsia="zh-CN"/>
        </w:rPr>
        <w:t>III</w:t>
      </w:r>
      <w:r>
        <w:rPr>
          <w:rFonts w:hint="default" w:ascii="Times New Roman" w:hAnsi="Times New Roman" w:cs="Times New Roman"/>
          <w:color w:val="auto"/>
          <w:highlight w:val="none"/>
          <w:lang w:eastAsia="zh-CN"/>
        </w:rPr>
        <w:t>类项目。</w:t>
      </w:r>
    </w:p>
    <w:p w14:paraId="7D179A7E">
      <w:pPr>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项目区所在区域土壤pH</w:t>
      </w:r>
      <w:r>
        <w:rPr>
          <w:rFonts w:hint="default" w:ascii="Times New Roman" w:hAnsi="Times New Roman" w:cs="Times New Roman"/>
          <w:color w:val="auto"/>
          <w:highlight w:val="none"/>
          <w:lang w:val="en-US" w:eastAsia="zh-CN"/>
        </w:rPr>
        <w:t>为8.17</w:t>
      </w:r>
      <w:r>
        <w:rPr>
          <w:rFonts w:hint="default" w:ascii="Times New Roman" w:hAnsi="Times New Roman" w:cs="Times New Roman"/>
          <w:color w:val="auto"/>
          <w:highlight w:val="none"/>
          <w:lang w:eastAsia="zh-CN"/>
        </w:rPr>
        <w:t>，土壤最大含盐量为</w:t>
      </w:r>
      <w:r>
        <w:rPr>
          <w:rFonts w:hint="default" w:ascii="Times New Roman" w:hAnsi="Times New Roman" w:cs="Times New Roman"/>
          <w:color w:val="auto"/>
          <w:highlight w:val="none"/>
          <w:lang w:val="en-US" w:eastAsia="zh-CN"/>
        </w:rPr>
        <w:t>1.5</w:t>
      </w:r>
      <w:r>
        <w:rPr>
          <w:rFonts w:hint="default" w:ascii="Times New Roman" w:hAnsi="Times New Roman" w:cs="Times New Roman"/>
          <w:color w:val="auto"/>
          <w:highlight w:val="none"/>
          <w:lang w:eastAsia="zh-CN"/>
        </w:rPr>
        <w:t>g</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lang w:eastAsia="zh-CN"/>
        </w:rPr>
        <w:t>kg，</w:t>
      </w:r>
      <w:r>
        <w:rPr>
          <w:rFonts w:hint="eastAsia" w:ascii="Times New Roman" w:hAnsi="Times New Roman" w:cs="Times New Roman"/>
          <w:color w:val="auto"/>
          <w:highlight w:val="none"/>
          <w:lang w:val="en-US" w:eastAsia="zh-CN"/>
        </w:rPr>
        <w:t>干燥度大于2.5且地下水埋深大于1.5m，</w:t>
      </w:r>
      <w:r>
        <w:rPr>
          <w:rFonts w:hint="default" w:ascii="Times New Roman" w:hAnsi="Times New Roman" w:cs="Times New Roman"/>
          <w:color w:val="auto"/>
          <w:highlight w:val="none"/>
          <w:lang w:eastAsia="zh-CN"/>
        </w:rPr>
        <w:t>根据HJ964-2018生态影响型敏感程度分级表，生态影响型敏感程度为</w:t>
      </w:r>
      <w:r>
        <w:rPr>
          <w:rFonts w:hint="eastAsia" w:ascii="Times New Roman" w:hAnsi="Times New Roman" w:cs="Times New Roman"/>
          <w:color w:val="auto"/>
          <w:highlight w:val="none"/>
          <w:lang w:val="en-US" w:eastAsia="zh-CN"/>
        </w:rPr>
        <w:t>较</w:t>
      </w:r>
      <w:r>
        <w:rPr>
          <w:rFonts w:hint="default" w:ascii="Times New Roman" w:hAnsi="Times New Roman" w:cs="Times New Roman"/>
          <w:color w:val="auto"/>
          <w:highlight w:val="none"/>
          <w:lang w:val="en-US" w:eastAsia="zh-CN"/>
        </w:rPr>
        <w:t>敏感</w:t>
      </w:r>
      <w:r>
        <w:rPr>
          <w:rFonts w:hint="default" w:ascii="Times New Roman" w:hAnsi="Times New Roman" w:cs="Times New Roman"/>
          <w:color w:val="auto"/>
          <w:highlight w:val="none"/>
          <w:lang w:eastAsia="zh-CN"/>
        </w:rPr>
        <w:t>，因此，本次土壤环境生态影响型评价工作等级为</w:t>
      </w:r>
      <w:r>
        <w:rPr>
          <w:rFonts w:hint="default" w:ascii="Times New Roman" w:hAnsi="Times New Roman" w:cs="Times New Roman"/>
          <w:color w:val="auto"/>
          <w:highlight w:val="none"/>
          <w:lang w:val="en-US" w:eastAsia="zh-CN"/>
        </w:rPr>
        <w:t>三</w:t>
      </w:r>
      <w:r>
        <w:rPr>
          <w:rFonts w:hint="default" w:ascii="Times New Roman" w:hAnsi="Times New Roman" w:cs="Times New Roman"/>
          <w:color w:val="auto"/>
          <w:highlight w:val="none"/>
          <w:lang w:eastAsia="zh-CN"/>
        </w:rPr>
        <w:t>级。</w:t>
      </w:r>
    </w:p>
    <w:p w14:paraId="5818A36F">
      <w:pPr>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本项目为</w:t>
      </w:r>
      <w:r>
        <w:rPr>
          <w:rFonts w:hint="default" w:ascii="Times New Roman" w:hAnsi="Times New Roman" w:cs="Times New Roman"/>
          <w:color w:val="auto"/>
          <w:highlight w:val="none"/>
          <w:lang w:val="en-US" w:eastAsia="zh-CN"/>
        </w:rPr>
        <w:t>III</w:t>
      </w:r>
      <w:r>
        <w:rPr>
          <w:rFonts w:hint="default" w:ascii="Times New Roman" w:hAnsi="Times New Roman" w:cs="Times New Roman"/>
          <w:color w:val="auto"/>
          <w:highlight w:val="none"/>
          <w:lang w:eastAsia="zh-CN"/>
        </w:rPr>
        <w:t>类项目，项目用地性质为工矿用地，周边土地利用类型为裸地及草地(均为未利用地)，</w:t>
      </w:r>
      <w:r>
        <w:rPr>
          <w:rFonts w:hint="default" w:ascii="Times New Roman" w:hAnsi="Times New Roman" w:cs="Times New Roman"/>
          <w:color w:val="0070C0"/>
          <w:highlight w:val="none"/>
          <w:lang w:eastAsia="zh-CN"/>
        </w:rPr>
        <w:t>敏感程度为敏感。</w:t>
      </w:r>
      <w:r>
        <w:rPr>
          <w:rFonts w:hint="default" w:ascii="Times New Roman" w:hAnsi="Times New Roman" w:cs="Times New Roman"/>
          <w:color w:val="auto"/>
          <w:highlight w:val="none"/>
          <w:lang w:eastAsia="zh-CN"/>
        </w:rPr>
        <w:t>项目永久占地面积为</w:t>
      </w:r>
      <w:r>
        <w:rPr>
          <w:rFonts w:hint="eastAsia" w:ascii="Times New Roman" w:hAnsi="Times New Roman" w:cs="Times New Roman"/>
          <w:color w:val="auto"/>
          <w:highlight w:val="none"/>
          <w:lang w:val="en-US" w:eastAsia="zh-CN"/>
        </w:rPr>
        <w:t>103.66h</w:t>
      </w:r>
      <w:r>
        <w:rPr>
          <w:rFonts w:hint="default" w:ascii="Times New Roman" w:hAnsi="Times New Roman" w:cs="Times New Roman"/>
          <w:color w:val="auto"/>
          <w:highlight w:val="none"/>
          <w:lang w:eastAsia="zh-CN"/>
        </w:rPr>
        <w:t>m</w:t>
      </w:r>
      <w:r>
        <w:rPr>
          <w:rFonts w:hint="eastAsia" w:ascii="Times New Roman" w:hAnsi="Times New Roman" w:cs="Times New Roman"/>
          <w:color w:val="auto"/>
          <w:highlight w:val="none"/>
          <w:vertAlign w:val="superscript"/>
          <w:lang w:val="en-US" w:eastAsia="zh-CN"/>
        </w:rPr>
        <w:t>2</w:t>
      </w:r>
      <w:r>
        <w:rPr>
          <w:rFonts w:hint="default" w:ascii="Times New Roman" w:hAnsi="Times New Roman" w:cs="Times New Roman"/>
          <w:color w:val="auto"/>
          <w:highlight w:val="none"/>
          <w:lang w:eastAsia="zh-CN"/>
        </w:rPr>
        <w:t>，占地规模属于</w:t>
      </w:r>
      <w:r>
        <w:rPr>
          <w:rFonts w:hint="eastAsia" w:ascii="Times New Roman" w:hAnsi="Times New Roman" w:cs="Times New Roman"/>
          <w:color w:val="auto"/>
          <w:highlight w:val="none"/>
          <w:lang w:val="en-US" w:eastAsia="zh-CN"/>
        </w:rPr>
        <w:t>大</w:t>
      </w:r>
      <w:r>
        <w:rPr>
          <w:rFonts w:hint="default" w:ascii="Times New Roman" w:hAnsi="Times New Roman" w:cs="Times New Roman"/>
          <w:color w:val="auto"/>
          <w:highlight w:val="none"/>
          <w:lang w:eastAsia="zh-CN"/>
        </w:rPr>
        <w:t>型，本次土壤环境污染影响型评价工作等级为</w:t>
      </w:r>
      <w:r>
        <w:rPr>
          <w:rFonts w:hint="eastAsia" w:ascii="Times New Roman" w:hAnsi="Times New Roman" w:cs="Times New Roman"/>
          <w:color w:val="auto"/>
          <w:highlight w:val="none"/>
          <w:lang w:val="en-US" w:eastAsia="zh-CN"/>
        </w:rPr>
        <w:t>三</w:t>
      </w:r>
      <w:r>
        <w:rPr>
          <w:rFonts w:hint="default" w:ascii="Times New Roman" w:hAnsi="Times New Roman" w:cs="Times New Roman"/>
          <w:color w:val="auto"/>
          <w:highlight w:val="none"/>
          <w:lang w:eastAsia="zh-CN"/>
        </w:rPr>
        <w:t>级。</w:t>
      </w:r>
    </w:p>
    <w:p w14:paraId="4EF9A1C4">
      <w:pPr>
        <w:pStyle w:val="5"/>
        <w:bidi w:val="0"/>
        <w:rPr>
          <w:rFonts w:hint="default"/>
          <w:lang w:val="en-US" w:eastAsia="zh-CN"/>
        </w:rPr>
      </w:pPr>
      <w:bookmarkStart w:id="316" w:name="5.2.5.1.2土壤环境影响类型、影响途径、影响源与影响因子识别"/>
      <w:bookmarkEnd w:id="316"/>
      <w:bookmarkStart w:id="317" w:name="5.2.5.1.2土壤环境影响类型、影响途径、影响源与影响因子识别"/>
      <w:bookmarkEnd w:id="317"/>
      <w:bookmarkStart w:id="318" w:name="_Toc18297"/>
      <w:bookmarkStart w:id="319" w:name="_Toc25154"/>
      <w:bookmarkStart w:id="320" w:name="_Toc11974"/>
      <w:bookmarkStart w:id="321" w:name="_Toc24482"/>
      <w:bookmarkStart w:id="322" w:name="_Toc17014"/>
      <w:r>
        <w:rPr>
          <w:rFonts w:hint="default"/>
          <w:lang w:val="en-US" w:eastAsia="zh-CN"/>
        </w:rPr>
        <w:t>土壤环境影响类型、影响途径、影响源与影响因子识别</w:t>
      </w:r>
      <w:bookmarkEnd w:id="318"/>
      <w:bookmarkEnd w:id="319"/>
      <w:bookmarkEnd w:id="320"/>
      <w:bookmarkEnd w:id="321"/>
      <w:bookmarkEnd w:id="322"/>
    </w:p>
    <w:p w14:paraId="1F785CDA">
      <w:pPr>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通过对项目工程分析，根据《环境影响评价技术导则土壤环境（试行）》（HJ 964-2018）附录B表B.1，主要为生态影响型和污染影响型兼有</w:t>
      </w:r>
      <w:r>
        <w:rPr>
          <w:rFonts w:hint="default" w:ascii="Times New Roman" w:hAnsi="Times New Roman" w:cs="Times New Roman"/>
          <w:color w:val="auto"/>
          <w:highlight w:val="none"/>
          <w:lang w:val="en-US" w:eastAsia="zh-CN"/>
        </w:rPr>
        <w:t>项目</w:t>
      </w:r>
      <w:r>
        <w:rPr>
          <w:rFonts w:hint="default" w:ascii="Times New Roman" w:hAnsi="Times New Roman" w:cs="Times New Roman"/>
          <w:color w:val="auto"/>
          <w:highlight w:val="none"/>
          <w:lang w:eastAsia="zh-CN"/>
        </w:rPr>
        <w:t>。</w:t>
      </w:r>
    </w:p>
    <w:p w14:paraId="720499F9">
      <w:pPr>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根据工程组成，可分为建设期、运营期两个阶段对土壤的环境影响。</w:t>
      </w:r>
    </w:p>
    <w:p w14:paraId="3BAFB131">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①污染影响型</w:t>
      </w:r>
    </w:p>
    <w:p w14:paraId="23CF5528">
      <w:pPr>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施工期环境影响识别主要针对施工过程中施工机械在使用过程中，施工人员在施工生活过程中，固体废物在临时储存过程中对土壤产生的影响等。</w:t>
      </w:r>
    </w:p>
    <w:p w14:paraId="596EBF7A">
      <w:pPr>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运营期环境影响识别主要针对排放的</w:t>
      </w:r>
      <w:r>
        <w:rPr>
          <w:rFonts w:hint="default" w:ascii="Times New Roman" w:hAnsi="Times New Roman" w:cs="Times New Roman"/>
          <w:color w:val="auto"/>
          <w:highlight w:val="none"/>
          <w:lang w:val="en-US" w:eastAsia="zh-CN"/>
        </w:rPr>
        <w:t>废气</w:t>
      </w:r>
      <w:r>
        <w:rPr>
          <w:rFonts w:hint="default" w:ascii="Times New Roman" w:hAnsi="Times New Roman" w:cs="Times New Roman"/>
          <w:color w:val="auto"/>
          <w:highlight w:val="none"/>
          <w:lang w:eastAsia="zh-CN"/>
        </w:rPr>
        <w:t>、废水、</w:t>
      </w:r>
      <w:r>
        <w:rPr>
          <w:rFonts w:hint="default" w:ascii="Times New Roman" w:hAnsi="Times New Roman" w:cs="Times New Roman"/>
          <w:color w:val="auto"/>
          <w:highlight w:val="none"/>
          <w:lang w:val="en-US" w:eastAsia="zh-CN"/>
        </w:rPr>
        <w:t>固废</w:t>
      </w:r>
      <w:r>
        <w:rPr>
          <w:rFonts w:hint="default" w:ascii="Times New Roman" w:hAnsi="Times New Roman" w:cs="Times New Roman"/>
          <w:color w:val="auto"/>
          <w:highlight w:val="none"/>
          <w:lang w:eastAsia="zh-CN"/>
        </w:rPr>
        <w:t>等，本工程主要包括工业场地</w:t>
      </w:r>
      <w:r>
        <w:rPr>
          <w:rFonts w:hint="default" w:ascii="Times New Roman" w:hAnsi="Times New Roman" w:cs="Times New Roman"/>
          <w:color w:val="auto"/>
          <w:highlight w:val="none"/>
          <w:lang w:val="en-US" w:eastAsia="zh-CN"/>
        </w:rPr>
        <w:t>及排土场</w:t>
      </w:r>
      <w:r>
        <w:rPr>
          <w:rFonts w:hint="default" w:ascii="Times New Roman" w:hAnsi="Times New Roman" w:cs="Times New Roman"/>
          <w:color w:val="auto"/>
          <w:highlight w:val="none"/>
          <w:lang w:eastAsia="zh-CN"/>
        </w:rPr>
        <w:t>等生产运营过程中对土壤产生的影响。</w:t>
      </w:r>
    </w:p>
    <w:p w14:paraId="580A5623">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②生态影响型</w:t>
      </w:r>
    </w:p>
    <w:p w14:paraId="6C56D2CE">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项目为石英砂矿露天开采，石英砂的主要成分是二氧化硅，在正常的露天开采过程中，不会直接向土壤中释放大量的盐分物质，不会直接导致土壤盐化；本工程采矿过程中不使用酸碱试剂，不会导致土壤酸化、碱化。</w:t>
      </w:r>
    </w:p>
    <w:p w14:paraId="516422B1">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但在采矿活动过程中，露天开采会大面积破坏地表植被和原有土壤结构。植被具有保持水土、调节土壤水分和养分循环等重要作用。植被破坏后，土壤失去了植被的保护和蒸腾作用调节，一方面更容易受到雨水冲刷，使土壤中的盐分随水土流失加剧；另一方面，石英砂矿开采后的废渣中可能含有一些可溶性盐类物质。如果废渣随意堆放，在雨水淋溶作用下，其中的盐分可能会被溶解并随水流扩散到周围土壤中，导致土壤盐化。</w:t>
      </w:r>
    </w:p>
    <w:p w14:paraId="2DE2FC47">
      <w:pPr>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本工程对土壤的影响类型和途径及影响因子见</w:t>
      </w:r>
      <w:r>
        <w:rPr>
          <w:rFonts w:hint="default" w:ascii="Times New Roman" w:hAnsi="Times New Roman" w:cs="Times New Roman"/>
          <w:color w:val="auto"/>
          <w:highlight w:val="none"/>
          <w:lang w:val="en-US" w:eastAsia="zh-CN"/>
        </w:rPr>
        <w:t>下</w:t>
      </w:r>
      <w:r>
        <w:rPr>
          <w:rFonts w:hint="default" w:ascii="Times New Roman" w:hAnsi="Times New Roman" w:cs="Times New Roman"/>
          <w:color w:val="auto"/>
          <w:highlight w:val="none"/>
          <w:lang w:eastAsia="zh-CN"/>
        </w:rPr>
        <w:t>表。</w:t>
      </w:r>
    </w:p>
    <w:p w14:paraId="4C01D69A">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表5.2-</w:t>
      </w:r>
      <w:r>
        <w:rPr>
          <w:rFonts w:hint="eastAsia" w:ascii="Times New Roman" w:hAnsi="Times New Roman" w:cs="Times New Roman"/>
          <w:color w:val="auto"/>
          <w:highlight w:val="none"/>
          <w:lang w:val="en-US" w:eastAsia="zh-CN"/>
        </w:rPr>
        <w:t>22</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土壤环境影响类型与影响途径表</w:t>
      </w:r>
    </w:p>
    <w:tbl>
      <w:tblPr>
        <w:tblStyle w:val="31"/>
        <w:tblW w:w="508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13"/>
        <w:gridCol w:w="1478"/>
        <w:gridCol w:w="1132"/>
        <w:gridCol w:w="1137"/>
        <w:gridCol w:w="1132"/>
        <w:gridCol w:w="805"/>
        <w:gridCol w:w="813"/>
        <w:gridCol w:w="807"/>
        <w:gridCol w:w="813"/>
        <w:gridCol w:w="891"/>
      </w:tblGrid>
      <w:tr w14:paraId="61CF3C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961" w:type="pct"/>
            <w:gridSpan w:val="2"/>
            <w:vMerge w:val="restart"/>
            <w:tcBorders>
              <w:tl2br w:val="nil"/>
              <w:tr2bl w:val="nil"/>
            </w:tcBorders>
            <w:noWrap w:val="0"/>
            <w:vAlign w:val="center"/>
          </w:tcPr>
          <w:p w14:paraId="1B1B94E5">
            <w:pPr>
              <w:pStyle w:val="47"/>
              <w:keepNext w:val="0"/>
              <w:keepLines w:val="0"/>
              <w:pageBreakBefore w:val="0"/>
              <w:widowControl w:val="0"/>
              <w:kinsoku/>
              <w:wordWrap/>
              <w:overflowPunct/>
              <w:topLinePunct w:val="0"/>
              <w:autoSpaceDE/>
              <w:autoSpaceDN/>
              <w:bidi w:val="0"/>
              <w:adjustRightInd/>
              <w:snapToGrid/>
              <w:spacing w:before="0" w:beforeAutospacing="0" w:line="360" w:lineRule="exact"/>
              <w:ind w:left="0" w:leftChars="0" w:right="0" w:rightChars="0" w:firstLine="0" w:firstLineChars="0"/>
              <w:jc w:val="center"/>
              <w:textAlignment w:val="auto"/>
              <w:outlineLvl w:val="9"/>
              <w:rPr>
                <w:rFonts w:hint="default" w:ascii="Times New Roman" w:hAnsi="Times New Roman" w:eastAsia="宋体" w:cs="Times New Roman"/>
                <w:b/>
                <w:bCs/>
                <w:color w:val="auto"/>
                <w:w w:val="100"/>
                <w:kern w:val="0"/>
                <w:sz w:val="21"/>
                <w:szCs w:val="21"/>
                <w:highlight w:val="none"/>
              </w:rPr>
            </w:pPr>
            <w:r>
              <w:rPr>
                <w:rFonts w:hint="default" w:ascii="Times New Roman" w:hAnsi="Times New Roman" w:eastAsia="宋体" w:cs="Times New Roman"/>
                <w:b/>
                <w:bCs/>
                <w:color w:val="auto"/>
                <w:w w:val="100"/>
                <w:kern w:val="0"/>
                <w:sz w:val="21"/>
                <w:szCs w:val="21"/>
                <w:highlight w:val="none"/>
              </w:rPr>
              <w:t>不同时段</w:t>
            </w:r>
          </w:p>
        </w:tc>
        <w:tc>
          <w:tcPr>
            <w:tcW w:w="2256" w:type="pct"/>
            <w:gridSpan w:val="4"/>
            <w:tcBorders>
              <w:tl2br w:val="nil"/>
              <w:tr2bl w:val="nil"/>
            </w:tcBorders>
            <w:noWrap w:val="0"/>
            <w:vAlign w:val="center"/>
          </w:tcPr>
          <w:p w14:paraId="70659D4B">
            <w:pPr>
              <w:pStyle w:val="47"/>
              <w:keepNext w:val="0"/>
              <w:keepLines w:val="0"/>
              <w:pageBreakBefore w:val="0"/>
              <w:widowControl w:val="0"/>
              <w:kinsoku/>
              <w:wordWrap/>
              <w:overflowPunct/>
              <w:topLinePunct w:val="0"/>
              <w:autoSpaceDE/>
              <w:autoSpaceDN/>
              <w:bidi w:val="0"/>
              <w:adjustRightInd/>
              <w:snapToGrid/>
              <w:spacing w:before="0" w:beforeAutospacing="0" w:line="360" w:lineRule="exact"/>
              <w:ind w:left="0" w:leftChars="0" w:right="0" w:rightChars="0" w:firstLine="0" w:firstLineChars="0"/>
              <w:jc w:val="center"/>
              <w:textAlignment w:val="auto"/>
              <w:outlineLvl w:val="9"/>
              <w:rPr>
                <w:rFonts w:hint="default" w:ascii="Times New Roman" w:hAnsi="Times New Roman" w:eastAsia="宋体" w:cs="Times New Roman"/>
                <w:b/>
                <w:bCs/>
                <w:color w:val="auto"/>
                <w:w w:val="100"/>
                <w:kern w:val="0"/>
                <w:sz w:val="21"/>
                <w:szCs w:val="21"/>
                <w:highlight w:val="none"/>
              </w:rPr>
            </w:pPr>
            <w:r>
              <w:rPr>
                <w:rFonts w:hint="default" w:ascii="Times New Roman" w:hAnsi="Times New Roman" w:eastAsia="宋体" w:cs="Times New Roman"/>
                <w:b/>
                <w:bCs/>
                <w:color w:val="auto"/>
                <w:w w:val="100"/>
                <w:kern w:val="0"/>
                <w:sz w:val="21"/>
                <w:szCs w:val="21"/>
                <w:highlight w:val="none"/>
              </w:rPr>
              <w:t>污染影响型</w:t>
            </w:r>
          </w:p>
        </w:tc>
        <w:tc>
          <w:tcPr>
            <w:tcW w:w="1781" w:type="pct"/>
            <w:gridSpan w:val="4"/>
            <w:tcBorders>
              <w:tl2br w:val="nil"/>
              <w:tr2bl w:val="nil"/>
            </w:tcBorders>
            <w:noWrap w:val="0"/>
            <w:vAlign w:val="center"/>
          </w:tcPr>
          <w:p w14:paraId="10C8EF70">
            <w:pPr>
              <w:pStyle w:val="47"/>
              <w:keepNext w:val="0"/>
              <w:keepLines w:val="0"/>
              <w:pageBreakBefore w:val="0"/>
              <w:widowControl w:val="0"/>
              <w:kinsoku/>
              <w:wordWrap/>
              <w:overflowPunct/>
              <w:topLinePunct w:val="0"/>
              <w:autoSpaceDE/>
              <w:autoSpaceDN/>
              <w:bidi w:val="0"/>
              <w:adjustRightInd/>
              <w:snapToGrid/>
              <w:spacing w:before="0" w:beforeAutospacing="0" w:line="360" w:lineRule="exact"/>
              <w:ind w:left="0" w:leftChars="0" w:right="0" w:rightChars="0" w:firstLine="0" w:firstLineChars="0"/>
              <w:jc w:val="center"/>
              <w:textAlignment w:val="auto"/>
              <w:outlineLvl w:val="9"/>
              <w:rPr>
                <w:rFonts w:hint="default" w:ascii="Times New Roman" w:hAnsi="Times New Roman" w:eastAsia="宋体" w:cs="Times New Roman"/>
                <w:b/>
                <w:bCs/>
                <w:color w:val="auto"/>
                <w:w w:val="100"/>
                <w:kern w:val="0"/>
                <w:sz w:val="21"/>
                <w:szCs w:val="21"/>
                <w:highlight w:val="none"/>
              </w:rPr>
            </w:pPr>
            <w:r>
              <w:rPr>
                <w:rFonts w:hint="default" w:ascii="Times New Roman" w:hAnsi="Times New Roman" w:eastAsia="宋体" w:cs="Times New Roman"/>
                <w:b/>
                <w:bCs/>
                <w:color w:val="auto"/>
                <w:w w:val="100"/>
                <w:kern w:val="0"/>
                <w:sz w:val="21"/>
                <w:szCs w:val="21"/>
                <w:highlight w:val="none"/>
              </w:rPr>
              <w:t>生态影响型</w:t>
            </w:r>
          </w:p>
        </w:tc>
      </w:tr>
      <w:tr w14:paraId="456248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961" w:type="pct"/>
            <w:gridSpan w:val="2"/>
            <w:vMerge w:val="continue"/>
            <w:tcBorders>
              <w:tl2br w:val="nil"/>
              <w:tr2bl w:val="nil"/>
            </w:tcBorders>
            <w:noWrap w:val="0"/>
            <w:vAlign w:val="center"/>
          </w:tcPr>
          <w:p w14:paraId="6F78CA8B">
            <w:pPr>
              <w:pStyle w:val="47"/>
              <w:keepNext w:val="0"/>
              <w:keepLines w:val="0"/>
              <w:pageBreakBefore w:val="0"/>
              <w:widowControl w:val="0"/>
              <w:kinsoku/>
              <w:wordWrap/>
              <w:overflowPunct/>
              <w:topLinePunct w:val="0"/>
              <w:autoSpaceDE/>
              <w:autoSpaceDN/>
              <w:bidi w:val="0"/>
              <w:adjustRightInd/>
              <w:snapToGrid/>
              <w:spacing w:before="0" w:beforeAutospacing="0" w:line="360" w:lineRule="exact"/>
              <w:ind w:left="0" w:leftChars="0" w:right="0" w:rightChars="0" w:firstLine="0" w:firstLineChars="0"/>
              <w:jc w:val="center"/>
              <w:textAlignment w:val="auto"/>
              <w:outlineLvl w:val="9"/>
              <w:rPr>
                <w:rFonts w:hint="default" w:ascii="Times New Roman" w:hAnsi="Times New Roman" w:eastAsia="宋体" w:cs="Times New Roman"/>
                <w:b/>
                <w:bCs/>
                <w:color w:val="auto"/>
                <w:w w:val="100"/>
                <w:kern w:val="0"/>
                <w:sz w:val="21"/>
                <w:szCs w:val="21"/>
                <w:highlight w:val="none"/>
              </w:rPr>
            </w:pPr>
          </w:p>
        </w:tc>
        <w:tc>
          <w:tcPr>
            <w:tcW w:w="607" w:type="pct"/>
            <w:tcBorders>
              <w:tl2br w:val="nil"/>
              <w:tr2bl w:val="nil"/>
            </w:tcBorders>
            <w:noWrap w:val="0"/>
            <w:vAlign w:val="center"/>
          </w:tcPr>
          <w:p w14:paraId="6BC1C15F">
            <w:pPr>
              <w:pStyle w:val="47"/>
              <w:keepNext w:val="0"/>
              <w:keepLines w:val="0"/>
              <w:pageBreakBefore w:val="0"/>
              <w:widowControl w:val="0"/>
              <w:kinsoku/>
              <w:wordWrap/>
              <w:overflowPunct/>
              <w:topLinePunct w:val="0"/>
              <w:autoSpaceDE/>
              <w:autoSpaceDN/>
              <w:bidi w:val="0"/>
              <w:adjustRightInd/>
              <w:snapToGrid/>
              <w:spacing w:before="0" w:beforeAutospacing="0" w:line="360" w:lineRule="exact"/>
              <w:ind w:left="0" w:leftChars="0" w:right="0" w:rightChars="0" w:firstLine="0" w:firstLineChars="0"/>
              <w:jc w:val="center"/>
              <w:textAlignment w:val="auto"/>
              <w:outlineLvl w:val="9"/>
              <w:rPr>
                <w:rFonts w:hint="default" w:ascii="Times New Roman" w:hAnsi="Times New Roman" w:eastAsia="宋体" w:cs="Times New Roman"/>
                <w:b/>
                <w:bCs/>
                <w:color w:val="auto"/>
                <w:w w:val="100"/>
                <w:kern w:val="0"/>
                <w:sz w:val="21"/>
                <w:szCs w:val="21"/>
                <w:highlight w:val="none"/>
              </w:rPr>
            </w:pPr>
            <w:r>
              <w:rPr>
                <w:rFonts w:hint="default" w:ascii="Times New Roman" w:hAnsi="Times New Roman" w:eastAsia="宋体" w:cs="Times New Roman"/>
                <w:b/>
                <w:bCs/>
                <w:color w:val="auto"/>
                <w:w w:val="100"/>
                <w:kern w:val="0"/>
                <w:sz w:val="21"/>
                <w:szCs w:val="21"/>
                <w:highlight w:val="none"/>
              </w:rPr>
              <w:t>大气沉降</w:t>
            </w:r>
          </w:p>
        </w:tc>
        <w:tc>
          <w:tcPr>
            <w:tcW w:w="610" w:type="pct"/>
            <w:tcBorders>
              <w:tl2br w:val="nil"/>
              <w:tr2bl w:val="nil"/>
            </w:tcBorders>
            <w:noWrap w:val="0"/>
            <w:vAlign w:val="center"/>
          </w:tcPr>
          <w:p w14:paraId="552BD728">
            <w:pPr>
              <w:pStyle w:val="47"/>
              <w:keepNext w:val="0"/>
              <w:keepLines w:val="0"/>
              <w:pageBreakBefore w:val="0"/>
              <w:widowControl w:val="0"/>
              <w:kinsoku/>
              <w:wordWrap/>
              <w:overflowPunct/>
              <w:topLinePunct w:val="0"/>
              <w:autoSpaceDE/>
              <w:autoSpaceDN/>
              <w:bidi w:val="0"/>
              <w:adjustRightInd/>
              <w:snapToGrid/>
              <w:spacing w:before="0" w:beforeAutospacing="0" w:line="360" w:lineRule="exact"/>
              <w:ind w:left="0" w:leftChars="0" w:right="0" w:rightChars="0" w:firstLine="0" w:firstLineChars="0"/>
              <w:jc w:val="center"/>
              <w:textAlignment w:val="auto"/>
              <w:outlineLvl w:val="9"/>
              <w:rPr>
                <w:rFonts w:hint="default" w:ascii="Times New Roman" w:hAnsi="Times New Roman" w:eastAsia="宋体" w:cs="Times New Roman"/>
                <w:b/>
                <w:bCs/>
                <w:color w:val="auto"/>
                <w:w w:val="100"/>
                <w:kern w:val="0"/>
                <w:sz w:val="21"/>
                <w:szCs w:val="21"/>
                <w:highlight w:val="none"/>
              </w:rPr>
            </w:pPr>
            <w:r>
              <w:rPr>
                <w:rFonts w:hint="default" w:ascii="Times New Roman" w:hAnsi="Times New Roman" w:eastAsia="宋体" w:cs="Times New Roman"/>
                <w:b/>
                <w:bCs/>
                <w:color w:val="auto"/>
                <w:w w:val="100"/>
                <w:kern w:val="0"/>
                <w:sz w:val="21"/>
                <w:szCs w:val="21"/>
                <w:highlight w:val="none"/>
              </w:rPr>
              <w:t>地面漫流</w:t>
            </w:r>
          </w:p>
        </w:tc>
        <w:tc>
          <w:tcPr>
            <w:tcW w:w="607" w:type="pct"/>
            <w:tcBorders>
              <w:tl2br w:val="nil"/>
              <w:tr2bl w:val="nil"/>
            </w:tcBorders>
            <w:noWrap w:val="0"/>
            <w:vAlign w:val="center"/>
          </w:tcPr>
          <w:p w14:paraId="4CE20C4C">
            <w:pPr>
              <w:pStyle w:val="47"/>
              <w:keepNext w:val="0"/>
              <w:keepLines w:val="0"/>
              <w:pageBreakBefore w:val="0"/>
              <w:widowControl w:val="0"/>
              <w:kinsoku/>
              <w:wordWrap/>
              <w:overflowPunct/>
              <w:topLinePunct w:val="0"/>
              <w:autoSpaceDE/>
              <w:autoSpaceDN/>
              <w:bidi w:val="0"/>
              <w:adjustRightInd/>
              <w:snapToGrid/>
              <w:spacing w:before="0" w:beforeAutospacing="0" w:line="360" w:lineRule="exact"/>
              <w:ind w:left="0" w:leftChars="0" w:right="0" w:rightChars="0" w:firstLine="0" w:firstLineChars="0"/>
              <w:jc w:val="center"/>
              <w:textAlignment w:val="auto"/>
              <w:outlineLvl w:val="9"/>
              <w:rPr>
                <w:rFonts w:hint="default" w:ascii="Times New Roman" w:hAnsi="Times New Roman" w:eastAsia="宋体" w:cs="Times New Roman"/>
                <w:b/>
                <w:bCs/>
                <w:color w:val="auto"/>
                <w:w w:val="100"/>
                <w:kern w:val="0"/>
                <w:sz w:val="21"/>
                <w:szCs w:val="21"/>
                <w:highlight w:val="none"/>
              </w:rPr>
            </w:pPr>
            <w:r>
              <w:rPr>
                <w:rFonts w:hint="default" w:ascii="Times New Roman" w:hAnsi="Times New Roman" w:eastAsia="宋体" w:cs="Times New Roman"/>
                <w:b/>
                <w:bCs/>
                <w:color w:val="auto"/>
                <w:w w:val="100"/>
                <w:kern w:val="0"/>
                <w:sz w:val="21"/>
                <w:szCs w:val="21"/>
                <w:highlight w:val="none"/>
              </w:rPr>
              <w:t>垂直入渗</w:t>
            </w:r>
          </w:p>
        </w:tc>
        <w:tc>
          <w:tcPr>
            <w:tcW w:w="429" w:type="pct"/>
            <w:tcBorders>
              <w:tl2br w:val="nil"/>
              <w:tr2bl w:val="nil"/>
            </w:tcBorders>
            <w:noWrap w:val="0"/>
            <w:vAlign w:val="center"/>
          </w:tcPr>
          <w:p w14:paraId="216AD463">
            <w:pPr>
              <w:pStyle w:val="47"/>
              <w:keepNext w:val="0"/>
              <w:keepLines w:val="0"/>
              <w:pageBreakBefore w:val="0"/>
              <w:widowControl w:val="0"/>
              <w:kinsoku/>
              <w:wordWrap/>
              <w:overflowPunct/>
              <w:topLinePunct w:val="0"/>
              <w:autoSpaceDE/>
              <w:autoSpaceDN/>
              <w:bidi w:val="0"/>
              <w:adjustRightInd/>
              <w:snapToGrid/>
              <w:spacing w:before="0" w:beforeAutospacing="0" w:line="360" w:lineRule="exact"/>
              <w:ind w:left="0" w:leftChars="0" w:right="0" w:rightChars="0" w:firstLine="0" w:firstLineChars="0"/>
              <w:jc w:val="center"/>
              <w:textAlignment w:val="auto"/>
              <w:outlineLvl w:val="9"/>
              <w:rPr>
                <w:rFonts w:hint="default" w:ascii="Times New Roman" w:hAnsi="Times New Roman" w:eastAsia="宋体" w:cs="Times New Roman"/>
                <w:b/>
                <w:bCs/>
                <w:color w:val="auto"/>
                <w:w w:val="100"/>
                <w:kern w:val="0"/>
                <w:sz w:val="21"/>
                <w:szCs w:val="21"/>
                <w:highlight w:val="none"/>
              </w:rPr>
            </w:pPr>
            <w:r>
              <w:rPr>
                <w:rFonts w:hint="default" w:ascii="Times New Roman" w:hAnsi="Times New Roman" w:eastAsia="宋体" w:cs="Times New Roman"/>
                <w:b/>
                <w:bCs/>
                <w:color w:val="auto"/>
                <w:w w:val="100"/>
                <w:kern w:val="0"/>
                <w:sz w:val="21"/>
                <w:szCs w:val="21"/>
                <w:highlight w:val="none"/>
              </w:rPr>
              <w:t>其他</w:t>
            </w:r>
          </w:p>
        </w:tc>
        <w:tc>
          <w:tcPr>
            <w:tcW w:w="436" w:type="pct"/>
            <w:tcBorders>
              <w:tl2br w:val="nil"/>
              <w:tr2bl w:val="nil"/>
            </w:tcBorders>
            <w:noWrap w:val="0"/>
            <w:vAlign w:val="center"/>
          </w:tcPr>
          <w:p w14:paraId="793DAEE6">
            <w:pPr>
              <w:pStyle w:val="47"/>
              <w:keepNext w:val="0"/>
              <w:keepLines w:val="0"/>
              <w:pageBreakBefore w:val="0"/>
              <w:widowControl w:val="0"/>
              <w:kinsoku/>
              <w:wordWrap/>
              <w:overflowPunct/>
              <w:topLinePunct w:val="0"/>
              <w:autoSpaceDE/>
              <w:autoSpaceDN/>
              <w:bidi w:val="0"/>
              <w:adjustRightInd/>
              <w:snapToGrid/>
              <w:spacing w:before="0" w:beforeAutospacing="0" w:line="360" w:lineRule="exact"/>
              <w:ind w:left="0" w:leftChars="0" w:right="0" w:rightChars="0" w:firstLine="0" w:firstLineChars="0"/>
              <w:jc w:val="center"/>
              <w:textAlignment w:val="auto"/>
              <w:outlineLvl w:val="9"/>
              <w:rPr>
                <w:rFonts w:hint="default" w:ascii="Times New Roman" w:hAnsi="Times New Roman" w:eastAsia="宋体" w:cs="Times New Roman"/>
                <w:b/>
                <w:bCs/>
                <w:color w:val="auto"/>
                <w:w w:val="100"/>
                <w:kern w:val="0"/>
                <w:sz w:val="21"/>
                <w:szCs w:val="21"/>
                <w:highlight w:val="none"/>
              </w:rPr>
            </w:pPr>
            <w:r>
              <w:rPr>
                <w:rFonts w:hint="default" w:ascii="Times New Roman" w:hAnsi="Times New Roman" w:eastAsia="宋体" w:cs="Times New Roman"/>
                <w:b/>
                <w:bCs/>
                <w:color w:val="auto"/>
                <w:w w:val="100"/>
                <w:kern w:val="0"/>
                <w:sz w:val="21"/>
                <w:szCs w:val="21"/>
                <w:highlight w:val="none"/>
              </w:rPr>
              <w:t>盐化</w:t>
            </w:r>
          </w:p>
        </w:tc>
        <w:tc>
          <w:tcPr>
            <w:tcW w:w="433" w:type="pct"/>
            <w:tcBorders>
              <w:tl2br w:val="nil"/>
              <w:tr2bl w:val="nil"/>
            </w:tcBorders>
            <w:noWrap w:val="0"/>
            <w:vAlign w:val="center"/>
          </w:tcPr>
          <w:p w14:paraId="3D5EA2DC">
            <w:pPr>
              <w:pStyle w:val="47"/>
              <w:keepNext w:val="0"/>
              <w:keepLines w:val="0"/>
              <w:pageBreakBefore w:val="0"/>
              <w:widowControl w:val="0"/>
              <w:kinsoku/>
              <w:wordWrap/>
              <w:overflowPunct/>
              <w:topLinePunct w:val="0"/>
              <w:autoSpaceDE/>
              <w:autoSpaceDN/>
              <w:bidi w:val="0"/>
              <w:adjustRightInd/>
              <w:snapToGrid/>
              <w:spacing w:before="0" w:beforeAutospacing="0" w:line="360" w:lineRule="exact"/>
              <w:ind w:left="0" w:leftChars="0" w:right="0" w:rightChars="0" w:firstLine="0" w:firstLineChars="0"/>
              <w:jc w:val="center"/>
              <w:textAlignment w:val="auto"/>
              <w:outlineLvl w:val="9"/>
              <w:rPr>
                <w:rFonts w:hint="default" w:ascii="Times New Roman" w:hAnsi="Times New Roman" w:eastAsia="宋体" w:cs="Times New Roman"/>
                <w:b/>
                <w:bCs/>
                <w:color w:val="auto"/>
                <w:w w:val="100"/>
                <w:kern w:val="0"/>
                <w:sz w:val="21"/>
                <w:szCs w:val="21"/>
                <w:highlight w:val="none"/>
              </w:rPr>
            </w:pPr>
            <w:r>
              <w:rPr>
                <w:rFonts w:hint="default" w:ascii="Times New Roman" w:hAnsi="Times New Roman" w:eastAsia="宋体" w:cs="Times New Roman"/>
                <w:b/>
                <w:bCs/>
                <w:color w:val="auto"/>
                <w:w w:val="100"/>
                <w:kern w:val="0"/>
                <w:sz w:val="21"/>
                <w:szCs w:val="21"/>
                <w:highlight w:val="none"/>
              </w:rPr>
              <w:t>碱化</w:t>
            </w:r>
          </w:p>
        </w:tc>
        <w:tc>
          <w:tcPr>
            <w:tcW w:w="436" w:type="pct"/>
            <w:tcBorders>
              <w:tl2br w:val="nil"/>
              <w:tr2bl w:val="nil"/>
            </w:tcBorders>
            <w:noWrap w:val="0"/>
            <w:vAlign w:val="center"/>
          </w:tcPr>
          <w:p w14:paraId="536045B5">
            <w:pPr>
              <w:pStyle w:val="47"/>
              <w:keepNext w:val="0"/>
              <w:keepLines w:val="0"/>
              <w:pageBreakBefore w:val="0"/>
              <w:widowControl w:val="0"/>
              <w:kinsoku/>
              <w:wordWrap/>
              <w:overflowPunct/>
              <w:topLinePunct w:val="0"/>
              <w:autoSpaceDE/>
              <w:autoSpaceDN/>
              <w:bidi w:val="0"/>
              <w:adjustRightInd/>
              <w:snapToGrid/>
              <w:spacing w:before="0" w:beforeAutospacing="0" w:line="360" w:lineRule="exact"/>
              <w:ind w:left="0" w:leftChars="0" w:right="0" w:rightChars="0" w:firstLine="0" w:firstLineChars="0"/>
              <w:jc w:val="center"/>
              <w:textAlignment w:val="auto"/>
              <w:outlineLvl w:val="9"/>
              <w:rPr>
                <w:rFonts w:hint="default" w:ascii="Times New Roman" w:hAnsi="Times New Roman" w:eastAsia="宋体" w:cs="Times New Roman"/>
                <w:b/>
                <w:bCs/>
                <w:color w:val="auto"/>
                <w:w w:val="100"/>
                <w:kern w:val="0"/>
                <w:sz w:val="21"/>
                <w:szCs w:val="21"/>
                <w:highlight w:val="none"/>
              </w:rPr>
            </w:pPr>
            <w:r>
              <w:rPr>
                <w:rFonts w:hint="default" w:ascii="Times New Roman" w:hAnsi="Times New Roman" w:eastAsia="宋体" w:cs="Times New Roman"/>
                <w:b/>
                <w:bCs/>
                <w:color w:val="auto"/>
                <w:w w:val="100"/>
                <w:kern w:val="0"/>
                <w:sz w:val="21"/>
                <w:szCs w:val="21"/>
                <w:highlight w:val="none"/>
              </w:rPr>
              <w:t>酸化</w:t>
            </w:r>
          </w:p>
        </w:tc>
        <w:tc>
          <w:tcPr>
            <w:tcW w:w="475" w:type="pct"/>
            <w:tcBorders>
              <w:tl2br w:val="nil"/>
              <w:tr2bl w:val="nil"/>
            </w:tcBorders>
            <w:noWrap w:val="0"/>
            <w:vAlign w:val="center"/>
          </w:tcPr>
          <w:p w14:paraId="4EF736EF">
            <w:pPr>
              <w:pStyle w:val="47"/>
              <w:keepNext w:val="0"/>
              <w:keepLines w:val="0"/>
              <w:pageBreakBefore w:val="0"/>
              <w:widowControl w:val="0"/>
              <w:kinsoku/>
              <w:wordWrap/>
              <w:overflowPunct/>
              <w:topLinePunct w:val="0"/>
              <w:autoSpaceDE/>
              <w:autoSpaceDN/>
              <w:bidi w:val="0"/>
              <w:adjustRightInd/>
              <w:snapToGrid/>
              <w:spacing w:before="0" w:beforeAutospacing="0" w:line="360" w:lineRule="exact"/>
              <w:ind w:left="0" w:leftChars="0" w:right="0" w:rightChars="0" w:firstLine="0" w:firstLineChars="0"/>
              <w:jc w:val="center"/>
              <w:textAlignment w:val="auto"/>
              <w:outlineLvl w:val="9"/>
              <w:rPr>
                <w:rFonts w:hint="default" w:ascii="Times New Roman" w:hAnsi="Times New Roman" w:eastAsia="宋体" w:cs="Times New Roman"/>
                <w:b/>
                <w:bCs/>
                <w:color w:val="auto"/>
                <w:w w:val="100"/>
                <w:kern w:val="0"/>
                <w:sz w:val="21"/>
                <w:szCs w:val="21"/>
                <w:highlight w:val="none"/>
              </w:rPr>
            </w:pPr>
            <w:r>
              <w:rPr>
                <w:rFonts w:hint="default" w:ascii="Times New Roman" w:hAnsi="Times New Roman" w:eastAsia="宋体" w:cs="Times New Roman"/>
                <w:b/>
                <w:bCs/>
                <w:color w:val="auto"/>
                <w:w w:val="100"/>
                <w:kern w:val="0"/>
                <w:sz w:val="21"/>
                <w:szCs w:val="21"/>
                <w:highlight w:val="none"/>
              </w:rPr>
              <w:t>其他</w:t>
            </w:r>
          </w:p>
        </w:tc>
      </w:tr>
      <w:tr w14:paraId="629AA8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961" w:type="pct"/>
            <w:gridSpan w:val="2"/>
            <w:tcBorders>
              <w:tl2br w:val="nil"/>
              <w:tr2bl w:val="nil"/>
            </w:tcBorders>
            <w:noWrap w:val="0"/>
            <w:vAlign w:val="center"/>
          </w:tcPr>
          <w:p w14:paraId="3598AAB3">
            <w:pPr>
              <w:pStyle w:val="47"/>
              <w:keepNext w:val="0"/>
              <w:keepLines w:val="0"/>
              <w:pageBreakBefore w:val="0"/>
              <w:widowControl w:val="0"/>
              <w:kinsoku/>
              <w:wordWrap/>
              <w:overflowPunct/>
              <w:topLinePunct w:val="0"/>
              <w:autoSpaceDE/>
              <w:autoSpaceDN/>
              <w:bidi w:val="0"/>
              <w:adjustRightInd/>
              <w:snapToGrid/>
              <w:spacing w:before="0" w:before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auto"/>
                <w:w w:val="100"/>
                <w:kern w:val="0"/>
                <w:sz w:val="21"/>
                <w:szCs w:val="21"/>
                <w:highlight w:val="none"/>
              </w:rPr>
            </w:pPr>
            <w:r>
              <w:rPr>
                <w:rFonts w:hint="default" w:ascii="Times New Roman" w:hAnsi="Times New Roman" w:eastAsia="宋体" w:cs="Times New Roman"/>
                <w:b w:val="0"/>
                <w:color w:val="auto"/>
                <w:w w:val="100"/>
                <w:kern w:val="0"/>
                <w:sz w:val="21"/>
                <w:szCs w:val="21"/>
                <w:highlight w:val="none"/>
              </w:rPr>
              <w:t>建设期</w:t>
            </w:r>
          </w:p>
        </w:tc>
        <w:tc>
          <w:tcPr>
            <w:tcW w:w="607" w:type="pct"/>
            <w:tcBorders>
              <w:tl2br w:val="nil"/>
              <w:tr2bl w:val="nil"/>
            </w:tcBorders>
            <w:noWrap w:val="0"/>
            <w:vAlign w:val="center"/>
          </w:tcPr>
          <w:p w14:paraId="6F29DEE0">
            <w:pPr>
              <w:pStyle w:val="47"/>
              <w:keepNext w:val="0"/>
              <w:keepLines w:val="0"/>
              <w:pageBreakBefore w:val="0"/>
              <w:widowControl w:val="0"/>
              <w:kinsoku/>
              <w:wordWrap/>
              <w:overflowPunct/>
              <w:topLinePunct w:val="0"/>
              <w:autoSpaceDE/>
              <w:autoSpaceDN/>
              <w:bidi w:val="0"/>
              <w:adjustRightInd/>
              <w:snapToGrid/>
              <w:spacing w:before="0" w:before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auto"/>
                <w:w w:val="100"/>
                <w:kern w:val="0"/>
                <w:sz w:val="21"/>
                <w:szCs w:val="21"/>
                <w:highlight w:val="none"/>
              </w:rPr>
            </w:pPr>
            <w:r>
              <w:rPr>
                <w:rFonts w:hint="default" w:ascii="Times New Roman" w:hAnsi="Times New Roman" w:eastAsia="宋体" w:cs="Times New Roman"/>
                <w:b w:val="0"/>
                <w:color w:val="auto"/>
                <w:w w:val="100"/>
                <w:kern w:val="0"/>
                <w:sz w:val="21"/>
                <w:szCs w:val="21"/>
                <w:highlight w:val="none"/>
              </w:rPr>
              <w:t>√</w:t>
            </w:r>
          </w:p>
        </w:tc>
        <w:tc>
          <w:tcPr>
            <w:tcW w:w="610" w:type="pct"/>
            <w:tcBorders>
              <w:tl2br w:val="nil"/>
              <w:tr2bl w:val="nil"/>
            </w:tcBorders>
            <w:noWrap w:val="0"/>
            <w:vAlign w:val="center"/>
          </w:tcPr>
          <w:p w14:paraId="6674D0BD">
            <w:pPr>
              <w:pStyle w:val="47"/>
              <w:keepNext w:val="0"/>
              <w:keepLines w:val="0"/>
              <w:pageBreakBefore w:val="0"/>
              <w:widowControl w:val="0"/>
              <w:kinsoku/>
              <w:wordWrap/>
              <w:overflowPunct/>
              <w:topLinePunct w:val="0"/>
              <w:autoSpaceDE/>
              <w:autoSpaceDN/>
              <w:bidi w:val="0"/>
              <w:adjustRightInd/>
              <w:snapToGrid/>
              <w:spacing w:before="0" w:before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auto"/>
                <w:w w:val="100"/>
                <w:kern w:val="0"/>
                <w:sz w:val="21"/>
                <w:szCs w:val="21"/>
                <w:highlight w:val="none"/>
              </w:rPr>
            </w:pPr>
          </w:p>
        </w:tc>
        <w:tc>
          <w:tcPr>
            <w:tcW w:w="607" w:type="pct"/>
            <w:tcBorders>
              <w:tl2br w:val="nil"/>
              <w:tr2bl w:val="nil"/>
            </w:tcBorders>
            <w:noWrap w:val="0"/>
            <w:vAlign w:val="center"/>
          </w:tcPr>
          <w:p w14:paraId="26447B03">
            <w:pPr>
              <w:pStyle w:val="47"/>
              <w:keepNext w:val="0"/>
              <w:keepLines w:val="0"/>
              <w:pageBreakBefore w:val="0"/>
              <w:widowControl w:val="0"/>
              <w:kinsoku/>
              <w:wordWrap/>
              <w:overflowPunct/>
              <w:topLinePunct w:val="0"/>
              <w:autoSpaceDE/>
              <w:autoSpaceDN/>
              <w:bidi w:val="0"/>
              <w:adjustRightInd/>
              <w:snapToGrid/>
              <w:spacing w:before="0" w:before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auto"/>
                <w:w w:val="100"/>
                <w:kern w:val="0"/>
                <w:sz w:val="21"/>
                <w:szCs w:val="21"/>
                <w:highlight w:val="none"/>
              </w:rPr>
            </w:pPr>
            <w:r>
              <w:rPr>
                <w:rFonts w:hint="default" w:ascii="Times New Roman" w:hAnsi="Times New Roman" w:eastAsia="宋体" w:cs="Times New Roman"/>
                <w:b w:val="0"/>
                <w:color w:val="auto"/>
                <w:w w:val="100"/>
                <w:kern w:val="0"/>
                <w:sz w:val="21"/>
                <w:szCs w:val="21"/>
                <w:highlight w:val="none"/>
              </w:rPr>
              <w:t>√</w:t>
            </w:r>
          </w:p>
        </w:tc>
        <w:tc>
          <w:tcPr>
            <w:tcW w:w="429" w:type="pct"/>
            <w:tcBorders>
              <w:tl2br w:val="nil"/>
              <w:tr2bl w:val="nil"/>
            </w:tcBorders>
            <w:noWrap w:val="0"/>
            <w:vAlign w:val="center"/>
          </w:tcPr>
          <w:p w14:paraId="39DD12A2">
            <w:pPr>
              <w:pStyle w:val="47"/>
              <w:keepNext w:val="0"/>
              <w:keepLines w:val="0"/>
              <w:pageBreakBefore w:val="0"/>
              <w:widowControl w:val="0"/>
              <w:kinsoku/>
              <w:wordWrap/>
              <w:overflowPunct/>
              <w:topLinePunct w:val="0"/>
              <w:autoSpaceDE/>
              <w:autoSpaceDN/>
              <w:bidi w:val="0"/>
              <w:adjustRightInd/>
              <w:snapToGrid/>
              <w:spacing w:before="0" w:before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auto"/>
                <w:w w:val="100"/>
                <w:kern w:val="0"/>
                <w:sz w:val="21"/>
                <w:szCs w:val="21"/>
                <w:highlight w:val="none"/>
              </w:rPr>
            </w:pPr>
          </w:p>
        </w:tc>
        <w:tc>
          <w:tcPr>
            <w:tcW w:w="436" w:type="pct"/>
            <w:tcBorders>
              <w:tl2br w:val="nil"/>
              <w:tr2bl w:val="nil"/>
            </w:tcBorders>
            <w:noWrap w:val="0"/>
            <w:vAlign w:val="center"/>
          </w:tcPr>
          <w:p w14:paraId="5BF28DEA">
            <w:pPr>
              <w:pStyle w:val="47"/>
              <w:keepNext w:val="0"/>
              <w:keepLines w:val="0"/>
              <w:pageBreakBefore w:val="0"/>
              <w:widowControl w:val="0"/>
              <w:kinsoku/>
              <w:wordWrap/>
              <w:overflowPunct/>
              <w:topLinePunct w:val="0"/>
              <w:autoSpaceDE/>
              <w:autoSpaceDN/>
              <w:bidi w:val="0"/>
              <w:adjustRightInd/>
              <w:snapToGrid/>
              <w:spacing w:before="0" w:before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auto"/>
                <w:w w:val="100"/>
                <w:kern w:val="0"/>
                <w:sz w:val="21"/>
                <w:szCs w:val="21"/>
                <w:highlight w:val="none"/>
              </w:rPr>
            </w:pPr>
          </w:p>
        </w:tc>
        <w:tc>
          <w:tcPr>
            <w:tcW w:w="433" w:type="pct"/>
            <w:tcBorders>
              <w:tl2br w:val="nil"/>
              <w:tr2bl w:val="nil"/>
            </w:tcBorders>
            <w:noWrap w:val="0"/>
            <w:vAlign w:val="center"/>
          </w:tcPr>
          <w:p w14:paraId="0059F651">
            <w:pPr>
              <w:pStyle w:val="47"/>
              <w:keepNext w:val="0"/>
              <w:keepLines w:val="0"/>
              <w:pageBreakBefore w:val="0"/>
              <w:widowControl w:val="0"/>
              <w:kinsoku/>
              <w:wordWrap/>
              <w:overflowPunct/>
              <w:topLinePunct w:val="0"/>
              <w:autoSpaceDE/>
              <w:autoSpaceDN/>
              <w:bidi w:val="0"/>
              <w:adjustRightInd/>
              <w:snapToGrid/>
              <w:spacing w:before="0" w:before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auto"/>
                <w:w w:val="100"/>
                <w:kern w:val="0"/>
                <w:sz w:val="21"/>
                <w:szCs w:val="21"/>
                <w:highlight w:val="none"/>
              </w:rPr>
            </w:pPr>
          </w:p>
        </w:tc>
        <w:tc>
          <w:tcPr>
            <w:tcW w:w="436" w:type="pct"/>
            <w:tcBorders>
              <w:tl2br w:val="nil"/>
              <w:tr2bl w:val="nil"/>
            </w:tcBorders>
            <w:noWrap w:val="0"/>
            <w:vAlign w:val="center"/>
          </w:tcPr>
          <w:p w14:paraId="4CEC3AE4">
            <w:pPr>
              <w:pStyle w:val="47"/>
              <w:keepNext w:val="0"/>
              <w:keepLines w:val="0"/>
              <w:pageBreakBefore w:val="0"/>
              <w:widowControl w:val="0"/>
              <w:kinsoku/>
              <w:wordWrap/>
              <w:overflowPunct/>
              <w:topLinePunct w:val="0"/>
              <w:autoSpaceDE/>
              <w:autoSpaceDN/>
              <w:bidi w:val="0"/>
              <w:adjustRightInd/>
              <w:snapToGrid/>
              <w:spacing w:before="0" w:before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auto"/>
                <w:w w:val="100"/>
                <w:kern w:val="0"/>
                <w:sz w:val="21"/>
                <w:szCs w:val="21"/>
                <w:highlight w:val="none"/>
              </w:rPr>
            </w:pPr>
          </w:p>
        </w:tc>
        <w:tc>
          <w:tcPr>
            <w:tcW w:w="475" w:type="pct"/>
            <w:tcBorders>
              <w:tl2br w:val="nil"/>
              <w:tr2bl w:val="nil"/>
            </w:tcBorders>
            <w:noWrap w:val="0"/>
            <w:vAlign w:val="center"/>
          </w:tcPr>
          <w:p w14:paraId="76AD3865">
            <w:pPr>
              <w:pStyle w:val="47"/>
              <w:keepNext w:val="0"/>
              <w:keepLines w:val="0"/>
              <w:pageBreakBefore w:val="0"/>
              <w:widowControl w:val="0"/>
              <w:kinsoku/>
              <w:wordWrap/>
              <w:overflowPunct/>
              <w:topLinePunct w:val="0"/>
              <w:autoSpaceDE/>
              <w:autoSpaceDN/>
              <w:bidi w:val="0"/>
              <w:adjustRightInd/>
              <w:snapToGrid/>
              <w:spacing w:before="0" w:before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auto"/>
                <w:w w:val="100"/>
                <w:kern w:val="0"/>
                <w:sz w:val="21"/>
                <w:szCs w:val="21"/>
                <w:highlight w:val="none"/>
              </w:rPr>
            </w:pPr>
          </w:p>
        </w:tc>
      </w:tr>
      <w:tr w14:paraId="4F32BD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jc w:val="center"/>
        </w:trPr>
        <w:tc>
          <w:tcPr>
            <w:tcW w:w="168" w:type="pct"/>
            <w:vMerge w:val="restart"/>
            <w:tcBorders>
              <w:tl2br w:val="nil"/>
              <w:tr2bl w:val="nil"/>
            </w:tcBorders>
            <w:noWrap w:val="0"/>
            <w:vAlign w:val="center"/>
          </w:tcPr>
          <w:p w14:paraId="35AC2FF3">
            <w:pPr>
              <w:pStyle w:val="47"/>
              <w:keepNext w:val="0"/>
              <w:keepLines w:val="0"/>
              <w:pageBreakBefore w:val="0"/>
              <w:widowControl w:val="0"/>
              <w:kinsoku/>
              <w:wordWrap/>
              <w:overflowPunct/>
              <w:topLinePunct w:val="0"/>
              <w:autoSpaceDE/>
              <w:autoSpaceDN/>
              <w:bidi w:val="0"/>
              <w:adjustRightInd/>
              <w:snapToGrid/>
              <w:spacing w:before="0" w:before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auto"/>
                <w:w w:val="100"/>
                <w:kern w:val="0"/>
                <w:sz w:val="21"/>
                <w:szCs w:val="21"/>
                <w:highlight w:val="none"/>
              </w:rPr>
            </w:pPr>
            <w:r>
              <w:rPr>
                <w:rFonts w:hint="default" w:ascii="Times New Roman" w:hAnsi="Times New Roman" w:eastAsia="宋体" w:cs="Times New Roman"/>
                <w:b w:val="0"/>
                <w:color w:val="auto"/>
                <w:w w:val="100"/>
                <w:kern w:val="0"/>
                <w:sz w:val="21"/>
                <w:szCs w:val="21"/>
                <w:highlight w:val="none"/>
              </w:rPr>
              <w:t>运营期</w:t>
            </w:r>
          </w:p>
        </w:tc>
        <w:tc>
          <w:tcPr>
            <w:tcW w:w="793" w:type="pct"/>
            <w:tcBorders>
              <w:tl2br w:val="nil"/>
              <w:tr2bl w:val="nil"/>
            </w:tcBorders>
            <w:noWrap w:val="0"/>
            <w:vAlign w:val="center"/>
          </w:tcPr>
          <w:p w14:paraId="32F97755">
            <w:pPr>
              <w:pStyle w:val="47"/>
              <w:keepNext w:val="0"/>
              <w:keepLines w:val="0"/>
              <w:pageBreakBefore w:val="0"/>
              <w:widowControl w:val="0"/>
              <w:kinsoku/>
              <w:wordWrap/>
              <w:overflowPunct/>
              <w:topLinePunct w:val="0"/>
              <w:autoSpaceDE/>
              <w:autoSpaceDN/>
              <w:bidi w:val="0"/>
              <w:adjustRightInd/>
              <w:snapToGrid/>
              <w:spacing w:before="0" w:before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auto"/>
                <w:w w:val="100"/>
                <w:kern w:val="0"/>
                <w:sz w:val="21"/>
                <w:szCs w:val="21"/>
                <w:highlight w:val="none"/>
              </w:rPr>
            </w:pPr>
            <w:r>
              <w:rPr>
                <w:rFonts w:hint="default" w:ascii="Times New Roman" w:hAnsi="Times New Roman" w:eastAsia="宋体" w:cs="Times New Roman"/>
                <w:b w:val="0"/>
                <w:color w:val="auto"/>
                <w:w w:val="100"/>
                <w:kern w:val="0"/>
                <w:sz w:val="21"/>
                <w:szCs w:val="21"/>
                <w:highlight w:val="none"/>
              </w:rPr>
              <w:t>采矿区</w:t>
            </w:r>
          </w:p>
        </w:tc>
        <w:tc>
          <w:tcPr>
            <w:tcW w:w="607" w:type="pct"/>
            <w:tcBorders>
              <w:tl2br w:val="nil"/>
              <w:tr2bl w:val="nil"/>
            </w:tcBorders>
            <w:noWrap w:val="0"/>
            <w:vAlign w:val="center"/>
          </w:tcPr>
          <w:p w14:paraId="2494ACBF">
            <w:pPr>
              <w:pStyle w:val="47"/>
              <w:keepNext w:val="0"/>
              <w:keepLines w:val="0"/>
              <w:pageBreakBefore w:val="0"/>
              <w:widowControl w:val="0"/>
              <w:kinsoku/>
              <w:wordWrap/>
              <w:overflowPunct/>
              <w:topLinePunct w:val="0"/>
              <w:autoSpaceDE/>
              <w:autoSpaceDN/>
              <w:bidi w:val="0"/>
              <w:adjustRightInd/>
              <w:snapToGrid/>
              <w:spacing w:before="0" w:before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auto"/>
                <w:w w:val="100"/>
                <w:kern w:val="0"/>
                <w:sz w:val="21"/>
                <w:szCs w:val="21"/>
                <w:highlight w:val="none"/>
              </w:rPr>
            </w:pPr>
            <w:r>
              <w:rPr>
                <w:rFonts w:hint="default" w:ascii="Times New Roman" w:hAnsi="Times New Roman" w:eastAsia="宋体" w:cs="Times New Roman"/>
                <w:b w:val="0"/>
                <w:color w:val="auto"/>
                <w:w w:val="100"/>
                <w:kern w:val="0"/>
                <w:sz w:val="21"/>
                <w:szCs w:val="21"/>
                <w:highlight w:val="none"/>
              </w:rPr>
              <w:t>√</w:t>
            </w:r>
          </w:p>
        </w:tc>
        <w:tc>
          <w:tcPr>
            <w:tcW w:w="610" w:type="pct"/>
            <w:tcBorders>
              <w:tl2br w:val="nil"/>
              <w:tr2bl w:val="nil"/>
            </w:tcBorders>
            <w:noWrap w:val="0"/>
            <w:vAlign w:val="center"/>
          </w:tcPr>
          <w:p w14:paraId="16015680">
            <w:pPr>
              <w:pStyle w:val="47"/>
              <w:keepNext w:val="0"/>
              <w:keepLines w:val="0"/>
              <w:pageBreakBefore w:val="0"/>
              <w:widowControl w:val="0"/>
              <w:kinsoku/>
              <w:wordWrap/>
              <w:overflowPunct/>
              <w:topLinePunct w:val="0"/>
              <w:autoSpaceDE/>
              <w:autoSpaceDN/>
              <w:bidi w:val="0"/>
              <w:adjustRightInd/>
              <w:snapToGrid/>
              <w:spacing w:before="0" w:before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auto"/>
                <w:w w:val="100"/>
                <w:kern w:val="0"/>
                <w:sz w:val="21"/>
                <w:szCs w:val="21"/>
                <w:highlight w:val="none"/>
              </w:rPr>
            </w:pPr>
          </w:p>
        </w:tc>
        <w:tc>
          <w:tcPr>
            <w:tcW w:w="607" w:type="pct"/>
            <w:tcBorders>
              <w:tl2br w:val="nil"/>
              <w:tr2bl w:val="nil"/>
            </w:tcBorders>
            <w:noWrap w:val="0"/>
            <w:vAlign w:val="center"/>
          </w:tcPr>
          <w:p w14:paraId="6BDF3FC8">
            <w:pPr>
              <w:pStyle w:val="47"/>
              <w:keepNext w:val="0"/>
              <w:keepLines w:val="0"/>
              <w:pageBreakBefore w:val="0"/>
              <w:widowControl w:val="0"/>
              <w:kinsoku/>
              <w:wordWrap/>
              <w:overflowPunct/>
              <w:topLinePunct w:val="0"/>
              <w:autoSpaceDE/>
              <w:autoSpaceDN/>
              <w:bidi w:val="0"/>
              <w:adjustRightInd/>
              <w:snapToGrid/>
              <w:spacing w:before="0" w:before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auto"/>
                <w:w w:val="100"/>
                <w:kern w:val="0"/>
                <w:sz w:val="21"/>
                <w:szCs w:val="21"/>
                <w:highlight w:val="none"/>
              </w:rPr>
            </w:pPr>
          </w:p>
        </w:tc>
        <w:tc>
          <w:tcPr>
            <w:tcW w:w="429" w:type="pct"/>
            <w:tcBorders>
              <w:tl2br w:val="nil"/>
              <w:tr2bl w:val="nil"/>
            </w:tcBorders>
            <w:noWrap w:val="0"/>
            <w:vAlign w:val="center"/>
          </w:tcPr>
          <w:p w14:paraId="4634DDD0">
            <w:pPr>
              <w:pStyle w:val="47"/>
              <w:keepNext w:val="0"/>
              <w:keepLines w:val="0"/>
              <w:pageBreakBefore w:val="0"/>
              <w:widowControl w:val="0"/>
              <w:kinsoku/>
              <w:wordWrap/>
              <w:overflowPunct/>
              <w:topLinePunct w:val="0"/>
              <w:autoSpaceDE/>
              <w:autoSpaceDN/>
              <w:bidi w:val="0"/>
              <w:adjustRightInd/>
              <w:snapToGrid/>
              <w:spacing w:before="0" w:before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auto"/>
                <w:w w:val="100"/>
                <w:kern w:val="0"/>
                <w:sz w:val="21"/>
                <w:szCs w:val="21"/>
                <w:highlight w:val="none"/>
              </w:rPr>
            </w:pPr>
          </w:p>
        </w:tc>
        <w:tc>
          <w:tcPr>
            <w:tcW w:w="436" w:type="pct"/>
            <w:tcBorders>
              <w:tl2br w:val="nil"/>
              <w:tr2bl w:val="nil"/>
            </w:tcBorders>
            <w:noWrap w:val="0"/>
            <w:vAlign w:val="center"/>
          </w:tcPr>
          <w:p w14:paraId="2B9C7F27">
            <w:pPr>
              <w:pStyle w:val="47"/>
              <w:keepNext w:val="0"/>
              <w:keepLines w:val="0"/>
              <w:pageBreakBefore w:val="0"/>
              <w:widowControl w:val="0"/>
              <w:kinsoku/>
              <w:wordWrap/>
              <w:overflowPunct/>
              <w:topLinePunct w:val="0"/>
              <w:autoSpaceDE/>
              <w:autoSpaceDN/>
              <w:bidi w:val="0"/>
              <w:adjustRightInd/>
              <w:snapToGrid/>
              <w:spacing w:before="0" w:before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auto"/>
                <w:w w:val="100"/>
                <w:kern w:val="0"/>
                <w:sz w:val="21"/>
                <w:szCs w:val="21"/>
                <w:highlight w:val="none"/>
              </w:rPr>
            </w:pPr>
            <w:r>
              <w:rPr>
                <w:rFonts w:hint="default" w:ascii="Times New Roman" w:hAnsi="Times New Roman" w:eastAsia="宋体" w:cs="Times New Roman"/>
                <w:b w:val="0"/>
                <w:color w:val="auto"/>
                <w:w w:val="100"/>
                <w:kern w:val="0"/>
                <w:sz w:val="21"/>
                <w:szCs w:val="21"/>
                <w:highlight w:val="none"/>
              </w:rPr>
              <w:t>√</w:t>
            </w:r>
          </w:p>
        </w:tc>
        <w:tc>
          <w:tcPr>
            <w:tcW w:w="433" w:type="pct"/>
            <w:tcBorders>
              <w:tl2br w:val="nil"/>
              <w:tr2bl w:val="nil"/>
            </w:tcBorders>
            <w:noWrap w:val="0"/>
            <w:vAlign w:val="center"/>
          </w:tcPr>
          <w:p w14:paraId="4FBB0BE9">
            <w:pPr>
              <w:pStyle w:val="47"/>
              <w:keepNext w:val="0"/>
              <w:keepLines w:val="0"/>
              <w:pageBreakBefore w:val="0"/>
              <w:widowControl w:val="0"/>
              <w:kinsoku/>
              <w:wordWrap/>
              <w:overflowPunct/>
              <w:topLinePunct w:val="0"/>
              <w:autoSpaceDE/>
              <w:autoSpaceDN/>
              <w:bidi w:val="0"/>
              <w:adjustRightInd/>
              <w:snapToGrid/>
              <w:spacing w:before="0" w:before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auto"/>
                <w:w w:val="100"/>
                <w:kern w:val="0"/>
                <w:sz w:val="21"/>
                <w:szCs w:val="21"/>
                <w:highlight w:val="none"/>
              </w:rPr>
            </w:pPr>
          </w:p>
        </w:tc>
        <w:tc>
          <w:tcPr>
            <w:tcW w:w="436" w:type="pct"/>
            <w:tcBorders>
              <w:tl2br w:val="nil"/>
              <w:tr2bl w:val="nil"/>
            </w:tcBorders>
            <w:noWrap w:val="0"/>
            <w:vAlign w:val="center"/>
          </w:tcPr>
          <w:p w14:paraId="3060F614">
            <w:pPr>
              <w:pStyle w:val="47"/>
              <w:keepNext w:val="0"/>
              <w:keepLines w:val="0"/>
              <w:pageBreakBefore w:val="0"/>
              <w:widowControl w:val="0"/>
              <w:kinsoku/>
              <w:wordWrap/>
              <w:overflowPunct/>
              <w:topLinePunct w:val="0"/>
              <w:autoSpaceDE/>
              <w:autoSpaceDN/>
              <w:bidi w:val="0"/>
              <w:adjustRightInd/>
              <w:snapToGrid/>
              <w:spacing w:before="0" w:before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auto"/>
                <w:w w:val="100"/>
                <w:kern w:val="0"/>
                <w:sz w:val="21"/>
                <w:szCs w:val="21"/>
                <w:highlight w:val="none"/>
              </w:rPr>
            </w:pPr>
          </w:p>
        </w:tc>
        <w:tc>
          <w:tcPr>
            <w:tcW w:w="475" w:type="pct"/>
            <w:tcBorders>
              <w:tl2br w:val="nil"/>
              <w:tr2bl w:val="nil"/>
            </w:tcBorders>
            <w:noWrap w:val="0"/>
            <w:vAlign w:val="center"/>
          </w:tcPr>
          <w:p w14:paraId="4B52BB63">
            <w:pPr>
              <w:pStyle w:val="47"/>
              <w:keepNext w:val="0"/>
              <w:keepLines w:val="0"/>
              <w:pageBreakBefore w:val="0"/>
              <w:widowControl w:val="0"/>
              <w:kinsoku/>
              <w:wordWrap/>
              <w:overflowPunct/>
              <w:topLinePunct w:val="0"/>
              <w:autoSpaceDE/>
              <w:autoSpaceDN/>
              <w:bidi w:val="0"/>
              <w:adjustRightInd/>
              <w:snapToGrid/>
              <w:spacing w:before="0" w:before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auto"/>
                <w:w w:val="100"/>
                <w:kern w:val="0"/>
                <w:sz w:val="21"/>
                <w:szCs w:val="21"/>
                <w:highlight w:val="none"/>
              </w:rPr>
            </w:pPr>
          </w:p>
        </w:tc>
      </w:tr>
      <w:tr w14:paraId="5ADAA1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jc w:val="center"/>
        </w:trPr>
        <w:tc>
          <w:tcPr>
            <w:tcW w:w="168" w:type="pct"/>
            <w:vMerge w:val="continue"/>
            <w:tcBorders>
              <w:tl2br w:val="nil"/>
              <w:tr2bl w:val="nil"/>
            </w:tcBorders>
            <w:noWrap w:val="0"/>
            <w:vAlign w:val="center"/>
          </w:tcPr>
          <w:p w14:paraId="47E2C00F">
            <w:pPr>
              <w:keepNext w:val="0"/>
              <w:keepLines w:val="0"/>
              <w:pageBreakBefore w:val="0"/>
              <w:widowControl w:val="0"/>
              <w:kinsoku/>
              <w:wordWrap/>
              <w:overflowPunct/>
              <w:topLinePunct w:val="0"/>
              <w:autoSpaceDE/>
              <w:autoSpaceDN/>
              <w:bidi w:val="0"/>
              <w:adjustRightInd/>
              <w:snapToGrid/>
              <w:spacing w:before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auto"/>
                <w:w w:val="100"/>
                <w:kern w:val="0"/>
                <w:sz w:val="21"/>
                <w:szCs w:val="21"/>
                <w:highlight w:val="none"/>
              </w:rPr>
            </w:pPr>
          </w:p>
        </w:tc>
        <w:tc>
          <w:tcPr>
            <w:tcW w:w="793" w:type="pct"/>
            <w:tcBorders>
              <w:tl2br w:val="nil"/>
              <w:tr2bl w:val="nil"/>
            </w:tcBorders>
            <w:noWrap w:val="0"/>
            <w:vAlign w:val="center"/>
          </w:tcPr>
          <w:p w14:paraId="1C2BBF99">
            <w:pPr>
              <w:pStyle w:val="47"/>
              <w:keepNext w:val="0"/>
              <w:keepLines w:val="0"/>
              <w:pageBreakBefore w:val="0"/>
              <w:widowControl w:val="0"/>
              <w:kinsoku/>
              <w:wordWrap/>
              <w:overflowPunct/>
              <w:topLinePunct w:val="0"/>
              <w:autoSpaceDE/>
              <w:autoSpaceDN/>
              <w:bidi w:val="0"/>
              <w:adjustRightInd/>
              <w:snapToGrid/>
              <w:spacing w:before="0" w:before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auto"/>
                <w:w w:val="100"/>
                <w:kern w:val="0"/>
                <w:sz w:val="21"/>
                <w:szCs w:val="21"/>
                <w:highlight w:val="none"/>
                <w:lang w:eastAsia="zh-CN"/>
              </w:rPr>
            </w:pPr>
            <w:r>
              <w:rPr>
                <w:rFonts w:hint="default" w:ascii="Times New Roman" w:hAnsi="Times New Roman" w:cs="Times New Roman"/>
                <w:b w:val="0"/>
                <w:color w:val="auto"/>
                <w:w w:val="100"/>
                <w:kern w:val="0"/>
                <w:sz w:val="21"/>
                <w:szCs w:val="21"/>
                <w:highlight w:val="none"/>
                <w:lang w:val="en-US" w:eastAsia="zh-CN"/>
              </w:rPr>
              <w:t>排土场</w:t>
            </w:r>
          </w:p>
        </w:tc>
        <w:tc>
          <w:tcPr>
            <w:tcW w:w="607" w:type="pct"/>
            <w:tcBorders>
              <w:tl2br w:val="nil"/>
              <w:tr2bl w:val="nil"/>
            </w:tcBorders>
            <w:noWrap w:val="0"/>
            <w:vAlign w:val="center"/>
          </w:tcPr>
          <w:p w14:paraId="21AE6D3E">
            <w:pPr>
              <w:pStyle w:val="47"/>
              <w:keepNext w:val="0"/>
              <w:keepLines w:val="0"/>
              <w:pageBreakBefore w:val="0"/>
              <w:widowControl w:val="0"/>
              <w:kinsoku/>
              <w:wordWrap/>
              <w:overflowPunct/>
              <w:topLinePunct w:val="0"/>
              <w:autoSpaceDE/>
              <w:autoSpaceDN/>
              <w:bidi w:val="0"/>
              <w:adjustRightInd/>
              <w:snapToGrid/>
              <w:spacing w:before="0" w:before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auto"/>
                <w:w w:val="100"/>
                <w:kern w:val="0"/>
                <w:sz w:val="21"/>
                <w:szCs w:val="21"/>
                <w:highlight w:val="none"/>
              </w:rPr>
            </w:pPr>
            <w:r>
              <w:rPr>
                <w:rFonts w:hint="default" w:ascii="Times New Roman" w:hAnsi="Times New Roman" w:eastAsia="宋体" w:cs="Times New Roman"/>
                <w:b w:val="0"/>
                <w:color w:val="auto"/>
                <w:w w:val="100"/>
                <w:kern w:val="0"/>
                <w:sz w:val="21"/>
                <w:szCs w:val="21"/>
                <w:highlight w:val="none"/>
              </w:rPr>
              <w:t>√</w:t>
            </w:r>
          </w:p>
        </w:tc>
        <w:tc>
          <w:tcPr>
            <w:tcW w:w="610" w:type="pct"/>
            <w:tcBorders>
              <w:tl2br w:val="nil"/>
              <w:tr2bl w:val="nil"/>
            </w:tcBorders>
            <w:noWrap w:val="0"/>
            <w:vAlign w:val="center"/>
          </w:tcPr>
          <w:p w14:paraId="040D54F5">
            <w:pPr>
              <w:pStyle w:val="47"/>
              <w:keepNext w:val="0"/>
              <w:keepLines w:val="0"/>
              <w:pageBreakBefore w:val="0"/>
              <w:widowControl w:val="0"/>
              <w:kinsoku/>
              <w:wordWrap/>
              <w:overflowPunct/>
              <w:topLinePunct w:val="0"/>
              <w:autoSpaceDE/>
              <w:autoSpaceDN/>
              <w:bidi w:val="0"/>
              <w:adjustRightInd/>
              <w:snapToGrid/>
              <w:spacing w:before="0" w:before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auto"/>
                <w:w w:val="100"/>
                <w:kern w:val="0"/>
                <w:sz w:val="21"/>
                <w:szCs w:val="21"/>
                <w:highlight w:val="none"/>
              </w:rPr>
            </w:pPr>
            <w:r>
              <w:rPr>
                <w:rFonts w:hint="default" w:ascii="Times New Roman" w:hAnsi="Times New Roman" w:eastAsia="宋体" w:cs="Times New Roman"/>
                <w:b w:val="0"/>
                <w:color w:val="auto"/>
                <w:w w:val="100"/>
                <w:kern w:val="0"/>
                <w:sz w:val="21"/>
                <w:szCs w:val="21"/>
                <w:highlight w:val="none"/>
              </w:rPr>
              <w:t>√</w:t>
            </w:r>
          </w:p>
        </w:tc>
        <w:tc>
          <w:tcPr>
            <w:tcW w:w="607" w:type="pct"/>
            <w:tcBorders>
              <w:tl2br w:val="nil"/>
              <w:tr2bl w:val="nil"/>
            </w:tcBorders>
            <w:noWrap w:val="0"/>
            <w:vAlign w:val="center"/>
          </w:tcPr>
          <w:p w14:paraId="639717F0">
            <w:pPr>
              <w:pStyle w:val="47"/>
              <w:keepNext w:val="0"/>
              <w:keepLines w:val="0"/>
              <w:pageBreakBefore w:val="0"/>
              <w:widowControl w:val="0"/>
              <w:kinsoku/>
              <w:wordWrap/>
              <w:overflowPunct/>
              <w:topLinePunct w:val="0"/>
              <w:autoSpaceDE/>
              <w:autoSpaceDN/>
              <w:bidi w:val="0"/>
              <w:adjustRightInd/>
              <w:snapToGrid/>
              <w:spacing w:before="0" w:before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auto"/>
                <w:w w:val="100"/>
                <w:kern w:val="0"/>
                <w:sz w:val="21"/>
                <w:szCs w:val="21"/>
                <w:highlight w:val="none"/>
              </w:rPr>
            </w:pPr>
          </w:p>
        </w:tc>
        <w:tc>
          <w:tcPr>
            <w:tcW w:w="429" w:type="pct"/>
            <w:tcBorders>
              <w:tl2br w:val="nil"/>
              <w:tr2bl w:val="nil"/>
            </w:tcBorders>
            <w:noWrap w:val="0"/>
            <w:vAlign w:val="center"/>
          </w:tcPr>
          <w:p w14:paraId="48790BB4">
            <w:pPr>
              <w:pStyle w:val="47"/>
              <w:keepNext w:val="0"/>
              <w:keepLines w:val="0"/>
              <w:pageBreakBefore w:val="0"/>
              <w:widowControl w:val="0"/>
              <w:kinsoku/>
              <w:wordWrap/>
              <w:overflowPunct/>
              <w:topLinePunct w:val="0"/>
              <w:autoSpaceDE/>
              <w:autoSpaceDN/>
              <w:bidi w:val="0"/>
              <w:adjustRightInd/>
              <w:snapToGrid/>
              <w:spacing w:before="0" w:before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auto"/>
                <w:w w:val="100"/>
                <w:kern w:val="0"/>
                <w:sz w:val="21"/>
                <w:szCs w:val="21"/>
                <w:highlight w:val="none"/>
              </w:rPr>
            </w:pPr>
          </w:p>
        </w:tc>
        <w:tc>
          <w:tcPr>
            <w:tcW w:w="436" w:type="pct"/>
            <w:tcBorders>
              <w:tl2br w:val="nil"/>
              <w:tr2bl w:val="nil"/>
            </w:tcBorders>
            <w:noWrap w:val="0"/>
            <w:vAlign w:val="center"/>
          </w:tcPr>
          <w:p w14:paraId="7D9BF5CA">
            <w:pPr>
              <w:pStyle w:val="47"/>
              <w:keepNext w:val="0"/>
              <w:keepLines w:val="0"/>
              <w:pageBreakBefore w:val="0"/>
              <w:widowControl w:val="0"/>
              <w:kinsoku/>
              <w:wordWrap/>
              <w:overflowPunct/>
              <w:topLinePunct w:val="0"/>
              <w:autoSpaceDE/>
              <w:autoSpaceDN/>
              <w:bidi w:val="0"/>
              <w:adjustRightInd/>
              <w:snapToGrid/>
              <w:spacing w:before="0" w:before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auto"/>
                <w:w w:val="100"/>
                <w:kern w:val="0"/>
                <w:sz w:val="21"/>
                <w:szCs w:val="21"/>
                <w:highlight w:val="none"/>
              </w:rPr>
            </w:pPr>
          </w:p>
        </w:tc>
        <w:tc>
          <w:tcPr>
            <w:tcW w:w="433" w:type="pct"/>
            <w:tcBorders>
              <w:tl2br w:val="nil"/>
              <w:tr2bl w:val="nil"/>
            </w:tcBorders>
            <w:noWrap w:val="0"/>
            <w:vAlign w:val="center"/>
          </w:tcPr>
          <w:p w14:paraId="3FB9D487">
            <w:pPr>
              <w:pStyle w:val="47"/>
              <w:keepNext w:val="0"/>
              <w:keepLines w:val="0"/>
              <w:pageBreakBefore w:val="0"/>
              <w:widowControl w:val="0"/>
              <w:kinsoku/>
              <w:wordWrap/>
              <w:overflowPunct/>
              <w:topLinePunct w:val="0"/>
              <w:autoSpaceDE/>
              <w:autoSpaceDN/>
              <w:bidi w:val="0"/>
              <w:adjustRightInd/>
              <w:snapToGrid/>
              <w:spacing w:before="0" w:before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auto"/>
                <w:w w:val="100"/>
                <w:kern w:val="0"/>
                <w:sz w:val="21"/>
                <w:szCs w:val="21"/>
                <w:highlight w:val="none"/>
              </w:rPr>
            </w:pPr>
          </w:p>
        </w:tc>
        <w:tc>
          <w:tcPr>
            <w:tcW w:w="436" w:type="pct"/>
            <w:tcBorders>
              <w:tl2br w:val="nil"/>
              <w:tr2bl w:val="nil"/>
            </w:tcBorders>
            <w:noWrap w:val="0"/>
            <w:vAlign w:val="center"/>
          </w:tcPr>
          <w:p w14:paraId="0A3EDE28">
            <w:pPr>
              <w:pStyle w:val="47"/>
              <w:keepNext w:val="0"/>
              <w:keepLines w:val="0"/>
              <w:pageBreakBefore w:val="0"/>
              <w:widowControl w:val="0"/>
              <w:kinsoku/>
              <w:wordWrap/>
              <w:overflowPunct/>
              <w:topLinePunct w:val="0"/>
              <w:autoSpaceDE/>
              <w:autoSpaceDN/>
              <w:bidi w:val="0"/>
              <w:adjustRightInd/>
              <w:snapToGrid/>
              <w:spacing w:before="0" w:before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auto"/>
                <w:w w:val="100"/>
                <w:kern w:val="0"/>
                <w:sz w:val="21"/>
                <w:szCs w:val="21"/>
                <w:highlight w:val="none"/>
              </w:rPr>
            </w:pPr>
          </w:p>
        </w:tc>
        <w:tc>
          <w:tcPr>
            <w:tcW w:w="475" w:type="pct"/>
            <w:tcBorders>
              <w:tl2br w:val="nil"/>
              <w:tr2bl w:val="nil"/>
            </w:tcBorders>
            <w:noWrap w:val="0"/>
            <w:vAlign w:val="center"/>
          </w:tcPr>
          <w:p w14:paraId="2B1E0F74">
            <w:pPr>
              <w:pStyle w:val="47"/>
              <w:keepNext w:val="0"/>
              <w:keepLines w:val="0"/>
              <w:pageBreakBefore w:val="0"/>
              <w:widowControl w:val="0"/>
              <w:kinsoku/>
              <w:wordWrap/>
              <w:overflowPunct/>
              <w:topLinePunct w:val="0"/>
              <w:autoSpaceDE/>
              <w:autoSpaceDN/>
              <w:bidi w:val="0"/>
              <w:adjustRightInd/>
              <w:snapToGrid/>
              <w:spacing w:before="0" w:before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auto"/>
                <w:w w:val="100"/>
                <w:kern w:val="0"/>
                <w:sz w:val="21"/>
                <w:szCs w:val="21"/>
                <w:highlight w:val="none"/>
              </w:rPr>
            </w:pPr>
          </w:p>
        </w:tc>
      </w:tr>
      <w:tr w14:paraId="7693CB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jc w:val="center"/>
        </w:trPr>
        <w:tc>
          <w:tcPr>
            <w:tcW w:w="168" w:type="pct"/>
            <w:vMerge w:val="continue"/>
            <w:tcBorders>
              <w:tl2br w:val="nil"/>
              <w:tr2bl w:val="nil"/>
            </w:tcBorders>
            <w:noWrap w:val="0"/>
            <w:vAlign w:val="center"/>
          </w:tcPr>
          <w:p w14:paraId="6A46EEC1">
            <w:pPr>
              <w:keepNext w:val="0"/>
              <w:keepLines w:val="0"/>
              <w:pageBreakBefore w:val="0"/>
              <w:widowControl w:val="0"/>
              <w:kinsoku/>
              <w:wordWrap/>
              <w:overflowPunct/>
              <w:topLinePunct w:val="0"/>
              <w:autoSpaceDE/>
              <w:autoSpaceDN/>
              <w:bidi w:val="0"/>
              <w:adjustRightInd/>
              <w:snapToGrid/>
              <w:spacing w:before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auto"/>
                <w:w w:val="100"/>
                <w:kern w:val="0"/>
                <w:sz w:val="21"/>
                <w:szCs w:val="21"/>
                <w:highlight w:val="none"/>
              </w:rPr>
            </w:pPr>
          </w:p>
        </w:tc>
        <w:tc>
          <w:tcPr>
            <w:tcW w:w="793" w:type="pct"/>
            <w:tcBorders>
              <w:tl2br w:val="nil"/>
              <w:tr2bl w:val="nil"/>
            </w:tcBorders>
            <w:noWrap w:val="0"/>
            <w:vAlign w:val="center"/>
          </w:tcPr>
          <w:p w14:paraId="7D195185">
            <w:pPr>
              <w:pStyle w:val="47"/>
              <w:keepNext w:val="0"/>
              <w:keepLines w:val="0"/>
              <w:pageBreakBefore w:val="0"/>
              <w:widowControl w:val="0"/>
              <w:kinsoku/>
              <w:wordWrap/>
              <w:overflowPunct/>
              <w:topLinePunct w:val="0"/>
              <w:autoSpaceDE/>
              <w:autoSpaceDN/>
              <w:bidi w:val="0"/>
              <w:adjustRightInd/>
              <w:snapToGrid/>
              <w:spacing w:before="0" w:before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auto"/>
                <w:w w:val="100"/>
                <w:kern w:val="0"/>
                <w:sz w:val="21"/>
                <w:szCs w:val="21"/>
                <w:highlight w:val="none"/>
                <w:lang w:eastAsia="zh-CN"/>
              </w:rPr>
            </w:pPr>
            <w:r>
              <w:rPr>
                <w:rFonts w:hint="default" w:ascii="Times New Roman" w:hAnsi="Times New Roman" w:cs="Times New Roman"/>
                <w:b w:val="0"/>
                <w:color w:val="auto"/>
                <w:w w:val="100"/>
                <w:kern w:val="0"/>
                <w:sz w:val="21"/>
                <w:szCs w:val="21"/>
                <w:highlight w:val="none"/>
                <w:lang w:eastAsia="zh-CN"/>
              </w:rPr>
              <w:t>工业场地</w:t>
            </w:r>
          </w:p>
        </w:tc>
        <w:tc>
          <w:tcPr>
            <w:tcW w:w="607" w:type="pct"/>
            <w:tcBorders>
              <w:tl2br w:val="nil"/>
              <w:tr2bl w:val="nil"/>
            </w:tcBorders>
            <w:noWrap w:val="0"/>
            <w:vAlign w:val="center"/>
          </w:tcPr>
          <w:p w14:paraId="19EBB0AC">
            <w:pPr>
              <w:pStyle w:val="47"/>
              <w:keepNext w:val="0"/>
              <w:keepLines w:val="0"/>
              <w:pageBreakBefore w:val="0"/>
              <w:widowControl w:val="0"/>
              <w:kinsoku/>
              <w:wordWrap/>
              <w:overflowPunct/>
              <w:topLinePunct w:val="0"/>
              <w:autoSpaceDE/>
              <w:autoSpaceDN/>
              <w:bidi w:val="0"/>
              <w:adjustRightInd/>
              <w:snapToGrid/>
              <w:spacing w:before="0" w:before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auto"/>
                <w:w w:val="100"/>
                <w:kern w:val="0"/>
                <w:sz w:val="21"/>
                <w:szCs w:val="21"/>
                <w:highlight w:val="none"/>
              </w:rPr>
            </w:pPr>
          </w:p>
        </w:tc>
        <w:tc>
          <w:tcPr>
            <w:tcW w:w="610" w:type="pct"/>
            <w:tcBorders>
              <w:tl2br w:val="nil"/>
              <w:tr2bl w:val="nil"/>
            </w:tcBorders>
            <w:noWrap w:val="0"/>
            <w:vAlign w:val="center"/>
          </w:tcPr>
          <w:p w14:paraId="451506D4">
            <w:pPr>
              <w:pStyle w:val="47"/>
              <w:keepNext w:val="0"/>
              <w:keepLines w:val="0"/>
              <w:pageBreakBefore w:val="0"/>
              <w:widowControl w:val="0"/>
              <w:kinsoku/>
              <w:wordWrap/>
              <w:overflowPunct/>
              <w:topLinePunct w:val="0"/>
              <w:autoSpaceDE/>
              <w:autoSpaceDN/>
              <w:bidi w:val="0"/>
              <w:adjustRightInd/>
              <w:snapToGrid/>
              <w:spacing w:before="0" w:before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auto"/>
                <w:w w:val="100"/>
                <w:kern w:val="0"/>
                <w:sz w:val="21"/>
                <w:szCs w:val="21"/>
                <w:highlight w:val="none"/>
              </w:rPr>
            </w:pPr>
            <w:r>
              <w:rPr>
                <w:rFonts w:hint="default" w:ascii="Times New Roman" w:hAnsi="Times New Roman" w:eastAsia="宋体" w:cs="Times New Roman"/>
                <w:b w:val="0"/>
                <w:color w:val="auto"/>
                <w:w w:val="100"/>
                <w:kern w:val="0"/>
                <w:sz w:val="21"/>
                <w:szCs w:val="21"/>
                <w:highlight w:val="none"/>
              </w:rPr>
              <w:t>√</w:t>
            </w:r>
          </w:p>
        </w:tc>
        <w:tc>
          <w:tcPr>
            <w:tcW w:w="607" w:type="pct"/>
            <w:tcBorders>
              <w:tl2br w:val="nil"/>
              <w:tr2bl w:val="nil"/>
            </w:tcBorders>
            <w:noWrap w:val="0"/>
            <w:vAlign w:val="center"/>
          </w:tcPr>
          <w:p w14:paraId="35187610">
            <w:pPr>
              <w:pStyle w:val="47"/>
              <w:keepNext w:val="0"/>
              <w:keepLines w:val="0"/>
              <w:pageBreakBefore w:val="0"/>
              <w:widowControl w:val="0"/>
              <w:kinsoku/>
              <w:wordWrap/>
              <w:overflowPunct/>
              <w:topLinePunct w:val="0"/>
              <w:autoSpaceDE/>
              <w:autoSpaceDN/>
              <w:bidi w:val="0"/>
              <w:adjustRightInd/>
              <w:snapToGrid/>
              <w:spacing w:before="0" w:before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auto"/>
                <w:w w:val="100"/>
                <w:kern w:val="0"/>
                <w:sz w:val="21"/>
                <w:szCs w:val="21"/>
                <w:highlight w:val="none"/>
              </w:rPr>
            </w:pPr>
            <w:r>
              <w:rPr>
                <w:rFonts w:hint="default" w:ascii="Times New Roman" w:hAnsi="Times New Roman" w:eastAsia="宋体" w:cs="Times New Roman"/>
                <w:b w:val="0"/>
                <w:color w:val="auto"/>
                <w:w w:val="100"/>
                <w:kern w:val="0"/>
                <w:sz w:val="21"/>
                <w:szCs w:val="21"/>
                <w:highlight w:val="none"/>
              </w:rPr>
              <w:t>√</w:t>
            </w:r>
          </w:p>
        </w:tc>
        <w:tc>
          <w:tcPr>
            <w:tcW w:w="429" w:type="pct"/>
            <w:tcBorders>
              <w:tl2br w:val="nil"/>
              <w:tr2bl w:val="nil"/>
            </w:tcBorders>
            <w:noWrap w:val="0"/>
            <w:vAlign w:val="center"/>
          </w:tcPr>
          <w:p w14:paraId="7BA3E6E2">
            <w:pPr>
              <w:pStyle w:val="47"/>
              <w:keepNext w:val="0"/>
              <w:keepLines w:val="0"/>
              <w:pageBreakBefore w:val="0"/>
              <w:widowControl w:val="0"/>
              <w:kinsoku/>
              <w:wordWrap/>
              <w:overflowPunct/>
              <w:topLinePunct w:val="0"/>
              <w:autoSpaceDE/>
              <w:autoSpaceDN/>
              <w:bidi w:val="0"/>
              <w:adjustRightInd/>
              <w:snapToGrid/>
              <w:spacing w:before="0" w:before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auto"/>
                <w:w w:val="100"/>
                <w:kern w:val="0"/>
                <w:sz w:val="21"/>
                <w:szCs w:val="21"/>
                <w:highlight w:val="none"/>
              </w:rPr>
            </w:pPr>
          </w:p>
        </w:tc>
        <w:tc>
          <w:tcPr>
            <w:tcW w:w="436" w:type="pct"/>
            <w:tcBorders>
              <w:tl2br w:val="nil"/>
              <w:tr2bl w:val="nil"/>
            </w:tcBorders>
            <w:noWrap w:val="0"/>
            <w:vAlign w:val="center"/>
          </w:tcPr>
          <w:p w14:paraId="3DFC20E2">
            <w:pPr>
              <w:pStyle w:val="47"/>
              <w:keepNext w:val="0"/>
              <w:keepLines w:val="0"/>
              <w:pageBreakBefore w:val="0"/>
              <w:widowControl w:val="0"/>
              <w:kinsoku/>
              <w:wordWrap/>
              <w:overflowPunct/>
              <w:topLinePunct w:val="0"/>
              <w:autoSpaceDE/>
              <w:autoSpaceDN/>
              <w:bidi w:val="0"/>
              <w:adjustRightInd/>
              <w:snapToGrid/>
              <w:spacing w:before="0" w:before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auto"/>
                <w:w w:val="100"/>
                <w:kern w:val="0"/>
                <w:sz w:val="21"/>
                <w:szCs w:val="21"/>
                <w:highlight w:val="none"/>
              </w:rPr>
            </w:pPr>
          </w:p>
        </w:tc>
        <w:tc>
          <w:tcPr>
            <w:tcW w:w="433" w:type="pct"/>
            <w:tcBorders>
              <w:tl2br w:val="nil"/>
              <w:tr2bl w:val="nil"/>
            </w:tcBorders>
            <w:noWrap w:val="0"/>
            <w:vAlign w:val="center"/>
          </w:tcPr>
          <w:p w14:paraId="180AC78F">
            <w:pPr>
              <w:pStyle w:val="47"/>
              <w:keepNext w:val="0"/>
              <w:keepLines w:val="0"/>
              <w:pageBreakBefore w:val="0"/>
              <w:widowControl w:val="0"/>
              <w:kinsoku/>
              <w:wordWrap/>
              <w:overflowPunct/>
              <w:topLinePunct w:val="0"/>
              <w:autoSpaceDE/>
              <w:autoSpaceDN/>
              <w:bidi w:val="0"/>
              <w:adjustRightInd/>
              <w:snapToGrid/>
              <w:spacing w:before="0" w:before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auto"/>
                <w:w w:val="100"/>
                <w:kern w:val="0"/>
                <w:sz w:val="21"/>
                <w:szCs w:val="21"/>
                <w:highlight w:val="none"/>
              </w:rPr>
            </w:pPr>
          </w:p>
        </w:tc>
        <w:tc>
          <w:tcPr>
            <w:tcW w:w="436" w:type="pct"/>
            <w:tcBorders>
              <w:tl2br w:val="nil"/>
              <w:tr2bl w:val="nil"/>
            </w:tcBorders>
            <w:noWrap w:val="0"/>
            <w:vAlign w:val="center"/>
          </w:tcPr>
          <w:p w14:paraId="0BDF5DAD">
            <w:pPr>
              <w:pStyle w:val="47"/>
              <w:keepNext w:val="0"/>
              <w:keepLines w:val="0"/>
              <w:pageBreakBefore w:val="0"/>
              <w:widowControl w:val="0"/>
              <w:kinsoku/>
              <w:wordWrap/>
              <w:overflowPunct/>
              <w:topLinePunct w:val="0"/>
              <w:autoSpaceDE/>
              <w:autoSpaceDN/>
              <w:bidi w:val="0"/>
              <w:adjustRightInd/>
              <w:snapToGrid/>
              <w:spacing w:before="0" w:before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auto"/>
                <w:w w:val="100"/>
                <w:kern w:val="0"/>
                <w:sz w:val="21"/>
                <w:szCs w:val="21"/>
                <w:highlight w:val="none"/>
              </w:rPr>
            </w:pPr>
          </w:p>
        </w:tc>
        <w:tc>
          <w:tcPr>
            <w:tcW w:w="475" w:type="pct"/>
            <w:tcBorders>
              <w:tl2br w:val="nil"/>
              <w:tr2bl w:val="nil"/>
            </w:tcBorders>
            <w:noWrap w:val="0"/>
            <w:vAlign w:val="center"/>
          </w:tcPr>
          <w:p w14:paraId="1EFB88EF">
            <w:pPr>
              <w:pStyle w:val="47"/>
              <w:keepNext w:val="0"/>
              <w:keepLines w:val="0"/>
              <w:pageBreakBefore w:val="0"/>
              <w:widowControl w:val="0"/>
              <w:kinsoku/>
              <w:wordWrap/>
              <w:overflowPunct/>
              <w:topLinePunct w:val="0"/>
              <w:autoSpaceDE/>
              <w:autoSpaceDN/>
              <w:bidi w:val="0"/>
              <w:adjustRightInd/>
              <w:snapToGrid/>
              <w:spacing w:before="0" w:before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auto"/>
                <w:w w:val="100"/>
                <w:kern w:val="0"/>
                <w:sz w:val="21"/>
                <w:szCs w:val="21"/>
                <w:highlight w:val="none"/>
              </w:rPr>
            </w:pPr>
          </w:p>
        </w:tc>
      </w:tr>
      <w:tr w14:paraId="628847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jc w:val="center"/>
        </w:trPr>
        <w:tc>
          <w:tcPr>
            <w:tcW w:w="5000" w:type="pct"/>
            <w:gridSpan w:val="10"/>
            <w:tcBorders>
              <w:tl2br w:val="nil"/>
              <w:tr2bl w:val="nil"/>
            </w:tcBorders>
            <w:noWrap w:val="0"/>
            <w:vAlign w:val="center"/>
          </w:tcPr>
          <w:p w14:paraId="6D7CB9C7">
            <w:pPr>
              <w:pStyle w:val="47"/>
              <w:keepNext w:val="0"/>
              <w:keepLines w:val="0"/>
              <w:pageBreakBefore w:val="0"/>
              <w:widowControl w:val="0"/>
              <w:kinsoku/>
              <w:wordWrap/>
              <w:overflowPunct/>
              <w:topLinePunct w:val="0"/>
              <w:autoSpaceDE/>
              <w:autoSpaceDN/>
              <w:bidi w:val="0"/>
              <w:adjustRightInd/>
              <w:snapToGrid/>
              <w:spacing w:before="0" w:before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auto"/>
                <w:w w:val="100"/>
                <w:kern w:val="0"/>
                <w:sz w:val="21"/>
                <w:szCs w:val="21"/>
                <w:highlight w:val="none"/>
                <w:lang w:eastAsia="zh-CN"/>
              </w:rPr>
            </w:pPr>
            <w:r>
              <w:rPr>
                <w:rFonts w:hint="default" w:ascii="Times New Roman" w:hAnsi="Times New Roman" w:eastAsia="宋体" w:cs="Times New Roman"/>
                <w:b w:val="0"/>
                <w:color w:val="auto"/>
                <w:w w:val="100"/>
                <w:kern w:val="0"/>
                <w:sz w:val="21"/>
                <w:szCs w:val="21"/>
                <w:highlight w:val="none"/>
              </w:rPr>
              <w:t>注：在可能产生的土壤环境影响类型处打</w:t>
            </w:r>
            <w:r>
              <w:rPr>
                <w:rFonts w:hint="default" w:ascii="Times New Roman" w:hAnsi="Times New Roman" w:eastAsia="宋体" w:cs="Times New Roman"/>
                <w:b w:val="0"/>
                <w:color w:val="auto"/>
                <w:w w:val="100"/>
                <w:kern w:val="0"/>
                <w:sz w:val="21"/>
                <w:szCs w:val="21"/>
                <w:highlight w:val="none"/>
                <w:lang w:eastAsia="zh-CN"/>
              </w:rPr>
              <w:t>“</w:t>
            </w:r>
            <w:r>
              <w:rPr>
                <w:rFonts w:hint="default" w:ascii="Times New Roman" w:hAnsi="Times New Roman" w:eastAsia="宋体" w:cs="Times New Roman"/>
                <w:b w:val="0"/>
                <w:color w:val="auto"/>
                <w:w w:val="100"/>
                <w:kern w:val="0"/>
                <w:sz w:val="21"/>
                <w:szCs w:val="21"/>
                <w:highlight w:val="none"/>
              </w:rPr>
              <w:t>√</w:t>
            </w:r>
            <w:r>
              <w:rPr>
                <w:rFonts w:hint="default" w:ascii="Times New Roman" w:hAnsi="Times New Roman" w:eastAsia="宋体" w:cs="Times New Roman"/>
                <w:b w:val="0"/>
                <w:color w:val="auto"/>
                <w:w w:val="100"/>
                <w:kern w:val="0"/>
                <w:sz w:val="21"/>
                <w:szCs w:val="21"/>
                <w:highlight w:val="none"/>
                <w:lang w:eastAsia="zh-CN"/>
              </w:rPr>
              <w:t>”</w:t>
            </w:r>
          </w:p>
        </w:tc>
      </w:tr>
    </w:tbl>
    <w:p w14:paraId="5C0914ED">
      <w:pPr>
        <w:pStyle w:val="45"/>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表5.2-</w:t>
      </w:r>
      <w:r>
        <w:rPr>
          <w:rFonts w:hint="default" w:ascii="Times New Roman" w:hAnsi="Times New Roman" w:cs="Times New Roman"/>
          <w:color w:val="auto"/>
          <w:highlight w:val="none"/>
          <w:lang w:val="en-US" w:eastAsia="zh-CN"/>
        </w:rPr>
        <w:t>2</w:t>
      </w:r>
      <w:r>
        <w:rPr>
          <w:rFonts w:hint="eastAsia" w:ascii="Times New Roman" w:hAnsi="Times New Roman" w:cs="Times New Roman"/>
          <w:color w:val="auto"/>
          <w:highlight w:val="none"/>
          <w:lang w:val="en-US" w:eastAsia="zh-CN"/>
        </w:rPr>
        <w:t>3</w:t>
      </w:r>
      <w:r>
        <w:rPr>
          <w:rFonts w:hint="default" w:ascii="Times New Roman" w:hAnsi="Times New Roman" w:eastAsia="宋体" w:cs="Times New Roman"/>
          <w:color w:val="auto"/>
          <w:highlight w:val="none"/>
          <w:lang w:val="en-US" w:eastAsia="zh-CN"/>
        </w:rPr>
        <w:t xml:space="preserve">    </w:t>
      </w:r>
      <w:r>
        <w:rPr>
          <w:rFonts w:hint="default" w:ascii="Times New Roman" w:hAnsi="Times New Roman" w:eastAsia="宋体" w:cs="Times New Roman"/>
          <w:color w:val="auto"/>
          <w:highlight w:val="none"/>
        </w:rPr>
        <w:t>污染影响型建设项目土壤影响源及影响因子识别表</w:t>
      </w:r>
    </w:p>
    <w:tbl>
      <w:tblPr>
        <w:tblStyle w:val="31"/>
        <w:tblW w:w="503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514"/>
        <w:gridCol w:w="1725"/>
        <w:gridCol w:w="2104"/>
        <w:gridCol w:w="2741"/>
        <w:gridCol w:w="1147"/>
      </w:tblGrid>
      <w:tr w14:paraId="7ACCC0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blHeader/>
          <w:jc w:val="center"/>
        </w:trPr>
        <w:tc>
          <w:tcPr>
            <w:tcW w:w="82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BEE9EAE">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污染源</w:t>
            </w:r>
          </w:p>
        </w:tc>
        <w:tc>
          <w:tcPr>
            <w:tcW w:w="93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AEBED85">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工艺流程/节点</w:t>
            </w:r>
          </w:p>
        </w:tc>
        <w:tc>
          <w:tcPr>
            <w:tcW w:w="113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534EE68">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污染途径</w:t>
            </w:r>
          </w:p>
        </w:tc>
        <w:tc>
          <w:tcPr>
            <w:tcW w:w="148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DA454BC">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全部污染物指标</w:t>
            </w:r>
          </w:p>
        </w:tc>
        <w:tc>
          <w:tcPr>
            <w:tcW w:w="62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5AB3615">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特征因子</w:t>
            </w:r>
          </w:p>
        </w:tc>
      </w:tr>
      <w:tr w14:paraId="2A8E43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jc w:val="center"/>
        </w:trPr>
        <w:tc>
          <w:tcPr>
            <w:tcW w:w="82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F665CA2">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排土场</w:t>
            </w:r>
          </w:p>
        </w:tc>
        <w:tc>
          <w:tcPr>
            <w:tcW w:w="93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0112C27">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排土场</w:t>
            </w:r>
            <w:r>
              <w:rPr>
                <w:rFonts w:hint="default" w:ascii="Times New Roman" w:hAnsi="Times New Roman" w:cs="Times New Roman"/>
                <w:color w:val="auto"/>
                <w:highlight w:val="none"/>
              </w:rPr>
              <w:t>存过程中淋溶液</w:t>
            </w:r>
          </w:p>
        </w:tc>
        <w:tc>
          <w:tcPr>
            <w:tcW w:w="113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EBAF61">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大气沉降、地表漫流</w:t>
            </w:r>
          </w:p>
        </w:tc>
        <w:tc>
          <w:tcPr>
            <w:tcW w:w="148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CE7F966">
            <w:pPr>
              <w:pStyle w:val="48"/>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砷、镉、铬（六价）、铜、铅、汞、镍、锌、</w:t>
            </w:r>
            <w:r>
              <w:rPr>
                <w:rFonts w:hint="default" w:ascii="Times New Roman" w:hAnsi="Times New Roman" w:cs="Times New Roman"/>
                <w:color w:val="auto"/>
                <w:highlight w:val="none"/>
                <w:lang w:eastAsia="zh-CN"/>
              </w:rPr>
              <w:t>pH</w:t>
            </w:r>
          </w:p>
        </w:tc>
        <w:tc>
          <w:tcPr>
            <w:tcW w:w="62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7B7CCA">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汞、砷</w:t>
            </w:r>
          </w:p>
        </w:tc>
      </w:tr>
      <w:tr w14:paraId="3AA64E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jc w:val="center"/>
        </w:trPr>
        <w:tc>
          <w:tcPr>
            <w:tcW w:w="82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FB5D7E1">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危废贮存点</w:t>
            </w:r>
          </w:p>
        </w:tc>
        <w:tc>
          <w:tcPr>
            <w:tcW w:w="93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A0AF579">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危废泄漏</w:t>
            </w:r>
          </w:p>
        </w:tc>
        <w:tc>
          <w:tcPr>
            <w:tcW w:w="113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1D99F18">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地表漫流、垂直入渗</w:t>
            </w:r>
          </w:p>
        </w:tc>
        <w:tc>
          <w:tcPr>
            <w:tcW w:w="148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8F9E67">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pH、石油烃</w:t>
            </w:r>
          </w:p>
        </w:tc>
        <w:tc>
          <w:tcPr>
            <w:tcW w:w="62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B05C343">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石油烃</w:t>
            </w:r>
          </w:p>
        </w:tc>
      </w:tr>
    </w:tbl>
    <w:p w14:paraId="3CBEFA53">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表5.2-</w:t>
      </w:r>
      <w:r>
        <w:rPr>
          <w:rFonts w:hint="default" w:ascii="Times New Roman" w:hAnsi="Times New Roman" w:cs="Times New Roman"/>
          <w:color w:val="auto"/>
          <w:highlight w:val="none"/>
          <w:lang w:val="en-US" w:eastAsia="zh-CN"/>
        </w:rPr>
        <w:t>2</w:t>
      </w:r>
      <w:r>
        <w:rPr>
          <w:rFonts w:hint="eastAsia"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生态影响型建设项目土壤环境影响途径识别表</w:t>
      </w:r>
    </w:p>
    <w:tbl>
      <w:tblPr>
        <w:tblStyle w:val="31"/>
        <w:tblW w:w="4998" w:type="pct"/>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1368"/>
        <w:gridCol w:w="2555"/>
        <w:gridCol w:w="2644"/>
        <w:gridCol w:w="2589"/>
      </w:tblGrid>
      <w:tr w14:paraId="581A43A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7" w:hRule="atLeast"/>
          <w:jc w:val="center"/>
        </w:trPr>
        <w:tc>
          <w:tcPr>
            <w:tcW w:w="747" w:type="pct"/>
            <w:tcBorders>
              <w:top w:val="single" w:color="000000" w:sz="4" w:space="0"/>
              <w:left w:val="single" w:color="000000" w:sz="4" w:space="0"/>
              <w:bottom w:val="single" w:color="000000" w:sz="4" w:space="0"/>
              <w:right w:val="single" w:color="000000" w:sz="4" w:space="0"/>
            </w:tcBorders>
            <w:noWrap w:val="0"/>
            <w:vAlign w:val="center"/>
          </w:tcPr>
          <w:p w14:paraId="095FA8E1">
            <w:pPr>
              <w:pStyle w:val="47"/>
              <w:keepNext w:val="0"/>
              <w:keepLines w:val="0"/>
              <w:pageBreakBefore w:val="0"/>
              <w:widowControl w:val="0"/>
              <w:kinsoku/>
              <w:wordWrap/>
              <w:overflowPunct/>
              <w:topLinePunct w:val="0"/>
              <w:autoSpaceDE/>
              <w:autoSpaceDN/>
              <w:bidi w:val="0"/>
              <w:adjustRightInd/>
              <w:snapToGrid/>
              <w:spacing w:before="0" w:line="360" w:lineRule="exact"/>
              <w:ind w:left="0" w:leftChars="0" w:right="0" w:rightChars="0" w:firstLine="0" w:firstLineChars="0"/>
              <w:jc w:val="center"/>
              <w:textAlignment w:val="auto"/>
              <w:outlineLvl w:val="9"/>
              <w:rPr>
                <w:rFonts w:hint="default" w:ascii="Times New Roman" w:hAnsi="Times New Roman" w:eastAsia="宋体" w:cs="Times New Roman"/>
                <w:b/>
                <w:bCs/>
                <w:color w:val="auto"/>
                <w:w w:val="100"/>
                <w:kern w:val="0"/>
                <w:sz w:val="21"/>
                <w:szCs w:val="21"/>
                <w:highlight w:val="none"/>
              </w:rPr>
            </w:pPr>
            <w:r>
              <w:rPr>
                <w:rFonts w:hint="default" w:ascii="Times New Roman" w:hAnsi="Times New Roman" w:eastAsia="宋体" w:cs="Times New Roman"/>
                <w:b/>
                <w:bCs/>
                <w:color w:val="auto"/>
                <w:w w:val="100"/>
                <w:kern w:val="0"/>
                <w:sz w:val="21"/>
                <w:szCs w:val="21"/>
                <w:highlight w:val="none"/>
              </w:rPr>
              <w:t>影响结果</w:t>
            </w:r>
          </w:p>
        </w:tc>
        <w:tc>
          <w:tcPr>
            <w:tcW w:w="1395" w:type="pct"/>
            <w:tcBorders>
              <w:top w:val="single" w:color="000000" w:sz="4" w:space="0"/>
              <w:left w:val="single" w:color="000000" w:sz="4" w:space="0"/>
              <w:bottom w:val="single" w:color="000000" w:sz="4" w:space="0"/>
              <w:right w:val="single" w:color="000000" w:sz="4" w:space="0"/>
            </w:tcBorders>
            <w:noWrap w:val="0"/>
            <w:vAlign w:val="center"/>
          </w:tcPr>
          <w:p w14:paraId="7E4C277E">
            <w:pPr>
              <w:pStyle w:val="47"/>
              <w:keepNext w:val="0"/>
              <w:keepLines w:val="0"/>
              <w:pageBreakBefore w:val="0"/>
              <w:widowControl w:val="0"/>
              <w:kinsoku/>
              <w:wordWrap/>
              <w:overflowPunct/>
              <w:topLinePunct w:val="0"/>
              <w:autoSpaceDE/>
              <w:autoSpaceDN/>
              <w:bidi w:val="0"/>
              <w:adjustRightInd/>
              <w:snapToGrid/>
              <w:spacing w:before="0" w:line="360" w:lineRule="exact"/>
              <w:ind w:left="0" w:leftChars="0" w:right="0" w:rightChars="0" w:firstLine="0" w:firstLineChars="0"/>
              <w:jc w:val="center"/>
              <w:textAlignment w:val="auto"/>
              <w:outlineLvl w:val="9"/>
              <w:rPr>
                <w:rFonts w:hint="default" w:ascii="Times New Roman" w:hAnsi="Times New Roman" w:eastAsia="宋体" w:cs="Times New Roman"/>
                <w:b/>
                <w:bCs/>
                <w:color w:val="auto"/>
                <w:w w:val="100"/>
                <w:kern w:val="0"/>
                <w:sz w:val="21"/>
                <w:szCs w:val="21"/>
                <w:highlight w:val="none"/>
              </w:rPr>
            </w:pPr>
            <w:r>
              <w:rPr>
                <w:rFonts w:hint="default" w:ascii="Times New Roman" w:hAnsi="Times New Roman" w:eastAsia="宋体" w:cs="Times New Roman"/>
                <w:b/>
                <w:bCs/>
                <w:color w:val="auto"/>
                <w:w w:val="100"/>
                <w:kern w:val="0"/>
                <w:sz w:val="21"/>
                <w:szCs w:val="21"/>
                <w:highlight w:val="none"/>
              </w:rPr>
              <w:t>影响途径</w:t>
            </w:r>
          </w:p>
        </w:tc>
        <w:tc>
          <w:tcPr>
            <w:tcW w:w="1443" w:type="pct"/>
            <w:tcBorders>
              <w:top w:val="single" w:color="000000" w:sz="4" w:space="0"/>
              <w:left w:val="single" w:color="000000" w:sz="4" w:space="0"/>
              <w:bottom w:val="single" w:color="000000" w:sz="4" w:space="0"/>
              <w:right w:val="single" w:color="000000" w:sz="4" w:space="0"/>
            </w:tcBorders>
            <w:noWrap w:val="0"/>
            <w:vAlign w:val="center"/>
          </w:tcPr>
          <w:p w14:paraId="45F658FA">
            <w:pPr>
              <w:pStyle w:val="47"/>
              <w:keepNext w:val="0"/>
              <w:keepLines w:val="0"/>
              <w:pageBreakBefore w:val="0"/>
              <w:widowControl w:val="0"/>
              <w:kinsoku/>
              <w:wordWrap/>
              <w:overflowPunct/>
              <w:topLinePunct w:val="0"/>
              <w:autoSpaceDE/>
              <w:autoSpaceDN/>
              <w:bidi w:val="0"/>
              <w:adjustRightInd/>
              <w:snapToGrid/>
              <w:spacing w:before="0" w:line="360" w:lineRule="exact"/>
              <w:ind w:left="0" w:leftChars="0" w:right="0" w:rightChars="0" w:firstLine="0" w:firstLineChars="0"/>
              <w:jc w:val="center"/>
              <w:textAlignment w:val="auto"/>
              <w:outlineLvl w:val="9"/>
              <w:rPr>
                <w:rFonts w:hint="default" w:ascii="Times New Roman" w:hAnsi="Times New Roman" w:eastAsia="宋体" w:cs="Times New Roman"/>
                <w:b/>
                <w:bCs/>
                <w:color w:val="auto"/>
                <w:w w:val="100"/>
                <w:kern w:val="0"/>
                <w:sz w:val="21"/>
                <w:szCs w:val="21"/>
                <w:highlight w:val="none"/>
              </w:rPr>
            </w:pPr>
            <w:r>
              <w:rPr>
                <w:rFonts w:hint="default" w:ascii="Times New Roman" w:hAnsi="Times New Roman" w:eastAsia="宋体" w:cs="Times New Roman"/>
                <w:b/>
                <w:bCs/>
                <w:color w:val="auto"/>
                <w:w w:val="100"/>
                <w:kern w:val="0"/>
                <w:sz w:val="21"/>
                <w:szCs w:val="21"/>
                <w:highlight w:val="none"/>
              </w:rPr>
              <w:t>具体指标</w:t>
            </w:r>
          </w:p>
        </w:tc>
        <w:tc>
          <w:tcPr>
            <w:tcW w:w="1413" w:type="pct"/>
            <w:tcBorders>
              <w:top w:val="single" w:color="000000" w:sz="4" w:space="0"/>
              <w:left w:val="single" w:color="000000" w:sz="4" w:space="0"/>
              <w:bottom w:val="single" w:color="000000" w:sz="4" w:space="0"/>
              <w:right w:val="single" w:color="000000" w:sz="4" w:space="0"/>
            </w:tcBorders>
            <w:noWrap w:val="0"/>
            <w:vAlign w:val="center"/>
          </w:tcPr>
          <w:p w14:paraId="574EB6EE">
            <w:pPr>
              <w:pStyle w:val="47"/>
              <w:keepNext w:val="0"/>
              <w:keepLines w:val="0"/>
              <w:pageBreakBefore w:val="0"/>
              <w:widowControl w:val="0"/>
              <w:kinsoku/>
              <w:wordWrap/>
              <w:overflowPunct/>
              <w:topLinePunct w:val="0"/>
              <w:autoSpaceDE/>
              <w:autoSpaceDN/>
              <w:bidi w:val="0"/>
              <w:adjustRightInd/>
              <w:snapToGrid/>
              <w:spacing w:before="0" w:line="360" w:lineRule="exact"/>
              <w:ind w:left="0" w:leftChars="0" w:right="0" w:rightChars="0" w:firstLine="0" w:firstLineChars="0"/>
              <w:jc w:val="center"/>
              <w:textAlignment w:val="auto"/>
              <w:outlineLvl w:val="9"/>
              <w:rPr>
                <w:rFonts w:hint="default" w:ascii="Times New Roman" w:hAnsi="Times New Roman" w:eastAsia="宋体" w:cs="Times New Roman"/>
                <w:b/>
                <w:bCs/>
                <w:color w:val="auto"/>
                <w:w w:val="100"/>
                <w:kern w:val="0"/>
                <w:sz w:val="21"/>
                <w:szCs w:val="21"/>
                <w:highlight w:val="none"/>
              </w:rPr>
            </w:pPr>
            <w:r>
              <w:rPr>
                <w:rFonts w:hint="default" w:ascii="Times New Roman" w:hAnsi="Times New Roman" w:eastAsia="宋体" w:cs="Times New Roman"/>
                <w:b/>
                <w:bCs/>
                <w:color w:val="auto"/>
                <w:w w:val="100"/>
                <w:kern w:val="0"/>
                <w:sz w:val="21"/>
                <w:szCs w:val="21"/>
                <w:highlight w:val="none"/>
              </w:rPr>
              <w:t>土壤环境敏感目标</w:t>
            </w:r>
          </w:p>
        </w:tc>
      </w:tr>
      <w:tr w14:paraId="05DC10F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6" w:hRule="atLeast"/>
          <w:jc w:val="center"/>
        </w:trPr>
        <w:tc>
          <w:tcPr>
            <w:tcW w:w="747" w:type="pct"/>
            <w:tcBorders>
              <w:top w:val="single" w:color="000000" w:sz="4" w:space="0"/>
              <w:left w:val="single" w:color="000000" w:sz="4" w:space="0"/>
              <w:bottom w:val="single" w:color="000000" w:sz="4" w:space="0"/>
              <w:right w:val="single" w:color="000000" w:sz="4" w:space="0"/>
            </w:tcBorders>
            <w:noWrap w:val="0"/>
            <w:vAlign w:val="center"/>
          </w:tcPr>
          <w:p w14:paraId="1B8CB698">
            <w:pPr>
              <w:pStyle w:val="47"/>
              <w:keepNext w:val="0"/>
              <w:keepLines w:val="0"/>
              <w:pageBreakBefore w:val="0"/>
              <w:widowControl w:val="0"/>
              <w:kinsoku/>
              <w:wordWrap/>
              <w:overflowPunct/>
              <w:topLinePunct w:val="0"/>
              <w:autoSpaceDE/>
              <w:autoSpaceDN/>
              <w:bidi w:val="0"/>
              <w:adjustRightInd/>
              <w:snapToGrid/>
              <w:spacing w:before="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auto"/>
                <w:w w:val="100"/>
                <w:kern w:val="0"/>
                <w:sz w:val="21"/>
                <w:szCs w:val="21"/>
                <w:highlight w:val="none"/>
                <w:lang w:val="en-US" w:eastAsia="zh-CN"/>
              </w:rPr>
            </w:pPr>
            <w:r>
              <w:rPr>
                <w:rFonts w:hint="default" w:ascii="Times New Roman" w:hAnsi="Times New Roman" w:eastAsia="宋体" w:cs="Times New Roman"/>
                <w:b w:val="0"/>
                <w:color w:val="auto"/>
                <w:w w:val="100"/>
                <w:kern w:val="0"/>
                <w:sz w:val="21"/>
                <w:szCs w:val="21"/>
                <w:highlight w:val="none"/>
                <w:lang w:val="en-US" w:eastAsia="zh-CN"/>
              </w:rPr>
              <w:t>盐化</w:t>
            </w:r>
          </w:p>
        </w:tc>
        <w:tc>
          <w:tcPr>
            <w:tcW w:w="1395" w:type="pct"/>
            <w:tcBorders>
              <w:top w:val="single" w:color="000000" w:sz="4" w:space="0"/>
              <w:left w:val="single" w:color="000000" w:sz="4" w:space="0"/>
              <w:bottom w:val="single" w:color="000000" w:sz="4" w:space="0"/>
              <w:right w:val="single" w:color="000000" w:sz="4" w:space="0"/>
            </w:tcBorders>
            <w:noWrap w:val="0"/>
            <w:vAlign w:val="center"/>
          </w:tcPr>
          <w:p w14:paraId="62EB3611">
            <w:pPr>
              <w:pStyle w:val="47"/>
              <w:keepNext w:val="0"/>
              <w:keepLines w:val="0"/>
              <w:pageBreakBefore w:val="0"/>
              <w:widowControl w:val="0"/>
              <w:kinsoku/>
              <w:wordWrap/>
              <w:overflowPunct/>
              <w:topLinePunct w:val="0"/>
              <w:autoSpaceDE/>
              <w:autoSpaceDN/>
              <w:bidi w:val="0"/>
              <w:adjustRightInd/>
              <w:snapToGrid/>
              <w:spacing w:before="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auto"/>
                <w:w w:val="100"/>
                <w:kern w:val="0"/>
                <w:sz w:val="21"/>
                <w:szCs w:val="21"/>
                <w:highlight w:val="none"/>
                <w:lang w:val="en-US" w:eastAsia="zh-CN"/>
              </w:rPr>
            </w:pPr>
            <w:r>
              <w:rPr>
                <w:rFonts w:hint="default" w:ascii="Times New Roman" w:hAnsi="Times New Roman" w:eastAsia="宋体" w:cs="Times New Roman"/>
                <w:b w:val="0"/>
                <w:color w:val="auto"/>
                <w:w w:val="100"/>
                <w:kern w:val="0"/>
                <w:sz w:val="21"/>
                <w:szCs w:val="21"/>
                <w:highlight w:val="none"/>
                <w:lang w:val="en-US" w:eastAsia="zh-CN"/>
              </w:rPr>
              <w:t>破坏地表植被，间接造成水土流失加剧，盐分聚集</w:t>
            </w:r>
          </w:p>
        </w:tc>
        <w:tc>
          <w:tcPr>
            <w:tcW w:w="1443" w:type="pct"/>
            <w:tcBorders>
              <w:top w:val="single" w:color="000000" w:sz="4" w:space="0"/>
              <w:left w:val="single" w:color="000000" w:sz="4" w:space="0"/>
              <w:bottom w:val="single" w:color="000000" w:sz="4" w:space="0"/>
              <w:right w:val="single" w:color="000000" w:sz="4" w:space="0"/>
            </w:tcBorders>
            <w:noWrap w:val="0"/>
            <w:vAlign w:val="center"/>
          </w:tcPr>
          <w:p w14:paraId="3741E29F">
            <w:pPr>
              <w:pStyle w:val="47"/>
              <w:keepNext w:val="0"/>
              <w:keepLines w:val="0"/>
              <w:pageBreakBefore w:val="0"/>
              <w:widowControl w:val="0"/>
              <w:kinsoku/>
              <w:wordWrap/>
              <w:overflowPunct/>
              <w:topLinePunct w:val="0"/>
              <w:autoSpaceDE/>
              <w:autoSpaceDN/>
              <w:bidi w:val="0"/>
              <w:adjustRightInd/>
              <w:snapToGrid/>
              <w:spacing w:before="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auto"/>
                <w:w w:val="100"/>
                <w:kern w:val="0"/>
                <w:sz w:val="21"/>
                <w:szCs w:val="21"/>
                <w:highlight w:val="none"/>
              </w:rPr>
            </w:pPr>
            <w:r>
              <w:rPr>
                <w:rFonts w:hint="default" w:ascii="Times New Roman" w:hAnsi="Times New Roman" w:eastAsia="宋体" w:cs="Times New Roman"/>
                <w:b w:val="0"/>
                <w:color w:val="auto"/>
                <w:w w:val="100"/>
                <w:kern w:val="0"/>
                <w:sz w:val="21"/>
                <w:szCs w:val="21"/>
                <w:highlight w:val="none"/>
              </w:rPr>
              <w:t>土壤盐化</w:t>
            </w:r>
          </w:p>
        </w:tc>
        <w:tc>
          <w:tcPr>
            <w:tcW w:w="1413" w:type="pct"/>
            <w:tcBorders>
              <w:top w:val="single" w:color="000000" w:sz="4" w:space="0"/>
              <w:left w:val="single" w:color="000000" w:sz="4" w:space="0"/>
              <w:bottom w:val="single" w:color="000000" w:sz="4" w:space="0"/>
              <w:right w:val="single" w:color="000000" w:sz="4" w:space="0"/>
            </w:tcBorders>
            <w:noWrap w:val="0"/>
            <w:vAlign w:val="center"/>
          </w:tcPr>
          <w:p w14:paraId="396049F3">
            <w:pPr>
              <w:pStyle w:val="47"/>
              <w:keepNext w:val="0"/>
              <w:keepLines w:val="0"/>
              <w:pageBreakBefore w:val="0"/>
              <w:widowControl w:val="0"/>
              <w:kinsoku/>
              <w:wordWrap/>
              <w:overflowPunct/>
              <w:topLinePunct w:val="0"/>
              <w:autoSpaceDE/>
              <w:autoSpaceDN/>
              <w:bidi w:val="0"/>
              <w:adjustRightInd/>
              <w:snapToGrid/>
              <w:spacing w:before="0" w:line="360" w:lineRule="exact"/>
              <w:ind w:left="0" w:leftChars="0" w:right="0" w:rightChars="0" w:firstLine="0" w:firstLineChars="0"/>
              <w:jc w:val="center"/>
              <w:textAlignment w:val="auto"/>
              <w:outlineLvl w:val="9"/>
              <w:rPr>
                <w:rFonts w:hint="default" w:ascii="Times New Roman" w:hAnsi="Times New Roman" w:eastAsia="宋体" w:cs="Times New Roman"/>
                <w:b w:val="0"/>
                <w:color w:val="auto"/>
                <w:w w:val="100"/>
                <w:kern w:val="0"/>
                <w:sz w:val="21"/>
                <w:szCs w:val="21"/>
                <w:highlight w:val="none"/>
                <w:lang w:val="en-US" w:eastAsia="zh-CN"/>
              </w:rPr>
            </w:pPr>
            <w:r>
              <w:rPr>
                <w:rFonts w:hint="default" w:ascii="Times New Roman" w:hAnsi="Times New Roman" w:eastAsia="宋体" w:cs="Times New Roman"/>
                <w:b w:val="0"/>
                <w:color w:val="auto"/>
                <w:w w:val="100"/>
                <w:kern w:val="0"/>
                <w:sz w:val="21"/>
                <w:szCs w:val="21"/>
                <w:highlight w:val="none"/>
                <w:lang w:val="en-US" w:eastAsia="zh-CN"/>
              </w:rPr>
              <w:t>/</w:t>
            </w:r>
          </w:p>
        </w:tc>
      </w:tr>
    </w:tbl>
    <w:p w14:paraId="26E07252">
      <w:pPr>
        <w:pStyle w:val="5"/>
        <w:bidi w:val="0"/>
        <w:rPr>
          <w:rFonts w:hint="default"/>
          <w:lang w:val="en-US" w:eastAsia="zh-CN"/>
        </w:rPr>
      </w:pPr>
      <w:bookmarkStart w:id="323" w:name="5.2.5.2 预测评价范围、时段和预测情景设置"/>
      <w:bookmarkEnd w:id="323"/>
      <w:bookmarkStart w:id="324" w:name="5.2.5.2 预测评价范围、时段和预测情景设置"/>
      <w:bookmarkEnd w:id="324"/>
      <w:bookmarkStart w:id="325" w:name="_Toc24078"/>
      <w:r>
        <w:rPr>
          <w:rFonts w:hint="default"/>
          <w:lang w:val="en-US" w:eastAsia="zh-CN"/>
        </w:rPr>
        <w:t>土壤环境影响分析</w:t>
      </w:r>
      <w:bookmarkEnd w:id="325"/>
    </w:p>
    <w:p w14:paraId="43224A97">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根据</w:t>
      </w:r>
      <w:r>
        <w:rPr>
          <w:rFonts w:hint="default" w:ascii="Times New Roman" w:hAnsi="Times New Roman" w:cs="Times New Roman"/>
          <w:color w:val="auto"/>
          <w:highlight w:val="none"/>
          <w:lang w:eastAsia="zh-CN"/>
        </w:rPr>
        <w:t>《环境影响评价技术导则 土壤环境（试行）》（HJ964-2018），</w:t>
      </w:r>
      <w:r>
        <w:rPr>
          <w:rFonts w:hint="default" w:ascii="Times New Roman" w:hAnsi="Times New Roman" w:cs="Times New Roman"/>
          <w:color w:val="auto"/>
          <w:highlight w:val="none"/>
          <w:lang w:val="en-US" w:eastAsia="zh-CN"/>
        </w:rPr>
        <w:t>8.7.4评价工作等级为三级的建设项目，可采用定性描述或类比分析法进行预测。</w:t>
      </w:r>
    </w:p>
    <w:p w14:paraId="081D783E">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①生态影响土壤环境影响分析</w:t>
      </w:r>
    </w:p>
    <w:p w14:paraId="2589F05E">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项目对土壤环境而言，工程建设占地最直接的影响就是各类活动对地表扰动对土壤结构、肥力、物理性质破坏的影响。排土场废料废土的堆砌，改变了土壤结构，使原有土层发生紊乱，造成生熟土和石砾混杂，团粒结构破坏，土壤毛细管断裂，从而导致土壤性质恶化，同时可能引起一定的土壤侵蚀。</w:t>
      </w:r>
    </w:p>
    <w:p w14:paraId="509B410F">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露天开采大量植被遭到破坏，植被根系对土壤结构的改良作用丧失，土壤变得更加紧实，透气性和透水性变差，影响土壤中盐分的淋溶排出，使得盐分更容易在土壤中积聚，导致土壤盐渍化；另一方面，植被被破坏后，土壤失去了植被的保护，直接暴露在阳光下，水分蒸发加剧，促使地下水中的盐分随水分上升到地表。由于本项目所在区域为沙漠地带，地下水埋藏很深，矿区开采导致地下水中的盐分随水分上升到地表的可能性很小。本项目在开采过程中采用边开采，边复垦的方式，尽量减少占地，减少对植被的破坏，且边复垦时，对已采区域进行表土覆盖，撒种草籽，自然复绿，可减轻对矿区土壤的影响。</w:t>
      </w:r>
    </w:p>
    <w:p w14:paraId="46B2B720">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②污染影响土壤环境影响分析</w:t>
      </w:r>
    </w:p>
    <w:p w14:paraId="3CC027B2">
      <w:pPr>
        <w:bidi w:val="0"/>
        <w:rPr>
          <w:rFonts w:hint="default" w:ascii="Segoe UI" w:hAnsi="Segoe UI" w:eastAsia="宋体" w:cs="Segoe UI"/>
          <w:i w:val="0"/>
          <w:iCs w:val="0"/>
          <w:caps w:val="0"/>
          <w:color w:val="00B050"/>
          <w:spacing w:val="0"/>
          <w:sz w:val="16"/>
          <w:szCs w:val="16"/>
          <w:shd w:val="clear" w:fill="FFFFFF"/>
          <w:lang w:val="en-US" w:eastAsia="zh-CN"/>
        </w:rPr>
      </w:pPr>
      <w:r>
        <w:rPr>
          <w:rFonts w:hint="default" w:ascii="Times New Roman" w:hAnsi="Times New Roman" w:cs="Times New Roman"/>
          <w:color w:val="00B050"/>
          <w:highlight w:val="none"/>
          <w:lang w:val="en-US" w:eastAsia="zh-CN"/>
        </w:rPr>
        <w:t>本项目污染影响主要包括采矿场、筛分，烘干环节产生的粉尘沉降对土壤环境的影响，大量的粉尘沉降可能会覆盖在土壤表面，形成一层细密的粉尘层，这会阻碍土壤与大气之间的气体交换，影响土壤中微生物的活动和植物根系的呼吸。同时，可能会降低土壤的透水性，使降水难以渗透到土壤深层，增加地表径流，导致水土流失加剧；</w:t>
      </w:r>
      <w:r>
        <w:rPr>
          <w:rFonts w:hint="eastAsia" w:cs="Times New Roman"/>
          <w:color w:val="00B050"/>
          <w:highlight w:val="none"/>
          <w:lang w:val="en-US" w:eastAsia="zh-CN"/>
        </w:rPr>
        <w:t>危废贮存点废矿物油</w:t>
      </w:r>
      <w:r>
        <w:rPr>
          <w:rFonts w:hint="default" w:ascii="Times New Roman" w:hAnsi="Times New Roman" w:cs="Times New Roman"/>
          <w:color w:val="00B050"/>
          <w:highlight w:val="none"/>
          <w:lang w:val="en-US" w:eastAsia="zh-CN"/>
        </w:rPr>
        <w:t>可能发生泄漏，可能出现垂直入渗进入土壤，也可能流出</w:t>
      </w:r>
      <w:r>
        <w:rPr>
          <w:rFonts w:hint="eastAsia" w:ascii="Times New Roman" w:hAnsi="Times New Roman" w:cs="Times New Roman"/>
          <w:color w:val="00B050"/>
          <w:highlight w:val="none"/>
          <w:lang w:val="en-US" w:eastAsia="zh-CN"/>
        </w:rPr>
        <w:t>贮存区域</w:t>
      </w:r>
      <w:r>
        <w:rPr>
          <w:rFonts w:hint="default" w:ascii="Times New Roman" w:hAnsi="Times New Roman" w:cs="Times New Roman"/>
          <w:color w:val="00B050"/>
          <w:highlight w:val="none"/>
          <w:lang w:val="en-US" w:eastAsia="zh-CN"/>
        </w:rPr>
        <w:t>造成地面漫流。</w:t>
      </w:r>
      <w:r>
        <w:rPr>
          <w:rFonts w:hint="eastAsia" w:ascii="Times New Roman" w:hAnsi="Times New Roman" w:cs="Times New Roman"/>
          <w:color w:val="00B050"/>
          <w:highlight w:val="none"/>
          <w:lang w:val="en-US" w:eastAsia="zh-CN"/>
        </w:rPr>
        <w:t>部分废矿物油</w:t>
      </w:r>
      <w:r>
        <w:rPr>
          <w:rFonts w:hint="default" w:ascii="Times New Roman" w:hAnsi="Times New Roman" w:cs="Times New Roman"/>
          <w:color w:val="00B050"/>
          <w:highlight w:val="none"/>
          <w:lang w:val="en-US" w:eastAsia="zh-CN"/>
        </w:rPr>
        <w:t>呈弱酸性或弱碱性，会改变土壤pH值</w:t>
      </w:r>
      <w:r>
        <w:rPr>
          <w:rFonts w:hint="eastAsia" w:ascii="Times New Roman" w:hAnsi="Times New Roman" w:cs="Times New Roman"/>
          <w:color w:val="00B050"/>
          <w:highlight w:val="none"/>
          <w:lang w:val="en-US" w:eastAsia="zh-CN"/>
        </w:rPr>
        <w:t>，</w:t>
      </w:r>
      <w:r>
        <w:rPr>
          <w:rFonts w:hint="default" w:ascii="Times New Roman" w:hAnsi="Times New Roman" w:cs="Times New Roman"/>
          <w:color w:val="00B050"/>
          <w:highlight w:val="none"/>
          <w:lang w:val="en-US" w:eastAsia="zh-CN"/>
        </w:rPr>
        <w:t>破坏土壤酸碱平衡。油膜会吸附土壤中的氮、磷等养分，阻止植物根系吸收，导致土壤“贫瘠化”</w:t>
      </w:r>
      <w:r>
        <w:rPr>
          <w:rFonts w:hint="eastAsia" w:ascii="Times New Roman" w:hAnsi="Times New Roman" w:cs="Times New Roman"/>
          <w:color w:val="00B050"/>
          <w:highlight w:val="none"/>
          <w:lang w:val="en-US" w:eastAsia="zh-CN"/>
        </w:rPr>
        <w:t>，从而影响植被生长。</w:t>
      </w:r>
    </w:p>
    <w:p w14:paraId="1991CDA8">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本项目筛分和烘干粉尘采取了布袋除尘，进入环境的粉尘量少，采矿活动中的铲装，运输粉尘也采取了洒水降尘等措施，且本项目粉尘中不含有害重金属，有机物等，粉尘沉降对周边土壤的影响较小。</w:t>
      </w:r>
    </w:p>
    <w:p w14:paraId="0471ECD0">
      <w:pPr>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危废贮存点</w:t>
      </w:r>
      <w:r>
        <w:rPr>
          <w:rFonts w:hint="default" w:ascii="Times New Roman" w:hAnsi="Times New Roman" w:cs="Times New Roman"/>
          <w:color w:val="auto"/>
          <w:highlight w:val="none"/>
          <w:lang w:val="en-US" w:eastAsia="zh-CN"/>
        </w:rPr>
        <w:t>域均采取了重点防渗措施，不存在垂直入渗途径，在正常情况下，不会出现垂直入渗影响，在发生风险事故时，可将事故影响控制在罐区范围内。</w:t>
      </w:r>
    </w:p>
    <w:p w14:paraId="016F0D52">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综上所述，本项目在运行过程中采取措施，减少占地，降低对植被的破坏，矿石采矿、筛分、烘干过程中采取措施降低粉尘的排放量，</w:t>
      </w:r>
      <w:r>
        <w:rPr>
          <w:rFonts w:hint="eastAsia" w:cs="Times New Roman"/>
          <w:color w:val="auto"/>
          <w:highlight w:val="none"/>
          <w:lang w:val="en-US" w:eastAsia="zh-CN"/>
        </w:rPr>
        <w:t>危废贮存点</w:t>
      </w:r>
      <w:r>
        <w:rPr>
          <w:rFonts w:hint="default" w:ascii="Times New Roman" w:hAnsi="Times New Roman" w:cs="Times New Roman"/>
          <w:color w:val="auto"/>
          <w:highlight w:val="none"/>
          <w:lang w:val="en-US" w:eastAsia="zh-CN"/>
        </w:rPr>
        <w:t>按照要求进行重点防渗，日常加强管理、设置应急处理设施，发生泄露后及时采取措施进行处理，可有效降低对土壤环境的影响。</w:t>
      </w:r>
    </w:p>
    <w:p w14:paraId="1AECAE24">
      <w:pPr>
        <w:snapToGrid w:val="0"/>
        <w:spacing w:line="360" w:lineRule="auto"/>
        <w:ind w:firstLine="480" w:firstLineChars="200"/>
        <w:rPr>
          <w:rFonts w:hint="default" w:ascii="Times New Roman" w:hAnsi="Times New Roman" w:eastAsia="宋体" w:cs="Times New Roman"/>
          <w:caps w:val="0"/>
          <w:color w:val="auto"/>
          <w:spacing w:val="0"/>
          <w:position w:val="0"/>
          <w:szCs w:val="24"/>
          <w:highlight w:val="none"/>
        </w:rPr>
      </w:pPr>
    </w:p>
    <w:p w14:paraId="2C6AAC85">
      <w:pPr>
        <w:pStyle w:val="5"/>
        <w:bidi w:val="0"/>
        <w:rPr>
          <w:rFonts w:hint="default"/>
          <w:lang w:val="en-US" w:eastAsia="zh-CN"/>
        </w:rPr>
      </w:pPr>
      <w:bookmarkStart w:id="326" w:name="_Toc23958967"/>
      <w:bookmarkStart w:id="327" w:name="_Toc35856601"/>
      <w:r>
        <w:rPr>
          <w:rFonts w:hint="default"/>
          <w:lang w:val="en-US" w:eastAsia="zh-CN"/>
        </w:rPr>
        <w:t>土壤评价自查表</w:t>
      </w:r>
      <w:bookmarkEnd w:id="326"/>
      <w:bookmarkEnd w:id="327"/>
    </w:p>
    <w:p w14:paraId="7FAE0095">
      <w:pPr>
        <w:keepNext w:val="0"/>
        <w:keepLines w:val="0"/>
        <w:pageBreakBefore w:val="0"/>
        <w:widowControl/>
        <w:kinsoku/>
        <w:wordWrap/>
        <w:overflowPunct/>
        <w:topLinePunct w:val="0"/>
        <w:autoSpaceDE/>
        <w:autoSpaceDN/>
        <w:bidi w:val="0"/>
        <w:adjustRightInd/>
        <w:snapToGrid w:val="0"/>
        <w:spacing w:line="240" w:lineRule="auto"/>
        <w:ind w:firstLine="482"/>
        <w:jc w:val="center"/>
        <w:textAlignment w:val="auto"/>
        <w:rPr>
          <w:rFonts w:hint="default" w:ascii="Times New Roman" w:hAnsi="Times New Roman" w:eastAsia="宋体" w:cs="Times New Roman"/>
          <w:b/>
          <w:bCs/>
          <w:caps w:val="0"/>
          <w:color w:val="FF0000"/>
          <w:spacing w:val="0"/>
          <w:position w:val="0"/>
          <w:highlight w:val="none"/>
          <w:lang w:val="en-US" w:eastAsia="zh-CN"/>
        </w:rPr>
      </w:pPr>
      <w:r>
        <w:rPr>
          <w:rFonts w:hint="default" w:ascii="Times New Roman" w:hAnsi="Times New Roman" w:eastAsia="宋体" w:cs="Times New Roman"/>
          <w:b/>
          <w:bCs/>
          <w:caps w:val="0"/>
          <w:color w:val="FF0000"/>
          <w:spacing w:val="0"/>
          <w:position w:val="0"/>
          <w:highlight w:val="none"/>
          <w:lang w:val="en-US" w:eastAsia="zh-CN"/>
        </w:rPr>
        <w:t>表5</w:t>
      </w:r>
      <w:r>
        <w:rPr>
          <w:rFonts w:hint="eastAsia" w:ascii="Times New Roman" w:hAnsi="Times New Roman" w:eastAsia="宋体" w:cs="Times New Roman"/>
          <w:b/>
          <w:bCs/>
          <w:caps w:val="0"/>
          <w:color w:val="FF0000"/>
          <w:spacing w:val="0"/>
          <w:position w:val="0"/>
          <w:highlight w:val="none"/>
          <w:lang w:val="en-US" w:eastAsia="zh-CN"/>
        </w:rPr>
        <w:t>.2-2</w:t>
      </w:r>
      <w:r>
        <w:rPr>
          <w:rFonts w:hint="eastAsia" w:cs="Times New Roman"/>
          <w:b/>
          <w:bCs/>
          <w:caps w:val="0"/>
          <w:color w:val="FF0000"/>
          <w:spacing w:val="0"/>
          <w:position w:val="0"/>
          <w:highlight w:val="none"/>
          <w:lang w:val="en-US" w:eastAsia="zh-CN"/>
        </w:rPr>
        <w:t>5</w:t>
      </w:r>
      <w:r>
        <w:rPr>
          <w:rFonts w:hint="default" w:ascii="Times New Roman" w:hAnsi="Times New Roman" w:eastAsia="宋体" w:cs="Times New Roman"/>
          <w:b/>
          <w:bCs/>
          <w:caps w:val="0"/>
          <w:color w:val="FF0000"/>
          <w:spacing w:val="0"/>
          <w:position w:val="0"/>
          <w:highlight w:val="none"/>
          <w:lang w:val="en-US" w:eastAsia="zh-CN"/>
        </w:rPr>
        <w:t xml:space="preserve">  </w:t>
      </w:r>
      <w:bookmarkStart w:id="328" w:name="_Hlk497744448"/>
      <w:r>
        <w:rPr>
          <w:rFonts w:hint="eastAsia" w:ascii="Times New Roman" w:hAnsi="Times New Roman" w:eastAsia="宋体" w:cs="Times New Roman"/>
          <w:b/>
          <w:bCs/>
          <w:caps w:val="0"/>
          <w:color w:val="FF0000"/>
          <w:spacing w:val="0"/>
          <w:position w:val="0"/>
          <w:highlight w:val="none"/>
          <w:lang w:val="en-US" w:eastAsia="zh-CN"/>
        </w:rPr>
        <w:t xml:space="preserve"> </w:t>
      </w:r>
      <w:r>
        <w:rPr>
          <w:rFonts w:hint="default" w:ascii="Times New Roman" w:hAnsi="Times New Roman" w:eastAsia="宋体" w:cs="Times New Roman"/>
          <w:b/>
          <w:bCs/>
          <w:caps w:val="0"/>
          <w:color w:val="FF0000"/>
          <w:spacing w:val="0"/>
          <w:position w:val="0"/>
          <w:highlight w:val="none"/>
          <w:lang w:val="en-US" w:eastAsia="zh-CN"/>
        </w:rPr>
        <w:t>厂址区土壤环境影响评价自查表</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542"/>
        <w:gridCol w:w="1514"/>
        <w:gridCol w:w="1382"/>
        <w:gridCol w:w="898"/>
        <w:gridCol w:w="301"/>
        <w:gridCol w:w="1204"/>
        <w:gridCol w:w="455"/>
        <w:gridCol w:w="1595"/>
        <w:gridCol w:w="1177"/>
      </w:tblGrid>
      <w:tr w14:paraId="6636A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056" w:type="dxa"/>
            <w:gridSpan w:val="2"/>
            <w:noWrap w:val="0"/>
            <w:vAlign w:val="center"/>
          </w:tcPr>
          <w:p w14:paraId="03A73938">
            <w:pPr>
              <w:pStyle w:val="42"/>
              <w:bidi w:val="0"/>
              <w:rPr>
                <w:rFonts w:hint="default" w:ascii="Times New Roman" w:hAnsi="Times New Roman" w:eastAsia="宋体" w:cs="Times New Roman"/>
                <w:caps w:val="0"/>
                <w:color w:val="FF0000"/>
                <w:spacing w:val="0"/>
                <w:position w:val="0"/>
                <w:highlight w:val="none"/>
                <w:lang w:val="en-US" w:eastAsia="zh-CN"/>
              </w:rPr>
            </w:pPr>
            <w:r>
              <w:rPr>
                <w:rFonts w:hint="default" w:ascii="Times New Roman" w:hAnsi="Times New Roman" w:eastAsia="宋体" w:cs="Times New Roman"/>
                <w:caps w:val="0"/>
                <w:color w:val="FF0000"/>
                <w:spacing w:val="0"/>
                <w:position w:val="0"/>
                <w:highlight w:val="none"/>
                <w:lang w:val="en-US" w:eastAsia="zh-CN"/>
              </w:rPr>
              <w:t>工作内容</w:t>
            </w:r>
          </w:p>
        </w:tc>
        <w:tc>
          <w:tcPr>
            <w:tcW w:w="5835" w:type="dxa"/>
            <w:gridSpan w:val="6"/>
            <w:noWrap w:val="0"/>
            <w:vAlign w:val="center"/>
          </w:tcPr>
          <w:p w14:paraId="18F1B084">
            <w:pPr>
              <w:pStyle w:val="42"/>
              <w:bidi w:val="0"/>
              <w:rPr>
                <w:rFonts w:hint="default" w:ascii="Times New Roman" w:hAnsi="Times New Roman" w:eastAsia="宋体" w:cs="Times New Roman"/>
                <w:caps w:val="0"/>
                <w:color w:val="FF0000"/>
                <w:spacing w:val="0"/>
                <w:position w:val="0"/>
                <w:highlight w:val="none"/>
                <w:lang w:val="en-US" w:eastAsia="zh-CN"/>
              </w:rPr>
            </w:pPr>
            <w:r>
              <w:rPr>
                <w:rFonts w:hint="default" w:ascii="Times New Roman" w:hAnsi="Times New Roman" w:eastAsia="宋体" w:cs="Times New Roman"/>
                <w:caps w:val="0"/>
                <w:color w:val="FF0000"/>
                <w:spacing w:val="0"/>
                <w:position w:val="0"/>
                <w:highlight w:val="none"/>
                <w:lang w:val="en-US" w:eastAsia="zh-CN"/>
              </w:rPr>
              <w:t>完成情况</w:t>
            </w:r>
          </w:p>
        </w:tc>
        <w:tc>
          <w:tcPr>
            <w:tcW w:w="1177" w:type="dxa"/>
            <w:noWrap w:val="0"/>
            <w:vAlign w:val="center"/>
          </w:tcPr>
          <w:p w14:paraId="08C01CCD">
            <w:pPr>
              <w:pStyle w:val="42"/>
              <w:bidi w:val="0"/>
              <w:rPr>
                <w:rFonts w:hint="default" w:ascii="Times New Roman" w:hAnsi="Times New Roman" w:eastAsia="宋体" w:cs="Times New Roman"/>
                <w:caps w:val="0"/>
                <w:color w:val="FF0000"/>
                <w:spacing w:val="0"/>
                <w:position w:val="0"/>
                <w:highlight w:val="none"/>
                <w:lang w:val="en-US" w:eastAsia="zh-CN"/>
              </w:rPr>
            </w:pPr>
            <w:r>
              <w:rPr>
                <w:rFonts w:hint="default" w:ascii="Times New Roman" w:hAnsi="Times New Roman" w:eastAsia="宋体" w:cs="Times New Roman"/>
                <w:caps w:val="0"/>
                <w:color w:val="FF0000"/>
                <w:spacing w:val="0"/>
                <w:position w:val="0"/>
                <w:highlight w:val="none"/>
                <w:lang w:val="en-US" w:eastAsia="zh-CN"/>
              </w:rPr>
              <w:t>备注</w:t>
            </w:r>
          </w:p>
        </w:tc>
      </w:tr>
      <w:tr w14:paraId="1680A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42" w:type="dxa"/>
            <w:vMerge w:val="restart"/>
            <w:noWrap w:val="0"/>
            <w:vAlign w:val="center"/>
          </w:tcPr>
          <w:p w14:paraId="690E5697">
            <w:pPr>
              <w:pStyle w:val="42"/>
              <w:bidi w:val="0"/>
              <w:rPr>
                <w:rFonts w:hint="default" w:ascii="Times New Roman" w:hAnsi="Times New Roman" w:eastAsia="宋体" w:cs="Times New Roman"/>
                <w:caps w:val="0"/>
                <w:color w:val="FF0000"/>
                <w:spacing w:val="0"/>
                <w:position w:val="0"/>
                <w:highlight w:val="none"/>
                <w:lang w:val="en-US" w:eastAsia="zh-CN"/>
              </w:rPr>
            </w:pPr>
            <w:r>
              <w:rPr>
                <w:rFonts w:hint="default" w:ascii="Times New Roman" w:hAnsi="Times New Roman" w:eastAsia="宋体" w:cs="Times New Roman"/>
                <w:caps w:val="0"/>
                <w:color w:val="FF0000"/>
                <w:spacing w:val="0"/>
                <w:position w:val="0"/>
                <w:highlight w:val="none"/>
                <w:lang w:val="en-US" w:eastAsia="zh-CN"/>
              </w:rPr>
              <w:t>影响识别</w:t>
            </w:r>
          </w:p>
        </w:tc>
        <w:tc>
          <w:tcPr>
            <w:tcW w:w="1514" w:type="dxa"/>
            <w:noWrap w:val="0"/>
            <w:vAlign w:val="center"/>
          </w:tcPr>
          <w:p w14:paraId="40DB0C28">
            <w:pPr>
              <w:pStyle w:val="42"/>
              <w:bidi w:val="0"/>
              <w:rPr>
                <w:rFonts w:hint="default" w:ascii="Times New Roman" w:hAnsi="Times New Roman" w:eastAsia="宋体" w:cs="Times New Roman"/>
                <w:caps w:val="0"/>
                <w:color w:val="FF0000"/>
                <w:spacing w:val="0"/>
                <w:position w:val="0"/>
                <w:highlight w:val="none"/>
                <w:lang w:val="en-US" w:eastAsia="zh-CN"/>
              </w:rPr>
            </w:pPr>
            <w:r>
              <w:rPr>
                <w:rFonts w:hint="default" w:ascii="Times New Roman" w:hAnsi="Times New Roman" w:eastAsia="宋体" w:cs="Times New Roman"/>
                <w:caps w:val="0"/>
                <w:color w:val="FF0000"/>
                <w:spacing w:val="0"/>
                <w:position w:val="0"/>
                <w:highlight w:val="none"/>
                <w:lang w:val="en-US" w:eastAsia="zh-CN"/>
              </w:rPr>
              <w:t>影响类型</w:t>
            </w:r>
          </w:p>
        </w:tc>
        <w:tc>
          <w:tcPr>
            <w:tcW w:w="5835" w:type="dxa"/>
            <w:gridSpan w:val="6"/>
            <w:noWrap w:val="0"/>
            <w:vAlign w:val="center"/>
          </w:tcPr>
          <w:p w14:paraId="7699F856">
            <w:pPr>
              <w:pStyle w:val="42"/>
              <w:bidi w:val="0"/>
              <w:rPr>
                <w:rFonts w:hint="default" w:ascii="Times New Roman" w:hAnsi="Times New Roman" w:eastAsia="宋体" w:cs="Times New Roman"/>
                <w:caps w:val="0"/>
                <w:color w:val="FF0000"/>
                <w:spacing w:val="0"/>
                <w:position w:val="0"/>
                <w:highlight w:val="none"/>
                <w:lang w:val="en-US" w:eastAsia="zh-CN"/>
              </w:rPr>
            </w:pPr>
            <w:r>
              <w:rPr>
                <w:rFonts w:hint="default" w:ascii="Times New Roman" w:hAnsi="Times New Roman" w:eastAsia="宋体" w:cs="Times New Roman"/>
                <w:caps w:val="0"/>
                <w:color w:val="FF0000"/>
                <w:spacing w:val="0"/>
                <w:position w:val="0"/>
                <w:highlight w:val="none"/>
                <w:lang w:val="en-US" w:eastAsia="zh-CN"/>
              </w:rPr>
              <w:t>污染影响型□；生态影响型□；两种兼有</w:t>
            </w:r>
            <w:r>
              <w:rPr>
                <w:rFonts w:hint="eastAsia" w:ascii="Times New Roman" w:hAnsi="Times New Roman" w:eastAsia="宋体" w:cs="Times New Roman"/>
                <w:caps w:val="0"/>
                <w:color w:val="FF0000"/>
                <w:spacing w:val="0"/>
                <w:position w:val="0"/>
                <w:highlight w:val="none"/>
                <w:lang w:val="en-US" w:eastAsia="zh-CN"/>
              </w:rPr>
              <w:t>☑</w:t>
            </w:r>
          </w:p>
        </w:tc>
        <w:tc>
          <w:tcPr>
            <w:tcW w:w="1177" w:type="dxa"/>
            <w:noWrap w:val="0"/>
            <w:vAlign w:val="center"/>
          </w:tcPr>
          <w:p w14:paraId="457B441E">
            <w:pPr>
              <w:pStyle w:val="42"/>
              <w:bidi w:val="0"/>
              <w:rPr>
                <w:rFonts w:hint="default" w:ascii="Times New Roman" w:hAnsi="Times New Roman" w:eastAsia="宋体" w:cs="Times New Roman"/>
                <w:caps w:val="0"/>
                <w:color w:val="FF0000"/>
                <w:spacing w:val="0"/>
                <w:position w:val="0"/>
                <w:highlight w:val="none"/>
                <w:lang w:val="en-US" w:eastAsia="zh-CN"/>
              </w:rPr>
            </w:pPr>
          </w:p>
        </w:tc>
      </w:tr>
      <w:tr w14:paraId="01124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42" w:type="dxa"/>
            <w:vMerge w:val="continue"/>
            <w:noWrap w:val="0"/>
            <w:vAlign w:val="center"/>
          </w:tcPr>
          <w:p w14:paraId="3B7EA167">
            <w:pPr>
              <w:pStyle w:val="42"/>
              <w:bidi w:val="0"/>
              <w:rPr>
                <w:rFonts w:hint="default" w:ascii="Times New Roman" w:hAnsi="Times New Roman" w:eastAsia="宋体" w:cs="Times New Roman"/>
                <w:caps w:val="0"/>
                <w:color w:val="FF0000"/>
                <w:spacing w:val="0"/>
                <w:position w:val="0"/>
                <w:highlight w:val="none"/>
                <w:lang w:val="en-US" w:eastAsia="zh-CN"/>
              </w:rPr>
            </w:pPr>
          </w:p>
        </w:tc>
        <w:tc>
          <w:tcPr>
            <w:tcW w:w="1514" w:type="dxa"/>
            <w:noWrap w:val="0"/>
            <w:vAlign w:val="center"/>
          </w:tcPr>
          <w:p w14:paraId="221F4FA7">
            <w:pPr>
              <w:pStyle w:val="42"/>
              <w:bidi w:val="0"/>
              <w:rPr>
                <w:rFonts w:hint="default" w:ascii="Times New Roman" w:hAnsi="Times New Roman" w:eastAsia="宋体" w:cs="Times New Roman"/>
                <w:caps w:val="0"/>
                <w:color w:val="FF0000"/>
                <w:spacing w:val="0"/>
                <w:position w:val="0"/>
                <w:highlight w:val="none"/>
                <w:lang w:val="en-US" w:eastAsia="zh-CN"/>
              </w:rPr>
            </w:pPr>
            <w:r>
              <w:rPr>
                <w:rFonts w:hint="default" w:ascii="Times New Roman" w:hAnsi="Times New Roman" w:eastAsia="宋体" w:cs="Times New Roman"/>
                <w:caps w:val="0"/>
                <w:color w:val="FF0000"/>
                <w:spacing w:val="0"/>
                <w:position w:val="0"/>
                <w:highlight w:val="none"/>
                <w:lang w:val="en-US" w:eastAsia="zh-CN"/>
              </w:rPr>
              <w:t>土地利用类型</w:t>
            </w:r>
          </w:p>
        </w:tc>
        <w:tc>
          <w:tcPr>
            <w:tcW w:w="5835" w:type="dxa"/>
            <w:gridSpan w:val="6"/>
            <w:noWrap w:val="0"/>
            <w:vAlign w:val="center"/>
          </w:tcPr>
          <w:p w14:paraId="17283032">
            <w:pPr>
              <w:pStyle w:val="42"/>
              <w:bidi w:val="0"/>
              <w:rPr>
                <w:rFonts w:hint="default" w:ascii="Times New Roman" w:hAnsi="Times New Roman" w:eastAsia="宋体" w:cs="Times New Roman"/>
                <w:caps w:val="0"/>
                <w:color w:val="FF0000"/>
                <w:spacing w:val="0"/>
                <w:position w:val="0"/>
                <w:highlight w:val="none"/>
                <w:lang w:val="en-US" w:eastAsia="zh-CN"/>
              </w:rPr>
            </w:pPr>
            <w:r>
              <w:rPr>
                <w:rFonts w:hint="default" w:ascii="Times New Roman" w:hAnsi="Times New Roman" w:eastAsia="宋体" w:cs="Times New Roman"/>
                <w:caps w:val="0"/>
                <w:color w:val="FF0000"/>
                <w:spacing w:val="0"/>
                <w:position w:val="0"/>
                <w:highlight w:val="none"/>
                <w:lang w:val="en-US" w:eastAsia="zh-CN"/>
              </w:rPr>
              <w:t>建设用地</w:t>
            </w:r>
            <w:r>
              <w:rPr>
                <w:rFonts w:hint="eastAsia" w:ascii="Times New Roman" w:hAnsi="Times New Roman" w:eastAsia="宋体" w:cs="Times New Roman"/>
                <w:caps w:val="0"/>
                <w:color w:val="FF0000"/>
                <w:spacing w:val="0"/>
                <w:position w:val="0"/>
                <w:highlight w:val="none"/>
                <w:lang w:val="en-US" w:eastAsia="zh-CN"/>
              </w:rPr>
              <w:t>□</w:t>
            </w:r>
            <w:r>
              <w:rPr>
                <w:rFonts w:hint="default" w:ascii="Times New Roman" w:hAnsi="Times New Roman" w:eastAsia="宋体" w:cs="Times New Roman"/>
                <w:caps w:val="0"/>
                <w:color w:val="FF0000"/>
                <w:spacing w:val="0"/>
                <w:position w:val="0"/>
                <w:highlight w:val="none"/>
                <w:lang w:val="en-US" w:eastAsia="zh-CN"/>
              </w:rPr>
              <w:t>；农用地</w:t>
            </w:r>
            <w:r>
              <w:rPr>
                <w:rFonts w:hint="eastAsia" w:ascii="Times New Roman" w:hAnsi="Times New Roman" w:eastAsia="宋体" w:cs="Times New Roman"/>
                <w:caps w:val="0"/>
                <w:color w:val="FF0000"/>
                <w:spacing w:val="0"/>
                <w:position w:val="0"/>
                <w:highlight w:val="none"/>
                <w:lang w:val="en-US" w:eastAsia="zh-CN"/>
              </w:rPr>
              <w:t>☑</w:t>
            </w:r>
            <w:r>
              <w:rPr>
                <w:rFonts w:hint="default" w:ascii="Times New Roman" w:hAnsi="Times New Roman" w:eastAsia="宋体" w:cs="Times New Roman"/>
                <w:caps w:val="0"/>
                <w:color w:val="FF0000"/>
                <w:spacing w:val="0"/>
                <w:position w:val="0"/>
                <w:highlight w:val="none"/>
                <w:lang w:val="en-US" w:eastAsia="zh-CN"/>
              </w:rPr>
              <w:t>；未利用地□</w:t>
            </w:r>
          </w:p>
        </w:tc>
        <w:tc>
          <w:tcPr>
            <w:tcW w:w="1177" w:type="dxa"/>
            <w:noWrap w:val="0"/>
            <w:vAlign w:val="center"/>
          </w:tcPr>
          <w:p w14:paraId="337F2903">
            <w:pPr>
              <w:pStyle w:val="42"/>
              <w:bidi w:val="0"/>
              <w:rPr>
                <w:rFonts w:hint="default" w:ascii="Times New Roman" w:hAnsi="Times New Roman" w:eastAsia="宋体" w:cs="Times New Roman"/>
                <w:caps w:val="0"/>
                <w:color w:val="FF0000"/>
                <w:spacing w:val="0"/>
                <w:position w:val="0"/>
                <w:highlight w:val="none"/>
                <w:lang w:val="en-US" w:eastAsia="zh-CN"/>
              </w:rPr>
            </w:pPr>
          </w:p>
        </w:tc>
      </w:tr>
      <w:tr w14:paraId="7DA30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42" w:type="dxa"/>
            <w:vMerge w:val="continue"/>
            <w:noWrap w:val="0"/>
            <w:vAlign w:val="center"/>
          </w:tcPr>
          <w:p w14:paraId="237904EE">
            <w:pPr>
              <w:pStyle w:val="42"/>
              <w:bidi w:val="0"/>
              <w:rPr>
                <w:rFonts w:hint="default" w:ascii="Times New Roman" w:hAnsi="Times New Roman" w:eastAsia="宋体" w:cs="Times New Roman"/>
                <w:caps w:val="0"/>
                <w:color w:val="FF0000"/>
                <w:spacing w:val="0"/>
                <w:position w:val="0"/>
                <w:highlight w:val="none"/>
                <w:lang w:val="en-US" w:eastAsia="zh-CN"/>
              </w:rPr>
            </w:pPr>
          </w:p>
        </w:tc>
        <w:tc>
          <w:tcPr>
            <w:tcW w:w="1514" w:type="dxa"/>
            <w:noWrap w:val="0"/>
            <w:vAlign w:val="center"/>
          </w:tcPr>
          <w:p w14:paraId="28AFFCAF">
            <w:pPr>
              <w:pStyle w:val="42"/>
              <w:bidi w:val="0"/>
              <w:rPr>
                <w:rFonts w:hint="default" w:ascii="Times New Roman" w:hAnsi="Times New Roman" w:eastAsia="宋体" w:cs="Times New Roman"/>
                <w:caps w:val="0"/>
                <w:color w:val="FF0000"/>
                <w:spacing w:val="0"/>
                <w:position w:val="0"/>
                <w:highlight w:val="none"/>
                <w:lang w:val="en-US" w:eastAsia="zh-CN"/>
              </w:rPr>
            </w:pPr>
            <w:r>
              <w:rPr>
                <w:rFonts w:hint="default" w:ascii="Times New Roman" w:hAnsi="Times New Roman" w:eastAsia="宋体" w:cs="Times New Roman"/>
                <w:caps w:val="0"/>
                <w:color w:val="FF0000"/>
                <w:spacing w:val="0"/>
                <w:position w:val="0"/>
                <w:highlight w:val="none"/>
                <w:lang w:val="en-US" w:eastAsia="zh-CN"/>
              </w:rPr>
              <w:t>占地规模</w:t>
            </w:r>
          </w:p>
        </w:tc>
        <w:tc>
          <w:tcPr>
            <w:tcW w:w="5835" w:type="dxa"/>
            <w:gridSpan w:val="6"/>
            <w:noWrap w:val="0"/>
            <w:vAlign w:val="center"/>
          </w:tcPr>
          <w:p w14:paraId="0E119EF2">
            <w:pPr>
              <w:pStyle w:val="42"/>
              <w:bidi w:val="0"/>
              <w:rPr>
                <w:rFonts w:hint="default" w:ascii="Times New Roman" w:hAnsi="Times New Roman" w:eastAsia="宋体" w:cs="Times New Roman"/>
                <w:caps w:val="0"/>
                <w:color w:val="FF0000"/>
                <w:spacing w:val="0"/>
                <w:position w:val="0"/>
                <w:highlight w:val="none"/>
                <w:lang w:val="en-US" w:eastAsia="zh-CN"/>
              </w:rPr>
            </w:pPr>
            <w:r>
              <w:rPr>
                <w:rFonts w:hint="default" w:ascii="Times New Roman" w:hAnsi="Times New Roman" w:eastAsia="宋体" w:cs="Times New Roman"/>
                <w:caps w:val="0"/>
                <w:color w:val="FF0000"/>
                <w:spacing w:val="0"/>
                <w:position w:val="0"/>
                <w:highlight w:val="none"/>
                <w:lang w:val="en-US" w:eastAsia="zh-CN"/>
              </w:rPr>
              <w:t>(</w:t>
            </w:r>
            <w:r>
              <w:rPr>
                <w:rFonts w:hint="eastAsia" w:ascii="Times New Roman" w:hAnsi="Times New Roman" w:eastAsia="宋体" w:cs="Times New Roman"/>
                <w:caps w:val="0"/>
                <w:color w:val="FF0000"/>
                <w:spacing w:val="0"/>
                <w:position w:val="0"/>
                <w:highlight w:val="none"/>
                <w:lang w:val="en-US" w:eastAsia="zh-CN"/>
              </w:rPr>
              <w:t>103.66</w:t>
            </w:r>
            <w:r>
              <w:rPr>
                <w:rFonts w:hint="default" w:ascii="Times New Roman" w:hAnsi="Times New Roman" w:eastAsia="宋体" w:cs="Times New Roman"/>
                <w:caps w:val="0"/>
                <w:color w:val="FF0000"/>
                <w:spacing w:val="0"/>
                <w:position w:val="0"/>
                <w:highlight w:val="none"/>
                <w:lang w:val="en-US" w:eastAsia="zh-CN"/>
              </w:rPr>
              <w:t>)hm</w:t>
            </w:r>
            <w:r>
              <w:rPr>
                <w:rFonts w:hint="default" w:ascii="Times New Roman" w:hAnsi="Times New Roman" w:eastAsia="宋体" w:cs="Times New Roman"/>
                <w:caps w:val="0"/>
                <w:color w:val="FF0000"/>
                <w:spacing w:val="0"/>
                <w:position w:val="0"/>
                <w:highlight w:val="none"/>
                <w:vertAlign w:val="superscript"/>
                <w:lang w:val="en-US" w:eastAsia="zh-CN"/>
              </w:rPr>
              <w:t>2</w:t>
            </w:r>
          </w:p>
        </w:tc>
        <w:tc>
          <w:tcPr>
            <w:tcW w:w="1177" w:type="dxa"/>
            <w:noWrap w:val="0"/>
            <w:vAlign w:val="center"/>
          </w:tcPr>
          <w:p w14:paraId="481EB375">
            <w:pPr>
              <w:pStyle w:val="42"/>
              <w:bidi w:val="0"/>
              <w:rPr>
                <w:rFonts w:hint="default" w:ascii="Times New Roman" w:hAnsi="Times New Roman" w:eastAsia="宋体" w:cs="Times New Roman"/>
                <w:caps w:val="0"/>
                <w:color w:val="FF0000"/>
                <w:spacing w:val="0"/>
                <w:position w:val="0"/>
                <w:highlight w:val="none"/>
                <w:lang w:val="en-US" w:eastAsia="zh-CN"/>
              </w:rPr>
            </w:pPr>
          </w:p>
        </w:tc>
      </w:tr>
      <w:tr w14:paraId="13996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42" w:type="dxa"/>
            <w:vMerge w:val="continue"/>
            <w:noWrap w:val="0"/>
            <w:vAlign w:val="center"/>
          </w:tcPr>
          <w:p w14:paraId="57D4DE9E">
            <w:pPr>
              <w:pStyle w:val="42"/>
              <w:bidi w:val="0"/>
              <w:rPr>
                <w:rFonts w:hint="default" w:ascii="Times New Roman" w:hAnsi="Times New Roman" w:eastAsia="宋体" w:cs="Times New Roman"/>
                <w:caps w:val="0"/>
                <w:color w:val="FF0000"/>
                <w:spacing w:val="0"/>
                <w:position w:val="0"/>
                <w:highlight w:val="none"/>
                <w:lang w:val="en-US" w:eastAsia="zh-CN"/>
              </w:rPr>
            </w:pPr>
          </w:p>
        </w:tc>
        <w:tc>
          <w:tcPr>
            <w:tcW w:w="1514" w:type="dxa"/>
            <w:noWrap w:val="0"/>
            <w:vAlign w:val="center"/>
          </w:tcPr>
          <w:p w14:paraId="18E04E90">
            <w:pPr>
              <w:pStyle w:val="42"/>
              <w:bidi w:val="0"/>
              <w:rPr>
                <w:rFonts w:hint="default" w:ascii="Times New Roman" w:hAnsi="Times New Roman" w:eastAsia="宋体" w:cs="Times New Roman"/>
                <w:caps w:val="0"/>
                <w:color w:val="FF0000"/>
                <w:spacing w:val="0"/>
                <w:position w:val="0"/>
                <w:highlight w:val="none"/>
                <w:lang w:val="en-US" w:eastAsia="zh-CN"/>
              </w:rPr>
            </w:pPr>
            <w:r>
              <w:rPr>
                <w:rFonts w:hint="default" w:ascii="Times New Roman" w:hAnsi="Times New Roman" w:eastAsia="宋体" w:cs="Times New Roman"/>
                <w:caps w:val="0"/>
                <w:color w:val="FF0000"/>
                <w:spacing w:val="0"/>
                <w:position w:val="0"/>
                <w:highlight w:val="none"/>
                <w:lang w:val="en-US" w:eastAsia="zh-CN"/>
              </w:rPr>
              <w:t>敏感目标信息</w:t>
            </w:r>
          </w:p>
        </w:tc>
        <w:tc>
          <w:tcPr>
            <w:tcW w:w="5835" w:type="dxa"/>
            <w:gridSpan w:val="6"/>
            <w:noWrap w:val="0"/>
            <w:vAlign w:val="center"/>
          </w:tcPr>
          <w:p w14:paraId="668FFA32">
            <w:pPr>
              <w:pStyle w:val="42"/>
              <w:bidi w:val="0"/>
              <w:rPr>
                <w:rFonts w:hint="default" w:ascii="Times New Roman" w:hAnsi="Times New Roman" w:eastAsia="宋体" w:cs="Times New Roman"/>
                <w:caps w:val="0"/>
                <w:color w:val="FF0000"/>
                <w:spacing w:val="0"/>
                <w:position w:val="0"/>
                <w:highlight w:val="none"/>
                <w:lang w:val="en-US" w:eastAsia="zh-CN"/>
              </w:rPr>
            </w:pPr>
            <w:r>
              <w:rPr>
                <w:rFonts w:hint="default" w:ascii="Times New Roman" w:hAnsi="Times New Roman" w:eastAsia="宋体" w:cs="Times New Roman"/>
                <w:caps w:val="0"/>
                <w:color w:val="FF0000"/>
                <w:spacing w:val="0"/>
                <w:position w:val="0"/>
                <w:highlight w:val="none"/>
                <w:lang w:val="en-US" w:eastAsia="zh-CN"/>
              </w:rPr>
              <w:t>无</w:t>
            </w:r>
          </w:p>
        </w:tc>
        <w:tc>
          <w:tcPr>
            <w:tcW w:w="1177" w:type="dxa"/>
            <w:noWrap w:val="0"/>
            <w:vAlign w:val="center"/>
          </w:tcPr>
          <w:p w14:paraId="1070424F">
            <w:pPr>
              <w:pStyle w:val="42"/>
              <w:bidi w:val="0"/>
              <w:rPr>
                <w:rFonts w:hint="default" w:ascii="Times New Roman" w:hAnsi="Times New Roman" w:eastAsia="宋体" w:cs="Times New Roman"/>
                <w:caps w:val="0"/>
                <w:color w:val="FF0000"/>
                <w:spacing w:val="0"/>
                <w:position w:val="0"/>
                <w:highlight w:val="none"/>
                <w:lang w:val="en-US" w:eastAsia="zh-CN"/>
              </w:rPr>
            </w:pPr>
          </w:p>
        </w:tc>
      </w:tr>
      <w:tr w14:paraId="6CACA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42" w:type="dxa"/>
            <w:vMerge w:val="continue"/>
            <w:noWrap w:val="0"/>
            <w:vAlign w:val="center"/>
          </w:tcPr>
          <w:p w14:paraId="0147BDE9">
            <w:pPr>
              <w:pStyle w:val="42"/>
              <w:bidi w:val="0"/>
              <w:rPr>
                <w:rFonts w:hint="default" w:ascii="Times New Roman" w:hAnsi="Times New Roman" w:eastAsia="宋体" w:cs="Times New Roman"/>
                <w:caps w:val="0"/>
                <w:color w:val="FF0000"/>
                <w:spacing w:val="0"/>
                <w:position w:val="0"/>
                <w:highlight w:val="none"/>
                <w:lang w:val="en-US" w:eastAsia="zh-CN"/>
              </w:rPr>
            </w:pPr>
          </w:p>
        </w:tc>
        <w:tc>
          <w:tcPr>
            <w:tcW w:w="1514" w:type="dxa"/>
            <w:noWrap w:val="0"/>
            <w:vAlign w:val="center"/>
          </w:tcPr>
          <w:p w14:paraId="6E910A0E">
            <w:pPr>
              <w:pStyle w:val="42"/>
              <w:bidi w:val="0"/>
              <w:rPr>
                <w:rFonts w:hint="default" w:ascii="Times New Roman" w:hAnsi="Times New Roman" w:eastAsia="宋体" w:cs="Times New Roman"/>
                <w:caps w:val="0"/>
                <w:color w:val="FF0000"/>
                <w:spacing w:val="0"/>
                <w:position w:val="0"/>
                <w:highlight w:val="none"/>
                <w:lang w:val="en-US" w:eastAsia="zh-CN"/>
              </w:rPr>
            </w:pPr>
            <w:r>
              <w:rPr>
                <w:rFonts w:hint="default" w:ascii="Times New Roman" w:hAnsi="Times New Roman" w:eastAsia="宋体" w:cs="Times New Roman"/>
                <w:caps w:val="0"/>
                <w:color w:val="FF0000"/>
                <w:spacing w:val="0"/>
                <w:position w:val="0"/>
                <w:highlight w:val="none"/>
                <w:lang w:val="en-US" w:eastAsia="zh-CN"/>
              </w:rPr>
              <w:t>影响途径</w:t>
            </w:r>
          </w:p>
        </w:tc>
        <w:tc>
          <w:tcPr>
            <w:tcW w:w="5835" w:type="dxa"/>
            <w:gridSpan w:val="6"/>
            <w:noWrap w:val="0"/>
            <w:vAlign w:val="center"/>
          </w:tcPr>
          <w:p w14:paraId="7C9E5AF7">
            <w:pPr>
              <w:pStyle w:val="42"/>
              <w:bidi w:val="0"/>
              <w:rPr>
                <w:rFonts w:hint="default" w:ascii="Times New Roman" w:hAnsi="Times New Roman" w:eastAsia="宋体" w:cs="Times New Roman"/>
                <w:caps w:val="0"/>
                <w:color w:val="FF0000"/>
                <w:spacing w:val="0"/>
                <w:position w:val="0"/>
                <w:highlight w:val="none"/>
                <w:lang w:val="en-US" w:eastAsia="zh-CN"/>
              </w:rPr>
            </w:pPr>
            <w:r>
              <w:rPr>
                <w:rFonts w:hint="default" w:ascii="Times New Roman" w:hAnsi="Times New Roman" w:eastAsia="宋体" w:cs="Times New Roman"/>
                <w:caps w:val="0"/>
                <w:color w:val="FF0000"/>
                <w:spacing w:val="0"/>
                <w:position w:val="0"/>
                <w:highlight w:val="none"/>
                <w:lang w:val="en-US" w:eastAsia="zh-CN"/>
              </w:rPr>
              <w:t>大气沉降☑；地面漫流☑；垂直入渗</w:t>
            </w:r>
            <w:r>
              <w:rPr>
                <w:rFonts w:hint="eastAsia" w:ascii="Times New Roman" w:hAnsi="Times New Roman" w:eastAsia="宋体" w:cs="Times New Roman"/>
                <w:caps w:val="0"/>
                <w:color w:val="FF0000"/>
                <w:spacing w:val="0"/>
                <w:position w:val="0"/>
                <w:highlight w:val="none"/>
                <w:lang w:val="en-US" w:eastAsia="zh-CN"/>
              </w:rPr>
              <w:t>□</w:t>
            </w:r>
            <w:r>
              <w:rPr>
                <w:rFonts w:hint="default" w:ascii="Times New Roman" w:hAnsi="Times New Roman" w:eastAsia="宋体" w:cs="Times New Roman"/>
                <w:caps w:val="0"/>
                <w:color w:val="FF0000"/>
                <w:spacing w:val="0"/>
                <w:position w:val="0"/>
                <w:highlight w:val="none"/>
                <w:lang w:val="en-US" w:eastAsia="zh-CN"/>
              </w:rPr>
              <w:t>；地下水位□；其他(   )</w:t>
            </w:r>
          </w:p>
        </w:tc>
        <w:tc>
          <w:tcPr>
            <w:tcW w:w="1177" w:type="dxa"/>
            <w:noWrap w:val="0"/>
            <w:vAlign w:val="center"/>
          </w:tcPr>
          <w:p w14:paraId="5A3B5322">
            <w:pPr>
              <w:pStyle w:val="42"/>
              <w:bidi w:val="0"/>
              <w:rPr>
                <w:rFonts w:hint="default" w:ascii="Times New Roman" w:hAnsi="Times New Roman" w:eastAsia="宋体" w:cs="Times New Roman"/>
                <w:caps w:val="0"/>
                <w:color w:val="FF0000"/>
                <w:spacing w:val="0"/>
                <w:position w:val="0"/>
                <w:highlight w:val="none"/>
                <w:lang w:val="en-US" w:eastAsia="zh-CN"/>
              </w:rPr>
            </w:pPr>
          </w:p>
        </w:tc>
      </w:tr>
      <w:tr w14:paraId="1BDAE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42" w:type="dxa"/>
            <w:vMerge w:val="continue"/>
            <w:noWrap w:val="0"/>
            <w:vAlign w:val="center"/>
          </w:tcPr>
          <w:p w14:paraId="3687CFD3">
            <w:pPr>
              <w:pStyle w:val="42"/>
              <w:bidi w:val="0"/>
              <w:rPr>
                <w:rFonts w:hint="default" w:ascii="Times New Roman" w:hAnsi="Times New Roman" w:eastAsia="宋体" w:cs="Times New Roman"/>
                <w:caps w:val="0"/>
                <w:color w:val="FF0000"/>
                <w:spacing w:val="0"/>
                <w:position w:val="0"/>
                <w:highlight w:val="none"/>
                <w:lang w:val="en-US" w:eastAsia="zh-CN"/>
              </w:rPr>
            </w:pPr>
          </w:p>
        </w:tc>
        <w:tc>
          <w:tcPr>
            <w:tcW w:w="1514" w:type="dxa"/>
            <w:noWrap w:val="0"/>
            <w:vAlign w:val="center"/>
          </w:tcPr>
          <w:p w14:paraId="404BBBD5">
            <w:pPr>
              <w:pStyle w:val="42"/>
              <w:bidi w:val="0"/>
              <w:rPr>
                <w:rFonts w:hint="default" w:ascii="Times New Roman" w:hAnsi="Times New Roman" w:eastAsia="宋体" w:cs="Times New Roman"/>
                <w:caps w:val="0"/>
                <w:color w:val="FF0000"/>
                <w:spacing w:val="0"/>
                <w:position w:val="0"/>
                <w:highlight w:val="none"/>
                <w:lang w:val="en-US" w:eastAsia="zh-CN"/>
              </w:rPr>
            </w:pPr>
            <w:r>
              <w:rPr>
                <w:rFonts w:hint="default" w:ascii="Times New Roman" w:hAnsi="Times New Roman" w:eastAsia="宋体" w:cs="Times New Roman"/>
                <w:caps w:val="0"/>
                <w:color w:val="FF0000"/>
                <w:spacing w:val="0"/>
                <w:position w:val="0"/>
                <w:highlight w:val="none"/>
                <w:lang w:val="en-US" w:eastAsia="zh-CN"/>
              </w:rPr>
              <w:t>全部</w:t>
            </w:r>
          </w:p>
          <w:p w14:paraId="3317A0CB">
            <w:pPr>
              <w:pStyle w:val="42"/>
              <w:bidi w:val="0"/>
              <w:rPr>
                <w:rFonts w:hint="default" w:ascii="Times New Roman" w:hAnsi="Times New Roman" w:eastAsia="宋体" w:cs="Times New Roman"/>
                <w:caps w:val="0"/>
                <w:color w:val="FF0000"/>
                <w:spacing w:val="0"/>
                <w:position w:val="0"/>
                <w:highlight w:val="none"/>
                <w:lang w:val="en-US" w:eastAsia="zh-CN"/>
              </w:rPr>
            </w:pPr>
            <w:r>
              <w:rPr>
                <w:rFonts w:hint="default" w:ascii="Times New Roman" w:hAnsi="Times New Roman" w:eastAsia="宋体" w:cs="Times New Roman"/>
                <w:caps w:val="0"/>
                <w:color w:val="FF0000"/>
                <w:spacing w:val="0"/>
                <w:position w:val="0"/>
                <w:highlight w:val="none"/>
                <w:lang w:val="en-US" w:eastAsia="zh-CN"/>
              </w:rPr>
              <w:t>污染物指标</w:t>
            </w:r>
          </w:p>
        </w:tc>
        <w:tc>
          <w:tcPr>
            <w:tcW w:w="5835" w:type="dxa"/>
            <w:gridSpan w:val="6"/>
            <w:noWrap w:val="0"/>
            <w:vAlign w:val="center"/>
          </w:tcPr>
          <w:p w14:paraId="0D0E8743">
            <w:pPr>
              <w:pStyle w:val="42"/>
              <w:bidi w:val="0"/>
              <w:rPr>
                <w:rFonts w:hint="default" w:ascii="Times New Roman" w:hAnsi="Times New Roman" w:eastAsia="宋体" w:cs="Times New Roman"/>
                <w:caps w:val="0"/>
                <w:color w:val="FF0000"/>
                <w:spacing w:val="0"/>
                <w:position w:val="0"/>
                <w:highlight w:val="none"/>
                <w:lang w:val="en-US" w:eastAsia="zh-CN"/>
              </w:rPr>
            </w:pPr>
            <w:r>
              <w:rPr>
                <w:rFonts w:hint="eastAsia" w:ascii="Times New Roman" w:hAnsi="Times New Roman" w:eastAsia="宋体" w:cs="Times New Roman"/>
                <w:caps w:val="0"/>
                <w:color w:val="FF0000"/>
                <w:spacing w:val="0"/>
                <w:position w:val="0"/>
                <w:highlight w:val="none"/>
                <w:lang w:val="en-US" w:eastAsia="zh-CN"/>
              </w:rPr>
              <w:t>pH</w:t>
            </w:r>
          </w:p>
        </w:tc>
        <w:tc>
          <w:tcPr>
            <w:tcW w:w="1177" w:type="dxa"/>
            <w:noWrap w:val="0"/>
            <w:vAlign w:val="center"/>
          </w:tcPr>
          <w:p w14:paraId="7E01A3DF">
            <w:pPr>
              <w:pStyle w:val="42"/>
              <w:bidi w:val="0"/>
              <w:rPr>
                <w:rFonts w:hint="default" w:ascii="Times New Roman" w:hAnsi="Times New Roman" w:eastAsia="宋体" w:cs="Times New Roman"/>
                <w:caps w:val="0"/>
                <w:color w:val="FF0000"/>
                <w:spacing w:val="0"/>
                <w:position w:val="0"/>
                <w:highlight w:val="none"/>
                <w:lang w:val="en-US" w:eastAsia="zh-CN"/>
              </w:rPr>
            </w:pPr>
          </w:p>
        </w:tc>
      </w:tr>
      <w:tr w14:paraId="5C7F4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42" w:type="dxa"/>
            <w:vMerge w:val="continue"/>
            <w:noWrap w:val="0"/>
            <w:vAlign w:val="center"/>
          </w:tcPr>
          <w:p w14:paraId="6D40F0BD">
            <w:pPr>
              <w:pStyle w:val="42"/>
              <w:bidi w:val="0"/>
              <w:rPr>
                <w:rFonts w:hint="default" w:ascii="Times New Roman" w:hAnsi="Times New Roman" w:eastAsia="宋体" w:cs="Times New Roman"/>
                <w:caps w:val="0"/>
                <w:color w:val="FF0000"/>
                <w:spacing w:val="0"/>
                <w:position w:val="0"/>
                <w:highlight w:val="none"/>
                <w:lang w:val="en-US" w:eastAsia="zh-CN"/>
              </w:rPr>
            </w:pPr>
          </w:p>
        </w:tc>
        <w:tc>
          <w:tcPr>
            <w:tcW w:w="1514" w:type="dxa"/>
            <w:noWrap w:val="0"/>
            <w:vAlign w:val="center"/>
          </w:tcPr>
          <w:p w14:paraId="618574A5">
            <w:pPr>
              <w:pStyle w:val="42"/>
              <w:bidi w:val="0"/>
              <w:rPr>
                <w:rFonts w:hint="default" w:ascii="Times New Roman" w:hAnsi="Times New Roman" w:eastAsia="宋体" w:cs="Times New Roman"/>
                <w:caps w:val="0"/>
                <w:color w:val="FF0000"/>
                <w:spacing w:val="0"/>
                <w:position w:val="0"/>
                <w:highlight w:val="none"/>
                <w:lang w:val="en-US" w:eastAsia="zh-CN"/>
              </w:rPr>
            </w:pPr>
            <w:r>
              <w:rPr>
                <w:rFonts w:hint="default" w:ascii="Times New Roman" w:hAnsi="Times New Roman" w:eastAsia="宋体" w:cs="Times New Roman"/>
                <w:caps w:val="0"/>
                <w:color w:val="FF0000"/>
                <w:spacing w:val="0"/>
                <w:position w:val="0"/>
                <w:highlight w:val="none"/>
                <w:lang w:val="en-US" w:eastAsia="zh-CN"/>
              </w:rPr>
              <w:t>特征因子</w:t>
            </w:r>
          </w:p>
        </w:tc>
        <w:tc>
          <w:tcPr>
            <w:tcW w:w="5835" w:type="dxa"/>
            <w:gridSpan w:val="6"/>
            <w:noWrap w:val="0"/>
            <w:vAlign w:val="center"/>
          </w:tcPr>
          <w:p w14:paraId="687ACACB">
            <w:pPr>
              <w:pStyle w:val="42"/>
              <w:bidi w:val="0"/>
              <w:rPr>
                <w:rFonts w:hint="default" w:ascii="Times New Roman" w:hAnsi="Times New Roman" w:eastAsia="宋体" w:cs="Times New Roman"/>
                <w:caps w:val="0"/>
                <w:color w:val="FF0000"/>
                <w:spacing w:val="0"/>
                <w:position w:val="0"/>
                <w:highlight w:val="none"/>
                <w:lang w:val="en-US" w:eastAsia="zh-CN"/>
              </w:rPr>
            </w:pPr>
            <w:r>
              <w:rPr>
                <w:rFonts w:hint="eastAsia" w:ascii="Times New Roman" w:hAnsi="Times New Roman" w:eastAsia="宋体" w:cs="Times New Roman"/>
                <w:caps w:val="0"/>
                <w:color w:val="FF0000"/>
                <w:spacing w:val="0"/>
                <w:position w:val="0"/>
                <w:highlight w:val="none"/>
                <w:lang w:val="en-US" w:eastAsia="zh-CN"/>
              </w:rPr>
              <w:t>/</w:t>
            </w:r>
          </w:p>
        </w:tc>
        <w:tc>
          <w:tcPr>
            <w:tcW w:w="1177" w:type="dxa"/>
            <w:noWrap w:val="0"/>
            <w:vAlign w:val="center"/>
          </w:tcPr>
          <w:p w14:paraId="03983E9E">
            <w:pPr>
              <w:pStyle w:val="42"/>
              <w:bidi w:val="0"/>
              <w:rPr>
                <w:rFonts w:hint="default" w:ascii="Times New Roman" w:hAnsi="Times New Roman" w:eastAsia="宋体" w:cs="Times New Roman"/>
                <w:caps w:val="0"/>
                <w:color w:val="FF0000"/>
                <w:spacing w:val="0"/>
                <w:position w:val="0"/>
                <w:highlight w:val="none"/>
                <w:lang w:val="en-US" w:eastAsia="zh-CN"/>
              </w:rPr>
            </w:pPr>
          </w:p>
        </w:tc>
      </w:tr>
      <w:tr w14:paraId="4A3EF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42" w:type="dxa"/>
            <w:vMerge w:val="continue"/>
            <w:noWrap w:val="0"/>
            <w:vAlign w:val="center"/>
          </w:tcPr>
          <w:p w14:paraId="44D615F9">
            <w:pPr>
              <w:pStyle w:val="42"/>
              <w:bidi w:val="0"/>
              <w:rPr>
                <w:rFonts w:hint="default" w:ascii="Times New Roman" w:hAnsi="Times New Roman" w:eastAsia="宋体" w:cs="Times New Roman"/>
                <w:caps w:val="0"/>
                <w:color w:val="FF0000"/>
                <w:spacing w:val="0"/>
                <w:position w:val="0"/>
                <w:highlight w:val="none"/>
                <w:lang w:val="en-US" w:eastAsia="zh-CN"/>
              </w:rPr>
            </w:pPr>
          </w:p>
        </w:tc>
        <w:tc>
          <w:tcPr>
            <w:tcW w:w="1514" w:type="dxa"/>
            <w:noWrap w:val="0"/>
            <w:vAlign w:val="center"/>
          </w:tcPr>
          <w:p w14:paraId="0EA5E3B9">
            <w:pPr>
              <w:pStyle w:val="42"/>
              <w:bidi w:val="0"/>
              <w:rPr>
                <w:rFonts w:hint="default" w:ascii="Times New Roman" w:hAnsi="Times New Roman" w:eastAsia="宋体" w:cs="Times New Roman"/>
                <w:caps w:val="0"/>
                <w:color w:val="FF0000"/>
                <w:spacing w:val="0"/>
                <w:position w:val="0"/>
                <w:highlight w:val="none"/>
                <w:lang w:val="en-US" w:eastAsia="zh-CN"/>
              </w:rPr>
            </w:pPr>
            <w:r>
              <w:rPr>
                <w:rFonts w:hint="default" w:ascii="Times New Roman" w:hAnsi="Times New Roman" w:eastAsia="宋体" w:cs="Times New Roman"/>
                <w:caps w:val="0"/>
                <w:color w:val="FF0000"/>
                <w:spacing w:val="0"/>
                <w:position w:val="0"/>
                <w:highlight w:val="none"/>
                <w:lang w:val="en-US" w:eastAsia="zh-CN"/>
              </w:rPr>
              <w:t>土壤环境影响评价项目类别</w:t>
            </w:r>
          </w:p>
        </w:tc>
        <w:tc>
          <w:tcPr>
            <w:tcW w:w="5835" w:type="dxa"/>
            <w:gridSpan w:val="6"/>
            <w:noWrap w:val="0"/>
            <w:vAlign w:val="center"/>
          </w:tcPr>
          <w:p w14:paraId="581CDA74">
            <w:pPr>
              <w:pStyle w:val="42"/>
              <w:bidi w:val="0"/>
              <w:rPr>
                <w:rFonts w:hint="default" w:ascii="Times New Roman" w:hAnsi="Times New Roman" w:eastAsia="宋体" w:cs="Times New Roman"/>
                <w:caps w:val="0"/>
                <w:color w:val="FF0000"/>
                <w:spacing w:val="0"/>
                <w:position w:val="0"/>
                <w:highlight w:val="none"/>
                <w:lang w:val="en-US" w:eastAsia="zh-CN"/>
              </w:rPr>
            </w:pPr>
            <w:r>
              <w:rPr>
                <w:rFonts w:hint="default" w:ascii="Times New Roman" w:hAnsi="Times New Roman" w:eastAsia="宋体" w:cs="Times New Roman"/>
                <w:caps w:val="0"/>
                <w:color w:val="FF0000"/>
                <w:spacing w:val="0"/>
                <w:position w:val="0"/>
                <w:highlight w:val="none"/>
                <w:lang w:val="en-US" w:eastAsia="zh-CN"/>
              </w:rPr>
              <w:t>Ⅰ类□；Ⅱ类□；Ⅲ类</w:t>
            </w:r>
            <w:r>
              <w:rPr>
                <w:rFonts w:hint="eastAsia" w:ascii="Times New Roman" w:hAnsi="Times New Roman" w:eastAsia="宋体" w:cs="Times New Roman"/>
                <w:caps w:val="0"/>
                <w:color w:val="FF0000"/>
                <w:spacing w:val="0"/>
                <w:position w:val="0"/>
                <w:highlight w:val="none"/>
                <w:lang w:val="en-US" w:eastAsia="zh-CN"/>
              </w:rPr>
              <w:t>☑</w:t>
            </w:r>
            <w:r>
              <w:rPr>
                <w:rFonts w:hint="default" w:ascii="Times New Roman" w:hAnsi="Times New Roman" w:eastAsia="宋体" w:cs="Times New Roman"/>
                <w:caps w:val="0"/>
                <w:color w:val="FF0000"/>
                <w:spacing w:val="0"/>
                <w:position w:val="0"/>
                <w:highlight w:val="none"/>
                <w:lang w:val="en-US" w:eastAsia="zh-CN"/>
              </w:rPr>
              <w:t>；Ⅳ类□</w:t>
            </w:r>
          </w:p>
        </w:tc>
        <w:tc>
          <w:tcPr>
            <w:tcW w:w="1177" w:type="dxa"/>
            <w:noWrap w:val="0"/>
            <w:vAlign w:val="center"/>
          </w:tcPr>
          <w:p w14:paraId="258267F2">
            <w:pPr>
              <w:pStyle w:val="42"/>
              <w:bidi w:val="0"/>
              <w:rPr>
                <w:rFonts w:hint="default" w:ascii="Times New Roman" w:hAnsi="Times New Roman" w:eastAsia="宋体" w:cs="Times New Roman"/>
                <w:caps w:val="0"/>
                <w:color w:val="FF0000"/>
                <w:spacing w:val="0"/>
                <w:position w:val="0"/>
                <w:highlight w:val="none"/>
                <w:lang w:val="en-US" w:eastAsia="zh-CN"/>
              </w:rPr>
            </w:pPr>
          </w:p>
        </w:tc>
      </w:tr>
      <w:tr w14:paraId="41C05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91" w:hRule="atLeast"/>
          <w:jc w:val="center"/>
        </w:trPr>
        <w:tc>
          <w:tcPr>
            <w:tcW w:w="542" w:type="dxa"/>
            <w:vMerge w:val="continue"/>
            <w:noWrap w:val="0"/>
            <w:vAlign w:val="center"/>
          </w:tcPr>
          <w:p w14:paraId="34973CF8">
            <w:pPr>
              <w:pStyle w:val="42"/>
              <w:bidi w:val="0"/>
              <w:rPr>
                <w:rFonts w:hint="default" w:ascii="Times New Roman" w:hAnsi="Times New Roman" w:eastAsia="宋体" w:cs="Times New Roman"/>
                <w:caps w:val="0"/>
                <w:color w:val="FF0000"/>
                <w:spacing w:val="0"/>
                <w:position w:val="0"/>
                <w:highlight w:val="none"/>
                <w:lang w:val="en-US" w:eastAsia="zh-CN"/>
              </w:rPr>
            </w:pPr>
          </w:p>
        </w:tc>
        <w:tc>
          <w:tcPr>
            <w:tcW w:w="1514" w:type="dxa"/>
            <w:noWrap w:val="0"/>
            <w:vAlign w:val="center"/>
          </w:tcPr>
          <w:p w14:paraId="2D69EB6E">
            <w:pPr>
              <w:pStyle w:val="42"/>
              <w:bidi w:val="0"/>
              <w:rPr>
                <w:rFonts w:hint="default" w:ascii="Times New Roman" w:hAnsi="Times New Roman" w:eastAsia="宋体" w:cs="Times New Roman"/>
                <w:caps w:val="0"/>
                <w:color w:val="FF0000"/>
                <w:spacing w:val="0"/>
                <w:position w:val="0"/>
                <w:highlight w:val="none"/>
                <w:lang w:val="en-US" w:eastAsia="zh-CN"/>
              </w:rPr>
            </w:pPr>
            <w:r>
              <w:rPr>
                <w:rFonts w:hint="default" w:ascii="Times New Roman" w:hAnsi="Times New Roman" w:eastAsia="宋体" w:cs="Times New Roman"/>
                <w:caps w:val="0"/>
                <w:color w:val="FF0000"/>
                <w:spacing w:val="0"/>
                <w:position w:val="0"/>
                <w:highlight w:val="none"/>
                <w:lang w:val="en-US" w:eastAsia="zh-CN"/>
              </w:rPr>
              <w:t>敏感程度</w:t>
            </w:r>
          </w:p>
        </w:tc>
        <w:tc>
          <w:tcPr>
            <w:tcW w:w="5835" w:type="dxa"/>
            <w:gridSpan w:val="6"/>
            <w:noWrap w:val="0"/>
            <w:vAlign w:val="center"/>
          </w:tcPr>
          <w:p w14:paraId="003E99AB">
            <w:pPr>
              <w:pStyle w:val="42"/>
              <w:bidi w:val="0"/>
              <w:rPr>
                <w:rFonts w:hint="default" w:ascii="Times New Roman" w:hAnsi="Times New Roman" w:eastAsia="宋体" w:cs="Times New Roman"/>
                <w:caps w:val="0"/>
                <w:color w:val="FF0000"/>
                <w:spacing w:val="0"/>
                <w:position w:val="0"/>
                <w:highlight w:val="none"/>
                <w:lang w:val="en-US" w:eastAsia="zh-CN"/>
              </w:rPr>
            </w:pPr>
            <w:r>
              <w:rPr>
                <w:rFonts w:hint="default" w:ascii="Times New Roman" w:hAnsi="Times New Roman" w:eastAsia="宋体" w:cs="Times New Roman"/>
                <w:caps w:val="0"/>
                <w:color w:val="FF0000"/>
                <w:spacing w:val="0"/>
                <w:position w:val="0"/>
                <w:highlight w:val="none"/>
                <w:lang w:val="en-US" w:eastAsia="zh-CN"/>
              </w:rPr>
              <w:t>敏感√；较敏感</w:t>
            </w:r>
            <w:r>
              <w:rPr>
                <w:rFonts w:hint="default" w:ascii="Times New Roman" w:hAnsi="Times New Roman" w:eastAsia="宋体" w:cs="Times New Roman"/>
                <w:caps w:val="0"/>
                <w:color w:val="FF0000"/>
                <w:spacing w:val="0"/>
                <w:position w:val="0"/>
                <w:highlight w:val="none"/>
                <w:lang w:val="en-US" w:eastAsia="zh-CN"/>
              </w:rPr>
              <w:sym w:font="Wingdings 2" w:char="00A3"/>
            </w:r>
            <w:r>
              <w:rPr>
                <w:rFonts w:hint="default" w:ascii="Times New Roman" w:hAnsi="Times New Roman" w:eastAsia="宋体" w:cs="Times New Roman"/>
                <w:caps w:val="0"/>
                <w:color w:val="FF0000"/>
                <w:spacing w:val="0"/>
                <w:position w:val="0"/>
                <w:highlight w:val="none"/>
                <w:lang w:val="en-US" w:eastAsia="zh-CN"/>
              </w:rPr>
              <w:t>；不敏感</w:t>
            </w:r>
            <w:r>
              <w:rPr>
                <w:rFonts w:hint="default" w:ascii="Times New Roman" w:hAnsi="Times New Roman" w:eastAsia="宋体" w:cs="Times New Roman"/>
                <w:caps w:val="0"/>
                <w:color w:val="FF0000"/>
                <w:spacing w:val="0"/>
                <w:position w:val="0"/>
                <w:highlight w:val="none"/>
                <w:lang w:val="en-US" w:eastAsia="zh-CN"/>
              </w:rPr>
              <w:sym w:font="Wingdings 2" w:char="00A3"/>
            </w:r>
          </w:p>
        </w:tc>
        <w:tc>
          <w:tcPr>
            <w:tcW w:w="1177" w:type="dxa"/>
            <w:noWrap w:val="0"/>
            <w:vAlign w:val="center"/>
          </w:tcPr>
          <w:p w14:paraId="6EF85F9F">
            <w:pPr>
              <w:pStyle w:val="42"/>
              <w:bidi w:val="0"/>
              <w:rPr>
                <w:rFonts w:hint="default" w:ascii="Times New Roman" w:hAnsi="Times New Roman" w:eastAsia="宋体" w:cs="Times New Roman"/>
                <w:caps w:val="0"/>
                <w:color w:val="FF0000"/>
                <w:spacing w:val="0"/>
                <w:position w:val="0"/>
                <w:highlight w:val="none"/>
                <w:lang w:val="en-US" w:eastAsia="zh-CN"/>
              </w:rPr>
            </w:pPr>
          </w:p>
        </w:tc>
      </w:tr>
      <w:tr w14:paraId="2A757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056" w:type="dxa"/>
            <w:gridSpan w:val="2"/>
            <w:noWrap w:val="0"/>
            <w:vAlign w:val="center"/>
          </w:tcPr>
          <w:p w14:paraId="1E860CB4">
            <w:pPr>
              <w:pStyle w:val="42"/>
              <w:bidi w:val="0"/>
              <w:rPr>
                <w:rFonts w:hint="default" w:ascii="Times New Roman" w:hAnsi="Times New Roman" w:eastAsia="宋体" w:cs="Times New Roman"/>
                <w:caps w:val="0"/>
                <w:color w:val="FF0000"/>
                <w:spacing w:val="0"/>
                <w:position w:val="0"/>
                <w:highlight w:val="none"/>
                <w:lang w:val="en-US" w:eastAsia="zh-CN"/>
              </w:rPr>
            </w:pPr>
            <w:r>
              <w:rPr>
                <w:rFonts w:hint="default" w:ascii="Times New Roman" w:hAnsi="Times New Roman" w:eastAsia="宋体" w:cs="Times New Roman"/>
                <w:caps w:val="0"/>
                <w:color w:val="FF0000"/>
                <w:spacing w:val="0"/>
                <w:position w:val="0"/>
                <w:highlight w:val="none"/>
                <w:lang w:val="en-US" w:eastAsia="zh-CN"/>
              </w:rPr>
              <w:t>评价工作等级</w:t>
            </w:r>
          </w:p>
        </w:tc>
        <w:tc>
          <w:tcPr>
            <w:tcW w:w="5835" w:type="dxa"/>
            <w:gridSpan w:val="6"/>
            <w:noWrap w:val="0"/>
            <w:vAlign w:val="center"/>
          </w:tcPr>
          <w:p w14:paraId="345D29BD">
            <w:pPr>
              <w:pStyle w:val="42"/>
              <w:bidi w:val="0"/>
              <w:rPr>
                <w:rFonts w:hint="default" w:ascii="Times New Roman" w:hAnsi="Times New Roman" w:eastAsia="宋体" w:cs="Times New Roman"/>
                <w:caps w:val="0"/>
                <w:color w:val="FF0000"/>
                <w:spacing w:val="0"/>
                <w:position w:val="0"/>
                <w:highlight w:val="none"/>
                <w:lang w:val="en-US" w:eastAsia="zh-CN"/>
              </w:rPr>
            </w:pPr>
            <w:r>
              <w:rPr>
                <w:rFonts w:hint="default" w:ascii="Times New Roman" w:hAnsi="Times New Roman" w:eastAsia="宋体" w:cs="Times New Roman"/>
                <w:caps w:val="0"/>
                <w:color w:val="FF0000"/>
                <w:spacing w:val="0"/>
                <w:position w:val="0"/>
                <w:highlight w:val="none"/>
                <w:lang w:val="en-US" w:eastAsia="zh-CN"/>
              </w:rPr>
              <w:t>一级□；二级□；三级☑</w:t>
            </w:r>
          </w:p>
        </w:tc>
        <w:tc>
          <w:tcPr>
            <w:tcW w:w="1177" w:type="dxa"/>
            <w:noWrap w:val="0"/>
            <w:vAlign w:val="center"/>
          </w:tcPr>
          <w:p w14:paraId="69E20E98">
            <w:pPr>
              <w:pStyle w:val="42"/>
              <w:bidi w:val="0"/>
              <w:rPr>
                <w:rFonts w:hint="default" w:ascii="Times New Roman" w:hAnsi="Times New Roman" w:eastAsia="宋体" w:cs="Times New Roman"/>
                <w:caps w:val="0"/>
                <w:color w:val="FF0000"/>
                <w:spacing w:val="0"/>
                <w:position w:val="0"/>
                <w:highlight w:val="none"/>
                <w:lang w:val="en-US" w:eastAsia="zh-CN"/>
              </w:rPr>
            </w:pPr>
          </w:p>
        </w:tc>
      </w:tr>
      <w:tr w14:paraId="7CECD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42" w:type="dxa"/>
            <w:vMerge w:val="restart"/>
            <w:noWrap w:val="0"/>
            <w:vAlign w:val="center"/>
          </w:tcPr>
          <w:p w14:paraId="2F49089B">
            <w:pPr>
              <w:pStyle w:val="42"/>
              <w:bidi w:val="0"/>
              <w:rPr>
                <w:rFonts w:hint="default" w:ascii="Times New Roman" w:hAnsi="Times New Roman" w:eastAsia="宋体" w:cs="Times New Roman"/>
                <w:caps w:val="0"/>
                <w:color w:val="FF0000"/>
                <w:spacing w:val="0"/>
                <w:position w:val="0"/>
                <w:highlight w:val="none"/>
                <w:lang w:val="en-US" w:eastAsia="zh-CN"/>
              </w:rPr>
            </w:pPr>
            <w:r>
              <w:rPr>
                <w:rFonts w:hint="default" w:ascii="Times New Roman" w:hAnsi="Times New Roman" w:eastAsia="宋体" w:cs="Times New Roman"/>
                <w:caps w:val="0"/>
                <w:color w:val="FF0000"/>
                <w:spacing w:val="0"/>
                <w:position w:val="0"/>
                <w:highlight w:val="none"/>
                <w:lang w:val="en-US" w:eastAsia="zh-CN"/>
              </w:rPr>
              <w:t>现状调查</w:t>
            </w:r>
          </w:p>
          <w:p w14:paraId="5340C6C2">
            <w:pPr>
              <w:pStyle w:val="42"/>
              <w:bidi w:val="0"/>
              <w:rPr>
                <w:rFonts w:hint="default" w:ascii="Times New Roman" w:hAnsi="Times New Roman" w:eastAsia="宋体" w:cs="Times New Roman"/>
                <w:caps w:val="0"/>
                <w:color w:val="FF0000"/>
                <w:spacing w:val="0"/>
                <w:position w:val="0"/>
                <w:highlight w:val="none"/>
                <w:lang w:val="en-US" w:eastAsia="zh-CN"/>
              </w:rPr>
            </w:pPr>
            <w:r>
              <w:rPr>
                <w:rFonts w:hint="default" w:ascii="Times New Roman" w:hAnsi="Times New Roman" w:eastAsia="宋体" w:cs="Times New Roman"/>
                <w:caps w:val="0"/>
                <w:color w:val="FF0000"/>
                <w:spacing w:val="0"/>
                <w:position w:val="0"/>
                <w:highlight w:val="none"/>
                <w:lang w:val="en-US" w:eastAsia="zh-CN"/>
              </w:rPr>
              <w:t>内容</w:t>
            </w:r>
          </w:p>
        </w:tc>
        <w:tc>
          <w:tcPr>
            <w:tcW w:w="1514" w:type="dxa"/>
            <w:noWrap w:val="0"/>
            <w:vAlign w:val="center"/>
          </w:tcPr>
          <w:p w14:paraId="075295C9">
            <w:pPr>
              <w:pStyle w:val="42"/>
              <w:bidi w:val="0"/>
              <w:rPr>
                <w:rFonts w:hint="default" w:ascii="Times New Roman" w:hAnsi="Times New Roman" w:eastAsia="宋体" w:cs="Times New Roman"/>
                <w:caps w:val="0"/>
                <w:color w:val="FF0000"/>
                <w:spacing w:val="0"/>
                <w:position w:val="0"/>
                <w:highlight w:val="none"/>
                <w:lang w:val="en-US" w:eastAsia="zh-CN"/>
              </w:rPr>
            </w:pPr>
            <w:r>
              <w:rPr>
                <w:rFonts w:hint="default" w:ascii="Times New Roman" w:hAnsi="Times New Roman" w:eastAsia="宋体" w:cs="Times New Roman"/>
                <w:caps w:val="0"/>
                <w:color w:val="FF0000"/>
                <w:spacing w:val="0"/>
                <w:position w:val="0"/>
                <w:highlight w:val="none"/>
                <w:lang w:val="en-US" w:eastAsia="zh-CN"/>
              </w:rPr>
              <w:t>资料收集</w:t>
            </w:r>
          </w:p>
        </w:tc>
        <w:tc>
          <w:tcPr>
            <w:tcW w:w="5835" w:type="dxa"/>
            <w:gridSpan w:val="6"/>
            <w:noWrap w:val="0"/>
            <w:vAlign w:val="center"/>
          </w:tcPr>
          <w:p w14:paraId="7F459CA2">
            <w:pPr>
              <w:pStyle w:val="42"/>
              <w:bidi w:val="0"/>
              <w:rPr>
                <w:rFonts w:hint="default" w:ascii="Times New Roman" w:hAnsi="Times New Roman" w:eastAsia="宋体" w:cs="Times New Roman"/>
                <w:caps w:val="0"/>
                <w:color w:val="FF0000"/>
                <w:spacing w:val="0"/>
                <w:position w:val="0"/>
                <w:highlight w:val="none"/>
                <w:lang w:val="en-US" w:eastAsia="zh-CN"/>
              </w:rPr>
            </w:pPr>
            <w:r>
              <w:rPr>
                <w:rFonts w:hint="default" w:ascii="Times New Roman" w:hAnsi="Times New Roman" w:eastAsia="宋体" w:cs="Times New Roman"/>
                <w:caps w:val="0"/>
                <w:color w:val="FF0000"/>
                <w:spacing w:val="0"/>
                <w:position w:val="0"/>
                <w:highlight w:val="none"/>
                <w:lang w:val="en-US" w:eastAsia="zh-CN"/>
              </w:rPr>
              <w:t>a)√；b)√；c)√；d)√</w:t>
            </w:r>
          </w:p>
        </w:tc>
        <w:tc>
          <w:tcPr>
            <w:tcW w:w="1177" w:type="dxa"/>
            <w:noWrap w:val="0"/>
            <w:vAlign w:val="center"/>
          </w:tcPr>
          <w:p w14:paraId="76415077">
            <w:pPr>
              <w:pStyle w:val="42"/>
              <w:bidi w:val="0"/>
              <w:rPr>
                <w:rFonts w:hint="default" w:ascii="Times New Roman" w:hAnsi="Times New Roman" w:eastAsia="宋体" w:cs="Times New Roman"/>
                <w:caps w:val="0"/>
                <w:color w:val="FF0000"/>
                <w:spacing w:val="0"/>
                <w:position w:val="0"/>
                <w:highlight w:val="none"/>
                <w:lang w:val="en-US" w:eastAsia="zh-CN"/>
              </w:rPr>
            </w:pPr>
          </w:p>
        </w:tc>
      </w:tr>
      <w:tr w14:paraId="07EBB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42" w:type="dxa"/>
            <w:vMerge w:val="continue"/>
            <w:noWrap w:val="0"/>
            <w:vAlign w:val="center"/>
          </w:tcPr>
          <w:p w14:paraId="5AF28A7E">
            <w:pPr>
              <w:pStyle w:val="42"/>
              <w:bidi w:val="0"/>
              <w:rPr>
                <w:rFonts w:hint="default" w:ascii="Times New Roman" w:hAnsi="Times New Roman" w:eastAsia="宋体" w:cs="Times New Roman"/>
                <w:caps w:val="0"/>
                <w:color w:val="FF0000"/>
                <w:spacing w:val="0"/>
                <w:position w:val="0"/>
                <w:highlight w:val="none"/>
                <w:lang w:val="en-US" w:eastAsia="zh-CN"/>
              </w:rPr>
            </w:pPr>
          </w:p>
        </w:tc>
        <w:tc>
          <w:tcPr>
            <w:tcW w:w="1514" w:type="dxa"/>
            <w:noWrap w:val="0"/>
            <w:vAlign w:val="center"/>
          </w:tcPr>
          <w:p w14:paraId="607F3880">
            <w:pPr>
              <w:pStyle w:val="42"/>
              <w:bidi w:val="0"/>
              <w:rPr>
                <w:rFonts w:hint="default" w:ascii="Times New Roman" w:hAnsi="Times New Roman" w:eastAsia="宋体" w:cs="Times New Roman"/>
                <w:caps w:val="0"/>
                <w:color w:val="FF0000"/>
                <w:spacing w:val="0"/>
                <w:position w:val="0"/>
                <w:highlight w:val="none"/>
                <w:lang w:val="en-US" w:eastAsia="zh-CN"/>
              </w:rPr>
            </w:pPr>
            <w:r>
              <w:rPr>
                <w:rFonts w:hint="default" w:ascii="Times New Roman" w:hAnsi="Times New Roman" w:eastAsia="宋体" w:cs="Times New Roman"/>
                <w:caps w:val="0"/>
                <w:color w:val="FF0000"/>
                <w:spacing w:val="0"/>
                <w:position w:val="0"/>
                <w:highlight w:val="none"/>
                <w:lang w:val="en-US" w:eastAsia="zh-CN"/>
              </w:rPr>
              <w:t>理化特性</w:t>
            </w:r>
          </w:p>
        </w:tc>
        <w:tc>
          <w:tcPr>
            <w:tcW w:w="5835" w:type="dxa"/>
            <w:gridSpan w:val="6"/>
            <w:noWrap w:val="0"/>
            <w:vAlign w:val="center"/>
          </w:tcPr>
          <w:p w14:paraId="6B1F58C1">
            <w:pPr>
              <w:pStyle w:val="42"/>
              <w:bidi w:val="0"/>
              <w:rPr>
                <w:rFonts w:hint="default" w:ascii="Times New Roman" w:hAnsi="Times New Roman" w:eastAsia="宋体" w:cs="Times New Roman"/>
                <w:caps w:val="0"/>
                <w:color w:val="FF0000"/>
                <w:spacing w:val="0"/>
                <w:position w:val="0"/>
                <w:highlight w:val="none"/>
                <w:lang w:val="en-US" w:eastAsia="zh-CN"/>
              </w:rPr>
            </w:pPr>
            <w:r>
              <w:rPr>
                <w:rFonts w:hint="default" w:ascii="Times New Roman" w:hAnsi="Times New Roman" w:eastAsia="宋体" w:cs="Times New Roman"/>
                <w:caps w:val="0"/>
                <w:color w:val="FF0000"/>
                <w:spacing w:val="0"/>
                <w:position w:val="0"/>
                <w:highlight w:val="none"/>
                <w:lang w:val="en-US" w:eastAsia="zh-CN"/>
              </w:rPr>
              <w:t>(pH、土壤容重)</w:t>
            </w:r>
          </w:p>
        </w:tc>
        <w:tc>
          <w:tcPr>
            <w:tcW w:w="1177" w:type="dxa"/>
            <w:noWrap w:val="0"/>
            <w:vAlign w:val="center"/>
          </w:tcPr>
          <w:p w14:paraId="77D5E415">
            <w:pPr>
              <w:pStyle w:val="42"/>
              <w:bidi w:val="0"/>
              <w:rPr>
                <w:rFonts w:hint="default" w:ascii="Times New Roman" w:hAnsi="Times New Roman" w:eastAsia="宋体" w:cs="Times New Roman"/>
                <w:caps w:val="0"/>
                <w:color w:val="FF0000"/>
                <w:spacing w:val="0"/>
                <w:position w:val="0"/>
                <w:highlight w:val="none"/>
                <w:lang w:val="en-US" w:eastAsia="zh-CN"/>
              </w:rPr>
            </w:pPr>
          </w:p>
        </w:tc>
      </w:tr>
      <w:tr w14:paraId="270AB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77" w:hRule="atLeast"/>
          <w:jc w:val="center"/>
        </w:trPr>
        <w:tc>
          <w:tcPr>
            <w:tcW w:w="542" w:type="dxa"/>
            <w:vMerge w:val="continue"/>
            <w:noWrap w:val="0"/>
            <w:vAlign w:val="center"/>
          </w:tcPr>
          <w:p w14:paraId="188C3A72">
            <w:pPr>
              <w:pStyle w:val="42"/>
              <w:bidi w:val="0"/>
              <w:rPr>
                <w:rFonts w:hint="default" w:ascii="Times New Roman" w:hAnsi="Times New Roman" w:eastAsia="宋体" w:cs="Times New Roman"/>
                <w:caps w:val="0"/>
                <w:color w:val="FF0000"/>
                <w:spacing w:val="0"/>
                <w:position w:val="0"/>
                <w:highlight w:val="none"/>
                <w:lang w:val="en-US" w:eastAsia="zh-CN"/>
              </w:rPr>
            </w:pPr>
          </w:p>
        </w:tc>
        <w:tc>
          <w:tcPr>
            <w:tcW w:w="1514" w:type="dxa"/>
            <w:vMerge w:val="restart"/>
            <w:noWrap w:val="0"/>
            <w:vAlign w:val="center"/>
          </w:tcPr>
          <w:p w14:paraId="1E785728">
            <w:pPr>
              <w:pStyle w:val="42"/>
              <w:bidi w:val="0"/>
              <w:rPr>
                <w:rFonts w:hint="default" w:ascii="Times New Roman" w:hAnsi="Times New Roman" w:eastAsia="宋体" w:cs="Times New Roman"/>
                <w:caps w:val="0"/>
                <w:color w:val="FF0000"/>
                <w:spacing w:val="0"/>
                <w:position w:val="0"/>
                <w:highlight w:val="none"/>
                <w:lang w:val="en-US" w:eastAsia="zh-CN"/>
              </w:rPr>
            </w:pPr>
            <w:r>
              <w:rPr>
                <w:rFonts w:hint="default" w:ascii="Times New Roman" w:hAnsi="Times New Roman" w:eastAsia="宋体" w:cs="Times New Roman"/>
                <w:caps w:val="0"/>
                <w:color w:val="FF0000"/>
                <w:spacing w:val="0"/>
                <w:position w:val="0"/>
                <w:highlight w:val="none"/>
                <w:lang w:val="en-US" w:eastAsia="zh-CN"/>
              </w:rPr>
              <w:t>现状监测点位</w:t>
            </w:r>
          </w:p>
        </w:tc>
        <w:tc>
          <w:tcPr>
            <w:tcW w:w="1382" w:type="dxa"/>
            <w:noWrap w:val="0"/>
            <w:vAlign w:val="center"/>
          </w:tcPr>
          <w:p w14:paraId="24E03DCC">
            <w:pPr>
              <w:pStyle w:val="42"/>
              <w:bidi w:val="0"/>
              <w:rPr>
                <w:rFonts w:hint="default" w:ascii="Times New Roman" w:hAnsi="Times New Roman" w:eastAsia="宋体" w:cs="Times New Roman"/>
                <w:caps w:val="0"/>
                <w:color w:val="FF0000"/>
                <w:spacing w:val="0"/>
                <w:position w:val="0"/>
                <w:highlight w:val="none"/>
                <w:lang w:val="en-US" w:eastAsia="zh-CN"/>
              </w:rPr>
            </w:pPr>
          </w:p>
        </w:tc>
        <w:tc>
          <w:tcPr>
            <w:tcW w:w="1199" w:type="dxa"/>
            <w:gridSpan w:val="2"/>
            <w:noWrap w:val="0"/>
            <w:vAlign w:val="center"/>
          </w:tcPr>
          <w:p w14:paraId="5522EF6E">
            <w:pPr>
              <w:pStyle w:val="42"/>
              <w:bidi w:val="0"/>
              <w:rPr>
                <w:rFonts w:hint="default" w:ascii="Times New Roman" w:hAnsi="Times New Roman" w:eastAsia="宋体" w:cs="Times New Roman"/>
                <w:caps w:val="0"/>
                <w:color w:val="FF0000"/>
                <w:spacing w:val="0"/>
                <w:position w:val="0"/>
                <w:highlight w:val="none"/>
                <w:lang w:val="en-US" w:eastAsia="zh-CN"/>
              </w:rPr>
            </w:pPr>
            <w:r>
              <w:rPr>
                <w:rFonts w:hint="default" w:ascii="Times New Roman" w:hAnsi="Times New Roman" w:eastAsia="宋体" w:cs="Times New Roman"/>
                <w:caps w:val="0"/>
                <w:color w:val="FF0000"/>
                <w:spacing w:val="0"/>
                <w:position w:val="0"/>
                <w:highlight w:val="none"/>
                <w:lang w:val="en-US" w:eastAsia="zh-CN"/>
              </w:rPr>
              <w:t>占地范围内</w:t>
            </w:r>
          </w:p>
        </w:tc>
        <w:tc>
          <w:tcPr>
            <w:tcW w:w="1204" w:type="dxa"/>
            <w:noWrap w:val="0"/>
            <w:vAlign w:val="center"/>
          </w:tcPr>
          <w:p w14:paraId="777AA243">
            <w:pPr>
              <w:pStyle w:val="42"/>
              <w:bidi w:val="0"/>
              <w:rPr>
                <w:rFonts w:hint="default" w:ascii="Times New Roman" w:hAnsi="Times New Roman" w:eastAsia="宋体" w:cs="Times New Roman"/>
                <w:caps w:val="0"/>
                <w:color w:val="FF0000"/>
                <w:spacing w:val="0"/>
                <w:position w:val="0"/>
                <w:highlight w:val="none"/>
                <w:lang w:val="en-US" w:eastAsia="zh-CN"/>
              </w:rPr>
            </w:pPr>
            <w:r>
              <w:rPr>
                <w:rFonts w:hint="default" w:ascii="Times New Roman" w:hAnsi="Times New Roman" w:eastAsia="宋体" w:cs="Times New Roman"/>
                <w:caps w:val="0"/>
                <w:color w:val="FF0000"/>
                <w:spacing w:val="0"/>
                <w:position w:val="0"/>
                <w:highlight w:val="none"/>
                <w:lang w:val="en-US" w:eastAsia="zh-CN"/>
              </w:rPr>
              <w:t>占地范围外</w:t>
            </w:r>
          </w:p>
        </w:tc>
        <w:tc>
          <w:tcPr>
            <w:tcW w:w="2050" w:type="dxa"/>
            <w:gridSpan w:val="2"/>
            <w:noWrap w:val="0"/>
            <w:vAlign w:val="center"/>
          </w:tcPr>
          <w:p w14:paraId="6CD75E08">
            <w:pPr>
              <w:pStyle w:val="42"/>
              <w:bidi w:val="0"/>
              <w:rPr>
                <w:rFonts w:hint="default" w:ascii="Times New Roman" w:hAnsi="Times New Roman" w:eastAsia="宋体" w:cs="Times New Roman"/>
                <w:caps w:val="0"/>
                <w:color w:val="FF0000"/>
                <w:spacing w:val="0"/>
                <w:position w:val="0"/>
                <w:highlight w:val="none"/>
                <w:lang w:val="en-US" w:eastAsia="zh-CN"/>
              </w:rPr>
            </w:pPr>
            <w:r>
              <w:rPr>
                <w:rFonts w:hint="default" w:ascii="Times New Roman" w:hAnsi="Times New Roman" w:eastAsia="宋体" w:cs="Times New Roman"/>
                <w:caps w:val="0"/>
                <w:color w:val="FF0000"/>
                <w:spacing w:val="0"/>
                <w:position w:val="0"/>
                <w:highlight w:val="none"/>
                <w:lang w:val="en-US" w:eastAsia="zh-CN"/>
              </w:rPr>
              <w:t>深度</w:t>
            </w:r>
          </w:p>
        </w:tc>
        <w:tc>
          <w:tcPr>
            <w:tcW w:w="1177" w:type="dxa"/>
            <w:vMerge w:val="restart"/>
            <w:noWrap w:val="0"/>
            <w:vAlign w:val="center"/>
          </w:tcPr>
          <w:p w14:paraId="3CDE2946">
            <w:pPr>
              <w:pStyle w:val="42"/>
              <w:bidi w:val="0"/>
              <w:rPr>
                <w:rFonts w:hint="default" w:ascii="Times New Roman" w:hAnsi="Times New Roman" w:eastAsia="宋体" w:cs="Times New Roman"/>
                <w:caps w:val="0"/>
                <w:color w:val="FF0000"/>
                <w:spacing w:val="0"/>
                <w:position w:val="0"/>
                <w:highlight w:val="none"/>
                <w:lang w:val="en-US" w:eastAsia="zh-CN"/>
              </w:rPr>
            </w:pPr>
            <w:r>
              <w:rPr>
                <w:rFonts w:hint="default" w:ascii="Times New Roman" w:hAnsi="Times New Roman" w:eastAsia="宋体" w:cs="Times New Roman"/>
                <w:caps w:val="0"/>
                <w:color w:val="FF0000"/>
                <w:spacing w:val="0"/>
                <w:position w:val="0"/>
                <w:highlight w:val="none"/>
                <w:lang w:val="en-US" w:eastAsia="zh-CN"/>
              </w:rPr>
              <w:t>见监测点位布置图</w:t>
            </w:r>
          </w:p>
        </w:tc>
      </w:tr>
      <w:tr w14:paraId="43C98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542" w:type="dxa"/>
            <w:vMerge w:val="continue"/>
            <w:noWrap w:val="0"/>
            <w:vAlign w:val="center"/>
          </w:tcPr>
          <w:p w14:paraId="5535FA7E">
            <w:pPr>
              <w:pStyle w:val="42"/>
              <w:bidi w:val="0"/>
              <w:rPr>
                <w:rFonts w:hint="default" w:ascii="Times New Roman" w:hAnsi="Times New Roman" w:eastAsia="宋体" w:cs="Times New Roman"/>
                <w:caps w:val="0"/>
                <w:color w:val="FF0000"/>
                <w:spacing w:val="0"/>
                <w:position w:val="0"/>
                <w:highlight w:val="none"/>
                <w:lang w:val="en-US" w:eastAsia="zh-CN"/>
              </w:rPr>
            </w:pPr>
          </w:p>
        </w:tc>
        <w:tc>
          <w:tcPr>
            <w:tcW w:w="1514" w:type="dxa"/>
            <w:vMerge w:val="continue"/>
            <w:noWrap w:val="0"/>
            <w:vAlign w:val="center"/>
          </w:tcPr>
          <w:p w14:paraId="7CB772C3">
            <w:pPr>
              <w:pStyle w:val="42"/>
              <w:bidi w:val="0"/>
              <w:rPr>
                <w:rFonts w:hint="default" w:ascii="Times New Roman" w:hAnsi="Times New Roman" w:eastAsia="宋体" w:cs="Times New Roman"/>
                <w:caps w:val="0"/>
                <w:color w:val="FF0000"/>
                <w:spacing w:val="0"/>
                <w:position w:val="0"/>
                <w:highlight w:val="none"/>
                <w:lang w:val="en-US" w:eastAsia="zh-CN"/>
              </w:rPr>
            </w:pPr>
          </w:p>
        </w:tc>
        <w:tc>
          <w:tcPr>
            <w:tcW w:w="1382" w:type="dxa"/>
            <w:noWrap w:val="0"/>
            <w:vAlign w:val="center"/>
          </w:tcPr>
          <w:p w14:paraId="1D259A71">
            <w:pPr>
              <w:pStyle w:val="42"/>
              <w:bidi w:val="0"/>
              <w:rPr>
                <w:rFonts w:hint="default" w:ascii="Times New Roman" w:hAnsi="Times New Roman" w:eastAsia="宋体" w:cs="Times New Roman"/>
                <w:caps w:val="0"/>
                <w:color w:val="FF0000"/>
                <w:spacing w:val="0"/>
                <w:position w:val="0"/>
                <w:highlight w:val="none"/>
                <w:lang w:val="en-US" w:eastAsia="zh-CN"/>
              </w:rPr>
            </w:pPr>
            <w:r>
              <w:rPr>
                <w:rFonts w:hint="default" w:ascii="Times New Roman" w:hAnsi="Times New Roman" w:eastAsia="宋体" w:cs="Times New Roman"/>
                <w:caps w:val="0"/>
                <w:color w:val="FF0000"/>
                <w:spacing w:val="0"/>
                <w:position w:val="0"/>
                <w:highlight w:val="none"/>
                <w:lang w:val="en-US" w:eastAsia="zh-CN"/>
              </w:rPr>
              <w:t>表层样点数</w:t>
            </w:r>
          </w:p>
        </w:tc>
        <w:tc>
          <w:tcPr>
            <w:tcW w:w="1199" w:type="dxa"/>
            <w:gridSpan w:val="2"/>
            <w:noWrap w:val="0"/>
            <w:vAlign w:val="center"/>
          </w:tcPr>
          <w:p w14:paraId="1FB2EA4F">
            <w:pPr>
              <w:pStyle w:val="42"/>
              <w:bidi w:val="0"/>
              <w:rPr>
                <w:rFonts w:hint="default" w:ascii="Times New Roman" w:hAnsi="Times New Roman" w:eastAsia="宋体" w:cs="Times New Roman"/>
                <w:caps w:val="0"/>
                <w:color w:val="FF0000"/>
                <w:spacing w:val="0"/>
                <w:position w:val="0"/>
                <w:highlight w:val="none"/>
                <w:lang w:val="en-US" w:eastAsia="zh-CN"/>
              </w:rPr>
            </w:pPr>
            <w:r>
              <w:rPr>
                <w:rFonts w:hint="default" w:ascii="Times New Roman" w:hAnsi="Times New Roman" w:eastAsia="宋体" w:cs="Times New Roman"/>
                <w:caps w:val="0"/>
                <w:color w:val="FF0000"/>
                <w:spacing w:val="0"/>
                <w:position w:val="0"/>
                <w:highlight w:val="none"/>
                <w:lang w:val="en-US" w:eastAsia="zh-CN"/>
              </w:rPr>
              <w:t>1</w:t>
            </w:r>
          </w:p>
        </w:tc>
        <w:tc>
          <w:tcPr>
            <w:tcW w:w="1204" w:type="dxa"/>
            <w:noWrap w:val="0"/>
            <w:vAlign w:val="center"/>
          </w:tcPr>
          <w:p w14:paraId="6207E8CE">
            <w:pPr>
              <w:pStyle w:val="42"/>
              <w:bidi w:val="0"/>
              <w:rPr>
                <w:rFonts w:hint="default" w:ascii="Times New Roman" w:hAnsi="Times New Roman" w:eastAsia="宋体" w:cs="Times New Roman"/>
                <w:caps w:val="0"/>
                <w:color w:val="FF0000"/>
                <w:spacing w:val="0"/>
                <w:position w:val="0"/>
                <w:highlight w:val="none"/>
                <w:lang w:val="en-US" w:eastAsia="zh-CN"/>
              </w:rPr>
            </w:pPr>
            <w:r>
              <w:rPr>
                <w:rFonts w:hint="default" w:ascii="Times New Roman" w:hAnsi="Times New Roman" w:eastAsia="宋体" w:cs="Times New Roman"/>
                <w:caps w:val="0"/>
                <w:color w:val="FF0000"/>
                <w:spacing w:val="0"/>
                <w:position w:val="0"/>
                <w:highlight w:val="none"/>
                <w:lang w:val="en-US" w:eastAsia="zh-CN"/>
              </w:rPr>
              <w:t>2</w:t>
            </w:r>
          </w:p>
        </w:tc>
        <w:tc>
          <w:tcPr>
            <w:tcW w:w="2050" w:type="dxa"/>
            <w:gridSpan w:val="2"/>
            <w:noWrap w:val="0"/>
            <w:vAlign w:val="center"/>
          </w:tcPr>
          <w:p w14:paraId="2F78C165">
            <w:pPr>
              <w:pStyle w:val="42"/>
              <w:bidi w:val="0"/>
              <w:rPr>
                <w:rFonts w:hint="default" w:ascii="Times New Roman" w:hAnsi="Times New Roman" w:eastAsia="宋体" w:cs="Times New Roman"/>
                <w:caps w:val="0"/>
                <w:color w:val="FF0000"/>
                <w:spacing w:val="0"/>
                <w:position w:val="0"/>
                <w:highlight w:val="none"/>
                <w:lang w:val="en-US" w:eastAsia="zh-CN"/>
              </w:rPr>
            </w:pPr>
            <w:r>
              <w:rPr>
                <w:rFonts w:hint="default" w:ascii="Times New Roman" w:hAnsi="Times New Roman" w:eastAsia="宋体" w:cs="Times New Roman"/>
                <w:caps w:val="0"/>
                <w:color w:val="FF0000"/>
                <w:spacing w:val="0"/>
                <w:position w:val="0"/>
                <w:highlight w:val="none"/>
                <w:lang w:val="en-US" w:eastAsia="zh-CN"/>
              </w:rPr>
              <w:t>0～0.2m</w:t>
            </w:r>
          </w:p>
        </w:tc>
        <w:tc>
          <w:tcPr>
            <w:tcW w:w="1177" w:type="dxa"/>
            <w:vMerge w:val="continue"/>
            <w:noWrap w:val="0"/>
            <w:vAlign w:val="center"/>
          </w:tcPr>
          <w:p w14:paraId="6B53D6AF">
            <w:pPr>
              <w:pStyle w:val="42"/>
              <w:bidi w:val="0"/>
              <w:rPr>
                <w:rFonts w:hint="default" w:ascii="Times New Roman" w:hAnsi="Times New Roman" w:eastAsia="宋体" w:cs="Times New Roman"/>
                <w:caps w:val="0"/>
                <w:color w:val="FF0000"/>
                <w:spacing w:val="0"/>
                <w:position w:val="0"/>
                <w:highlight w:val="none"/>
                <w:lang w:val="en-US" w:eastAsia="zh-CN"/>
              </w:rPr>
            </w:pPr>
          </w:p>
        </w:tc>
      </w:tr>
      <w:tr w14:paraId="79ADB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42" w:type="dxa"/>
            <w:vMerge w:val="continue"/>
            <w:noWrap w:val="0"/>
            <w:vAlign w:val="center"/>
          </w:tcPr>
          <w:p w14:paraId="30E0216F">
            <w:pPr>
              <w:pStyle w:val="42"/>
              <w:bidi w:val="0"/>
              <w:rPr>
                <w:rFonts w:hint="default" w:ascii="Times New Roman" w:hAnsi="Times New Roman" w:eastAsia="宋体" w:cs="Times New Roman"/>
                <w:caps w:val="0"/>
                <w:color w:val="FF0000"/>
                <w:spacing w:val="0"/>
                <w:position w:val="0"/>
                <w:highlight w:val="none"/>
                <w:lang w:val="en-US" w:eastAsia="zh-CN"/>
              </w:rPr>
            </w:pPr>
          </w:p>
        </w:tc>
        <w:tc>
          <w:tcPr>
            <w:tcW w:w="1514" w:type="dxa"/>
            <w:noWrap w:val="0"/>
            <w:vAlign w:val="center"/>
          </w:tcPr>
          <w:p w14:paraId="4FFD31AB">
            <w:pPr>
              <w:pStyle w:val="42"/>
              <w:bidi w:val="0"/>
              <w:rPr>
                <w:rFonts w:hint="default" w:ascii="Times New Roman" w:hAnsi="Times New Roman" w:eastAsia="宋体" w:cs="Times New Roman"/>
                <w:caps w:val="0"/>
                <w:color w:val="FF0000"/>
                <w:spacing w:val="0"/>
                <w:position w:val="0"/>
                <w:highlight w:val="none"/>
                <w:lang w:val="en-US" w:eastAsia="zh-CN"/>
              </w:rPr>
            </w:pPr>
            <w:r>
              <w:rPr>
                <w:rFonts w:hint="default" w:ascii="Times New Roman" w:hAnsi="Times New Roman" w:eastAsia="宋体" w:cs="Times New Roman"/>
                <w:caps w:val="0"/>
                <w:color w:val="FF0000"/>
                <w:spacing w:val="0"/>
                <w:position w:val="0"/>
                <w:highlight w:val="none"/>
                <w:lang w:val="en-US" w:eastAsia="zh-CN"/>
              </w:rPr>
              <w:t>现状监测因子</w:t>
            </w:r>
          </w:p>
        </w:tc>
        <w:tc>
          <w:tcPr>
            <w:tcW w:w="5835" w:type="dxa"/>
            <w:gridSpan w:val="6"/>
            <w:noWrap w:val="0"/>
            <w:vAlign w:val="center"/>
          </w:tcPr>
          <w:p w14:paraId="3E9D5E8F">
            <w:pPr>
              <w:pStyle w:val="42"/>
              <w:bidi w:val="0"/>
              <w:rPr>
                <w:rFonts w:hint="default" w:ascii="Times New Roman" w:hAnsi="Times New Roman" w:eastAsia="宋体" w:cs="Times New Roman"/>
                <w:caps w:val="0"/>
                <w:color w:val="FF0000"/>
                <w:spacing w:val="0"/>
                <w:position w:val="0"/>
                <w:highlight w:val="none"/>
                <w:lang w:val="en-US" w:eastAsia="zh-CN"/>
              </w:rPr>
            </w:pPr>
            <w:r>
              <w:rPr>
                <w:rFonts w:hint="default" w:ascii="Times New Roman" w:hAnsi="Times New Roman" w:eastAsia="宋体" w:cs="Times New Roman"/>
                <w:caps w:val="0"/>
                <w:color w:val="FF0000"/>
                <w:spacing w:val="0"/>
                <w:position w:val="0"/>
                <w:highlight w:val="none"/>
                <w:lang w:val="en-US" w:eastAsia="zh-CN"/>
              </w:rPr>
              <w:t>占地范围内GB 36600中规定的因子、占地范围外GB15618中规定的因子</w:t>
            </w:r>
          </w:p>
        </w:tc>
        <w:tc>
          <w:tcPr>
            <w:tcW w:w="1177" w:type="dxa"/>
            <w:noWrap w:val="0"/>
            <w:vAlign w:val="center"/>
          </w:tcPr>
          <w:p w14:paraId="5A04085A">
            <w:pPr>
              <w:pStyle w:val="42"/>
              <w:bidi w:val="0"/>
              <w:rPr>
                <w:rFonts w:hint="default" w:ascii="Times New Roman" w:hAnsi="Times New Roman" w:eastAsia="宋体" w:cs="Times New Roman"/>
                <w:caps w:val="0"/>
                <w:color w:val="FF0000"/>
                <w:spacing w:val="0"/>
                <w:position w:val="0"/>
                <w:highlight w:val="none"/>
                <w:lang w:val="en-US" w:eastAsia="zh-CN"/>
              </w:rPr>
            </w:pPr>
          </w:p>
        </w:tc>
      </w:tr>
      <w:tr w14:paraId="44A17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42" w:type="dxa"/>
            <w:vMerge w:val="restart"/>
            <w:noWrap w:val="0"/>
            <w:vAlign w:val="center"/>
          </w:tcPr>
          <w:p w14:paraId="4C99BEA6">
            <w:pPr>
              <w:pStyle w:val="42"/>
              <w:bidi w:val="0"/>
              <w:rPr>
                <w:rFonts w:hint="default" w:ascii="Times New Roman" w:hAnsi="Times New Roman" w:eastAsia="宋体" w:cs="Times New Roman"/>
                <w:caps w:val="0"/>
                <w:color w:val="FF0000"/>
                <w:spacing w:val="0"/>
                <w:position w:val="0"/>
                <w:highlight w:val="none"/>
                <w:lang w:val="en-US" w:eastAsia="zh-CN"/>
              </w:rPr>
            </w:pPr>
            <w:r>
              <w:rPr>
                <w:rFonts w:hint="default" w:ascii="Times New Roman" w:hAnsi="Times New Roman" w:eastAsia="宋体" w:cs="Times New Roman"/>
                <w:caps w:val="0"/>
                <w:color w:val="FF0000"/>
                <w:spacing w:val="0"/>
                <w:position w:val="0"/>
                <w:highlight w:val="none"/>
                <w:lang w:val="en-US" w:eastAsia="zh-CN"/>
              </w:rPr>
              <w:t>现状评价</w:t>
            </w:r>
          </w:p>
        </w:tc>
        <w:tc>
          <w:tcPr>
            <w:tcW w:w="1514" w:type="dxa"/>
            <w:noWrap w:val="0"/>
            <w:vAlign w:val="center"/>
          </w:tcPr>
          <w:p w14:paraId="542E1ABC">
            <w:pPr>
              <w:pStyle w:val="42"/>
              <w:bidi w:val="0"/>
              <w:rPr>
                <w:rFonts w:hint="default" w:ascii="Times New Roman" w:hAnsi="Times New Roman" w:eastAsia="宋体" w:cs="Times New Roman"/>
                <w:caps w:val="0"/>
                <w:color w:val="FF0000"/>
                <w:spacing w:val="0"/>
                <w:position w:val="0"/>
                <w:highlight w:val="none"/>
                <w:lang w:val="en-US" w:eastAsia="zh-CN"/>
              </w:rPr>
            </w:pPr>
            <w:r>
              <w:rPr>
                <w:rFonts w:hint="default" w:ascii="Times New Roman" w:hAnsi="Times New Roman" w:eastAsia="宋体" w:cs="Times New Roman"/>
                <w:caps w:val="0"/>
                <w:color w:val="FF0000"/>
                <w:spacing w:val="0"/>
                <w:position w:val="0"/>
                <w:highlight w:val="none"/>
                <w:lang w:val="en-US" w:eastAsia="zh-CN"/>
              </w:rPr>
              <w:t>评价因子</w:t>
            </w:r>
          </w:p>
        </w:tc>
        <w:tc>
          <w:tcPr>
            <w:tcW w:w="5835" w:type="dxa"/>
            <w:gridSpan w:val="6"/>
            <w:noWrap w:val="0"/>
            <w:vAlign w:val="center"/>
          </w:tcPr>
          <w:p w14:paraId="183F78B8">
            <w:pPr>
              <w:pStyle w:val="42"/>
              <w:bidi w:val="0"/>
              <w:rPr>
                <w:rFonts w:hint="default" w:ascii="Times New Roman" w:hAnsi="Times New Roman" w:eastAsia="宋体" w:cs="Times New Roman"/>
                <w:caps w:val="0"/>
                <w:color w:val="FF0000"/>
                <w:spacing w:val="0"/>
                <w:position w:val="0"/>
                <w:highlight w:val="none"/>
                <w:lang w:val="en-US" w:eastAsia="zh-CN"/>
              </w:rPr>
            </w:pPr>
            <w:r>
              <w:rPr>
                <w:rFonts w:hint="default" w:ascii="Times New Roman" w:hAnsi="Times New Roman" w:eastAsia="宋体" w:cs="Times New Roman"/>
                <w:caps w:val="0"/>
                <w:color w:val="FF0000"/>
                <w:spacing w:val="0"/>
                <w:position w:val="0"/>
                <w:highlight w:val="none"/>
                <w:lang w:val="en-US" w:eastAsia="zh-CN"/>
              </w:rPr>
              <w:t>同现状监测因子</w:t>
            </w:r>
          </w:p>
        </w:tc>
        <w:tc>
          <w:tcPr>
            <w:tcW w:w="1177" w:type="dxa"/>
            <w:noWrap w:val="0"/>
            <w:vAlign w:val="center"/>
          </w:tcPr>
          <w:p w14:paraId="4E1C1829">
            <w:pPr>
              <w:pStyle w:val="42"/>
              <w:bidi w:val="0"/>
              <w:rPr>
                <w:rFonts w:hint="default" w:ascii="Times New Roman" w:hAnsi="Times New Roman" w:eastAsia="宋体" w:cs="Times New Roman"/>
                <w:caps w:val="0"/>
                <w:color w:val="FF0000"/>
                <w:spacing w:val="0"/>
                <w:position w:val="0"/>
                <w:highlight w:val="none"/>
                <w:lang w:val="en-US" w:eastAsia="zh-CN"/>
              </w:rPr>
            </w:pPr>
          </w:p>
        </w:tc>
      </w:tr>
      <w:tr w14:paraId="12B36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5" w:hRule="atLeast"/>
          <w:jc w:val="center"/>
        </w:trPr>
        <w:tc>
          <w:tcPr>
            <w:tcW w:w="542" w:type="dxa"/>
            <w:vMerge w:val="continue"/>
            <w:noWrap w:val="0"/>
            <w:vAlign w:val="center"/>
          </w:tcPr>
          <w:p w14:paraId="2319B219">
            <w:pPr>
              <w:pStyle w:val="42"/>
              <w:bidi w:val="0"/>
              <w:rPr>
                <w:rFonts w:hint="default" w:ascii="Times New Roman" w:hAnsi="Times New Roman" w:eastAsia="宋体" w:cs="Times New Roman"/>
                <w:caps w:val="0"/>
                <w:color w:val="FF0000"/>
                <w:spacing w:val="0"/>
                <w:position w:val="0"/>
                <w:highlight w:val="none"/>
                <w:lang w:val="en-US" w:eastAsia="zh-CN"/>
              </w:rPr>
            </w:pPr>
          </w:p>
        </w:tc>
        <w:tc>
          <w:tcPr>
            <w:tcW w:w="1514" w:type="dxa"/>
            <w:noWrap w:val="0"/>
            <w:vAlign w:val="center"/>
          </w:tcPr>
          <w:p w14:paraId="22C2CD5A">
            <w:pPr>
              <w:pStyle w:val="42"/>
              <w:bidi w:val="0"/>
              <w:rPr>
                <w:rFonts w:hint="default" w:ascii="Times New Roman" w:hAnsi="Times New Roman" w:eastAsia="宋体" w:cs="Times New Roman"/>
                <w:caps w:val="0"/>
                <w:color w:val="FF0000"/>
                <w:spacing w:val="0"/>
                <w:position w:val="0"/>
                <w:highlight w:val="none"/>
                <w:lang w:val="en-US" w:eastAsia="zh-CN"/>
              </w:rPr>
            </w:pPr>
            <w:r>
              <w:rPr>
                <w:rFonts w:hint="default" w:ascii="Times New Roman" w:hAnsi="Times New Roman" w:eastAsia="宋体" w:cs="Times New Roman"/>
                <w:caps w:val="0"/>
                <w:color w:val="FF0000"/>
                <w:spacing w:val="0"/>
                <w:position w:val="0"/>
                <w:highlight w:val="none"/>
                <w:lang w:val="en-US" w:eastAsia="zh-CN"/>
              </w:rPr>
              <w:t>评价标准</w:t>
            </w:r>
          </w:p>
        </w:tc>
        <w:tc>
          <w:tcPr>
            <w:tcW w:w="5835" w:type="dxa"/>
            <w:gridSpan w:val="6"/>
            <w:noWrap w:val="0"/>
            <w:vAlign w:val="center"/>
          </w:tcPr>
          <w:p w14:paraId="2E549F95">
            <w:pPr>
              <w:pStyle w:val="42"/>
              <w:bidi w:val="0"/>
              <w:rPr>
                <w:rFonts w:hint="default" w:ascii="Times New Roman" w:hAnsi="Times New Roman" w:eastAsia="宋体" w:cs="Times New Roman"/>
                <w:caps w:val="0"/>
                <w:color w:val="FF0000"/>
                <w:spacing w:val="0"/>
                <w:position w:val="0"/>
                <w:highlight w:val="none"/>
                <w:lang w:val="en-US" w:eastAsia="zh-CN"/>
              </w:rPr>
            </w:pPr>
            <w:r>
              <w:rPr>
                <w:rFonts w:hint="default" w:ascii="Times New Roman" w:hAnsi="Times New Roman" w:eastAsia="宋体" w:cs="Times New Roman"/>
                <w:caps w:val="0"/>
                <w:color w:val="FF0000"/>
                <w:spacing w:val="0"/>
                <w:position w:val="0"/>
                <w:highlight w:val="none"/>
                <w:lang w:val="en-US" w:eastAsia="zh-CN"/>
              </w:rPr>
              <w:t>《土壤环境质量  建设用地土壤污染风险管控标准(试行)》(GB36600-2018)筛选值、《土壤环境质量  农用地土壤污染风险管控标准（试行）》(GB15618-2018)筛选值</w:t>
            </w:r>
          </w:p>
        </w:tc>
        <w:tc>
          <w:tcPr>
            <w:tcW w:w="1177" w:type="dxa"/>
            <w:noWrap w:val="0"/>
            <w:vAlign w:val="center"/>
          </w:tcPr>
          <w:p w14:paraId="2DDBF501">
            <w:pPr>
              <w:pStyle w:val="42"/>
              <w:bidi w:val="0"/>
              <w:rPr>
                <w:rFonts w:hint="default" w:ascii="Times New Roman" w:hAnsi="Times New Roman" w:eastAsia="宋体" w:cs="Times New Roman"/>
                <w:caps w:val="0"/>
                <w:color w:val="FF0000"/>
                <w:spacing w:val="0"/>
                <w:position w:val="0"/>
                <w:highlight w:val="none"/>
                <w:lang w:val="en-US" w:eastAsia="zh-CN"/>
              </w:rPr>
            </w:pPr>
          </w:p>
        </w:tc>
      </w:tr>
      <w:tr w14:paraId="77191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5" w:hRule="atLeast"/>
          <w:jc w:val="center"/>
        </w:trPr>
        <w:tc>
          <w:tcPr>
            <w:tcW w:w="542" w:type="dxa"/>
            <w:vMerge w:val="continue"/>
            <w:noWrap w:val="0"/>
            <w:vAlign w:val="center"/>
          </w:tcPr>
          <w:p w14:paraId="3FA681AD">
            <w:pPr>
              <w:pStyle w:val="42"/>
              <w:bidi w:val="0"/>
              <w:rPr>
                <w:rFonts w:hint="default" w:ascii="Times New Roman" w:hAnsi="Times New Roman" w:eastAsia="宋体" w:cs="Times New Roman"/>
                <w:caps w:val="0"/>
                <w:color w:val="FF0000"/>
                <w:spacing w:val="0"/>
                <w:position w:val="0"/>
                <w:highlight w:val="none"/>
                <w:lang w:val="en-US" w:eastAsia="zh-CN"/>
              </w:rPr>
            </w:pPr>
          </w:p>
        </w:tc>
        <w:tc>
          <w:tcPr>
            <w:tcW w:w="1514" w:type="dxa"/>
            <w:noWrap w:val="0"/>
            <w:vAlign w:val="center"/>
          </w:tcPr>
          <w:p w14:paraId="15BD0828">
            <w:pPr>
              <w:pStyle w:val="42"/>
              <w:bidi w:val="0"/>
              <w:rPr>
                <w:rFonts w:hint="default" w:ascii="Times New Roman" w:hAnsi="Times New Roman" w:eastAsia="宋体" w:cs="Times New Roman"/>
                <w:caps w:val="0"/>
                <w:color w:val="FF0000"/>
                <w:spacing w:val="0"/>
                <w:position w:val="0"/>
                <w:highlight w:val="none"/>
                <w:lang w:val="en-US" w:eastAsia="zh-CN"/>
              </w:rPr>
            </w:pPr>
            <w:r>
              <w:rPr>
                <w:rFonts w:hint="default" w:ascii="Times New Roman" w:hAnsi="Times New Roman" w:eastAsia="宋体" w:cs="Times New Roman"/>
                <w:caps w:val="0"/>
                <w:color w:val="FF0000"/>
                <w:spacing w:val="0"/>
                <w:position w:val="0"/>
                <w:highlight w:val="none"/>
                <w:lang w:val="en-US" w:eastAsia="zh-CN"/>
              </w:rPr>
              <w:t>现状评价结论</w:t>
            </w:r>
          </w:p>
        </w:tc>
        <w:tc>
          <w:tcPr>
            <w:tcW w:w="5835" w:type="dxa"/>
            <w:gridSpan w:val="6"/>
            <w:noWrap w:val="0"/>
            <w:vAlign w:val="center"/>
          </w:tcPr>
          <w:p w14:paraId="4335E6A7">
            <w:pPr>
              <w:pStyle w:val="42"/>
              <w:bidi w:val="0"/>
              <w:rPr>
                <w:rFonts w:hint="default" w:ascii="Times New Roman" w:hAnsi="Times New Roman" w:eastAsia="宋体" w:cs="Times New Roman"/>
                <w:caps w:val="0"/>
                <w:color w:val="FF0000"/>
                <w:spacing w:val="0"/>
                <w:position w:val="0"/>
                <w:highlight w:val="none"/>
                <w:lang w:val="en-US" w:eastAsia="zh-CN"/>
              </w:rPr>
            </w:pPr>
            <w:r>
              <w:rPr>
                <w:rFonts w:hint="default" w:ascii="Times New Roman" w:hAnsi="Times New Roman" w:eastAsia="宋体" w:cs="Times New Roman"/>
                <w:caps w:val="0"/>
                <w:color w:val="FF0000"/>
                <w:spacing w:val="0"/>
                <w:position w:val="0"/>
                <w:highlight w:val="none"/>
                <w:lang w:val="en-US" w:eastAsia="zh-CN"/>
              </w:rPr>
              <w:t>监测均达标，满足相关标准及要求</w:t>
            </w:r>
          </w:p>
        </w:tc>
        <w:tc>
          <w:tcPr>
            <w:tcW w:w="1177" w:type="dxa"/>
            <w:noWrap w:val="0"/>
            <w:vAlign w:val="center"/>
          </w:tcPr>
          <w:p w14:paraId="1B9D1A8E">
            <w:pPr>
              <w:pStyle w:val="42"/>
              <w:bidi w:val="0"/>
              <w:rPr>
                <w:rFonts w:hint="default" w:ascii="Times New Roman" w:hAnsi="Times New Roman" w:eastAsia="宋体" w:cs="Times New Roman"/>
                <w:caps w:val="0"/>
                <w:color w:val="FF0000"/>
                <w:spacing w:val="0"/>
                <w:position w:val="0"/>
                <w:highlight w:val="none"/>
                <w:lang w:val="en-US" w:eastAsia="zh-CN"/>
              </w:rPr>
            </w:pPr>
          </w:p>
        </w:tc>
      </w:tr>
      <w:tr w14:paraId="47A83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8" w:hRule="atLeast"/>
          <w:jc w:val="center"/>
        </w:trPr>
        <w:tc>
          <w:tcPr>
            <w:tcW w:w="542" w:type="dxa"/>
            <w:vMerge w:val="restart"/>
            <w:noWrap w:val="0"/>
            <w:vAlign w:val="center"/>
          </w:tcPr>
          <w:p w14:paraId="65948C46">
            <w:pPr>
              <w:pStyle w:val="42"/>
              <w:bidi w:val="0"/>
              <w:rPr>
                <w:rFonts w:hint="default" w:ascii="Times New Roman" w:hAnsi="Times New Roman" w:eastAsia="宋体" w:cs="Times New Roman"/>
                <w:caps w:val="0"/>
                <w:color w:val="FF0000"/>
                <w:spacing w:val="0"/>
                <w:position w:val="0"/>
                <w:highlight w:val="none"/>
                <w:lang w:val="en-US" w:eastAsia="zh-CN"/>
              </w:rPr>
            </w:pPr>
            <w:r>
              <w:rPr>
                <w:rFonts w:hint="default" w:ascii="Times New Roman" w:hAnsi="Times New Roman" w:eastAsia="宋体" w:cs="Times New Roman"/>
                <w:caps w:val="0"/>
                <w:color w:val="FF0000"/>
                <w:spacing w:val="0"/>
                <w:position w:val="0"/>
                <w:highlight w:val="none"/>
                <w:lang w:val="en-US" w:eastAsia="zh-CN"/>
              </w:rPr>
              <w:t>影响预测</w:t>
            </w:r>
          </w:p>
        </w:tc>
        <w:tc>
          <w:tcPr>
            <w:tcW w:w="1514" w:type="dxa"/>
            <w:noWrap w:val="0"/>
            <w:vAlign w:val="center"/>
          </w:tcPr>
          <w:p w14:paraId="302C6E2C">
            <w:pPr>
              <w:pStyle w:val="42"/>
              <w:bidi w:val="0"/>
              <w:rPr>
                <w:rFonts w:hint="default" w:ascii="Times New Roman" w:hAnsi="Times New Roman" w:eastAsia="宋体" w:cs="Times New Roman"/>
                <w:caps w:val="0"/>
                <w:color w:val="FF0000"/>
                <w:spacing w:val="0"/>
                <w:position w:val="0"/>
                <w:highlight w:val="none"/>
                <w:lang w:val="en-US" w:eastAsia="zh-CN"/>
              </w:rPr>
            </w:pPr>
            <w:r>
              <w:rPr>
                <w:rFonts w:hint="default" w:ascii="Times New Roman" w:hAnsi="Times New Roman" w:eastAsia="宋体" w:cs="Times New Roman"/>
                <w:caps w:val="0"/>
                <w:color w:val="FF0000"/>
                <w:spacing w:val="0"/>
                <w:position w:val="0"/>
                <w:highlight w:val="none"/>
                <w:lang w:val="en-US" w:eastAsia="zh-CN"/>
              </w:rPr>
              <w:t>预测因子</w:t>
            </w:r>
          </w:p>
        </w:tc>
        <w:tc>
          <w:tcPr>
            <w:tcW w:w="5835" w:type="dxa"/>
            <w:gridSpan w:val="6"/>
            <w:noWrap w:val="0"/>
            <w:vAlign w:val="center"/>
          </w:tcPr>
          <w:p w14:paraId="5EE21124">
            <w:pPr>
              <w:pStyle w:val="42"/>
              <w:bidi w:val="0"/>
              <w:rPr>
                <w:rFonts w:hint="default" w:ascii="Times New Roman" w:hAnsi="Times New Roman" w:eastAsia="宋体" w:cs="Times New Roman"/>
                <w:caps w:val="0"/>
                <w:color w:val="FF0000"/>
                <w:spacing w:val="0"/>
                <w:position w:val="0"/>
                <w:highlight w:val="none"/>
                <w:lang w:val="en-US" w:eastAsia="zh-CN"/>
              </w:rPr>
            </w:pPr>
            <w:r>
              <w:rPr>
                <w:rFonts w:hint="eastAsia" w:ascii="Times New Roman" w:hAnsi="Times New Roman" w:eastAsia="宋体" w:cs="Times New Roman"/>
                <w:caps w:val="0"/>
                <w:color w:val="FF0000"/>
                <w:spacing w:val="0"/>
                <w:position w:val="0"/>
                <w:highlight w:val="none"/>
                <w:lang w:val="en-US" w:eastAsia="zh-CN"/>
              </w:rPr>
              <w:t>pH</w:t>
            </w:r>
          </w:p>
        </w:tc>
        <w:tc>
          <w:tcPr>
            <w:tcW w:w="1177" w:type="dxa"/>
            <w:noWrap w:val="0"/>
            <w:vAlign w:val="center"/>
          </w:tcPr>
          <w:p w14:paraId="1C6698AA">
            <w:pPr>
              <w:pStyle w:val="42"/>
              <w:bidi w:val="0"/>
              <w:rPr>
                <w:rFonts w:hint="default" w:ascii="Times New Roman" w:hAnsi="Times New Roman" w:eastAsia="宋体" w:cs="Times New Roman"/>
                <w:caps w:val="0"/>
                <w:color w:val="FF0000"/>
                <w:spacing w:val="0"/>
                <w:position w:val="0"/>
                <w:highlight w:val="none"/>
                <w:lang w:val="en-US" w:eastAsia="zh-CN"/>
              </w:rPr>
            </w:pPr>
          </w:p>
        </w:tc>
      </w:tr>
      <w:tr w14:paraId="1A14C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42" w:type="dxa"/>
            <w:vMerge w:val="continue"/>
            <w:noWrap w:val="0"/>
            <w:vAlign w:val="center"/>
          </w:tcPr>
          <w:p w14:paraId="459D5D6A">
            <w:pPr>
              <w:pStyle w:val="42"/>
              <w:bidi w:val="0"/>
              <w:rPr>
                <w:rFonts w:hint="default" w:ascii="Times New Roman" w:hAnsi="Times New Roman" w:eastAsia="宋体" w:cs="Times New Roman"/>
                <w:caps w:val="0"/>
                <w:color w:val="FF0000"/>
                <w:spacing w:val="0"/>
                <w:position w:val="0"/>
                <w:highlight w:val="none"/>
                <w:lang w:val="en-US" w:eastAsia="zh-CN"/>
              </w:rPr>
            </w:pPr>
          </w:p>
        </w:tc>
        <w:tc>
          <w:tcPr>
            <w:tcW w:w="1514" w:type="dxa"/>
            <w:noWrap w:val="0"/>
            <w:vAlign w:val="center"/>
          </w:tcPr>
          <w:p w14:paraId="624EEF2C">
            <w:pPr>
              <w:pStyle w:val="42"/>
              <w:bidi w:val="0"/>
              <w:rPr>
                <w:rFonts w:hint="default" w:ascii="Times New Roman" w:hAnsi="Times New Roman" w:eastAsia="宋体" w:cs="Times New Roman"/>
                <w:caps w:val="0"/>
                <w:color w:val="FF0000"/>
                <w:spacing w:val="0"/>
                <w:position w:val="0"/>
                <w:highlight w:val="none"/>
                <w:lang w:val="en-US" w:eastAsia="zh-CN"/>
              </w:rPr>
            </w:pPr>
            <w:r>
              <w:rPr>
                <w:rFonts w:hint="default" w:ascii="Times New Roman" w:hAnsi="Times New Roman" w:eastAsia="宋体" w:cs="Times New Roman"/>
                <w:caps w:val="0"/>
                <w:color w:val="FF0000"/>
                <w:spacing w:val="0"/>
                <w:position w:val="0"/>
                <w:highlight w:val="none"/>
                <w:lang w:val="en-US" w:eastAsia="zh-CN"/>
              </w:rPr>
              <w:t>预测方法</w:t>
            </w:r>
          </w:p>
        </w:tc>
        <w:tc>
          <w:tcPr>
            <w:tcW w:w="5835" w:type="dxa"/>
            <w:gridSpan w:val="6"/>
            <w:noWrap w:val="0"/>
            <w:vAlign w:val="center"/>
          </w:tcPr>
          <w:p w14:paraId="10A2A49E">
            <w:pPr>
              <w:pStyle w:val="42"/>
              <w:bidi w:val="0"/>
              <w:rPr>
                <w:rFonts w:hint="default" w:ascii="Times New Roman" w:hAnsi="Times New Roman" w:eastAsia="宋体" w:cs="Times New Roman"/>
                <w:caps w:val="0"/>
                <w:color w:val="FF0000"/>
                <w:spacing w:val="0"/>
                <w:position w:val="0"/>
                <w:highlight w:val="none"/>
                <w:lang w:val="en-US" w:eastAsia="zh-CN"/>
              </w:rPr>
            </w:pPr>
            <w:r>
              <w:rPr>
                <w:rFonts w:hint="default" w:ascii="Times New Roman" w:hAnsi="Times New Roman" w:eastAsia="宋体" w:cs="Times New Roman"/>
                <w:caps w:val="0"/>
                <w:color w:val="FF0000"/>
                <w:spacing w:val="0"/>
                <w:position w:val="0"/>
                <w:highlight w:val="none"/>
                <w:lang w:val="en-US" w:eastAsia="zh-CN"/>
              </w:rPr>
              <w:t xml:space="preserve">附录E□；附录F□；其他√(定性描述) </w:t>
            </w:r>
          </w:p>
        </w:tc>
        <w:tc>
          <w:tcPr>
            <w:tcW w:w="1177" w:type="dxa"/>
            <w:noWrap w:val="0"/>
            <w:vAlign w:val="center"/>
          </w:tcPr>
          <w:p w14:paraId="5E3C54B2">
            <w:pPr>
              <w:pStyle w:val="42"/>
              <w:bidi w:val="0"/>
              <w:rPr>
                <w:rFonts w:hint="default" w:ascii="Times New Roman" w:hAnsi="Times New Roman" w:eastAsia="宋体" w:cs="Times New Roman"/>
                <w:caps w:val="0"/>
                <w:color w:val="FF0000"/>
                <w:spacing w:val="0"/>
                <w:position w:val="0"/>
                <w:highlight w:val="none"/>
                <w:lang w:val="en-US" w:eastAsia="zh-CN"/>
              </w:rPr>
            </w:pPr>
          </w:p>
        </w:tc>
      </w:tr>
      <w:tr w14:paraId="266F1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42" w:type="dxa"/>
            <w:vMerge w:val="continue"/>
            <w:noWrap w:val="0"/>
            <w:vAlign w:val="center"/>
          </w:tcPr>
          <w:p w14:paraId="33F9A926">
            <w:pPr>
              <w:pStyle w:val="42"/>
              <w:bidi w:val="0"/>
              <w:rPr>
                <w:rFonts w:hint="default" w:ascii="Times New Roman" w:hAnsi="Times New Roman" w:eastAsia="宋体" w:cs="Times New Roman"/>
                <w:caps w:val="0"/>
                <w:color w:val="FF0000"/>
                <w:spacing w:val="0"/>
                <w:position w:val="0"/>
                <w:highlight w:val="none"/>
                <w:lang w:val="en-US" w:eastAsia="zh-CN"/>
              </w:rPr>
            </w:pPr>
          </w:p>
        </w:tc>
        <w:tc>
          <w:tcPr>
            <w:tcW w:w="1514" w:type="dxa"/>
            <w:noWrap w:val="0"/>
            <w:vAlign w:val="center"/>
          </w:tcPr>
          <w:p w14:paraId="114C5E1E">
            <w:pPr>
              <w:pStyle w:val="42"/>
              <w:bidi w:val="0"/>
              <w:rPr>
                <w:rFonts w:hint="default" w:ascii="Times New Roman" w:hAnsi="Times New Roman" w:eastAsia="宋体" w:cs="Times New Roman"/>
                <w:caps w:val="0"/>
                <w:color w:val="FF0000"/>
                <w:spacing w:val="0"/>
                <w:position w:val="0"/>
                <w:highlight w:val="none"/>
                <w:lang w:val="en-US" w:eastAsia="zh-CN"/>
              </w:rPr>
            </w:pPr>
            <w:r>
              <w:rPr>
                <w:rFonts w:hint="default" w:ascii="Times New Roman" w:hAnsi="Times New Roman" w:eastAsia="宋体" w:cs="Times New Roman"/>
                <w:caps w:val="0"/>
                <w:color w:val="FF0000"/>
                <w:spacing w:val="0"/>
                <w:position w:val="0"/>
                <w:highlight w:val="none"/>
                <w:lang w:val="en-US" w:eastAsia="zh-CN"/>
              </w:rPr>
              <w:t>预测分析内容</w:t>
            </w:r>
          </w:p>
        </w:tc>
        <w:tc>
          <w:tcPr>
            <w:tcW w:w="5835" w:type="dxa"/>
            <w:gridSpan w:val="6"/>
            <w:noWrap w:val="0"/>
            <w:vAlign w:val="center"/>
          </w:tcPr>
          <w:p w14:paraId="25214379">
            <w:pPr>
              <w:pStyle w:val="42"/>
              <w:bidi w:val="0"/>
              <w:rPr>
                <w:rFonts w:hint="default" w:ascii="Times New Roman" w:hAnsi="Times New Roman" w:eastAsia="宋体" w:cs="Times New Roman"/>
                <w:caps w:val="0"/>
                <w:color w:val="FF0000"/>
                <w:spacing w:val="0"/>
                <w:position w:val="0"/>
                <w:highlight w:val="none"/>
                <w:lang w:val="en-US" w:eastAsia="zh-CN"/>
              </w:rPr>
            </w:pPr>
            <w:r>
              <w:rPr>
                <w:rFonts w:hint="default" w:ascii="Times New Roman" w:hAnsi="Times New Roman" w:eastAsia="宋体" w:cs="Times New Roman"/>
                <w:caps w:val="0"/>
                <w:color w:val="FF0000"/>
                <w:spacing w:val="0"/>
                <w:position w:val="0"/>
                <w:highlight w:val="none"/>
                <w:lang w:val="en-US" w:eastAsia="zh-CN"/>
              </w:rPr>
              <w:t>影响范围(厂区外扩</w:t>
            </w:r>
            <w:r>
              <w:rPr>
                <w:rFonts w:hint="eastAsia" w:ascii="Times New Roman" w:hAnsi="Times New Roman" w:eastAsia="宋体" w:cs="Times New Roman"/>
                <w:caps w:val="0"/>
                <w:color w:val="FF0000"/>
                <w:spacing w:val="0"/>
                <w:position w:val="0"/>
                <w:highlight w:val="none"/>
                <w:lang w:val="en-US" w:eastAsia="zh-CN"/>
              </w:rPr>
              <w:t>10</w:t>
            </w:r>
            <w:r>
              <w:rPr>
                <w:rFonts w:hint="default" w:ascii="Times New Roman" w:hAnsi="Times New Roman" w:eastAsia="宋体" w:cs="Times New Roman"/>
                <w:caps w:val="0"/>
                <w:color w:val="FF0000"/>
                <w:spacing w:val="0"/>
                <w:position w:val="0"/>
                <w:highlight w:val="none"/>
                <w:lang w:val="en-US" w:eastAsia="zh-CN"/>
              </w:rPr>
              <w:t>00m，含厂区面积共</w:t>
            </w:r>
            <w:r>
              <w:rPr>
                <w:rFonts w:hint="eastAsia" w:ascii="Times New Roman" w:hAnsi="Times New Roman" w:eastAsia="宋体" w:cs="Times New Roman"/>
                <w:caps w:val="0"/>
                <w:color w:val="FF0000"/>
                <w:spacing w:val="0"/>
                <w:position w:val="0"/>
                <w:highlight w:val="none"/>
                <w:lang w:val="en-US" w:eastAsia="zh-CN"/>
              </w:rPr>
              <w:t>910.91hm</w:t>
            </w:r>
            <w:r>
              <w:rPr>
                <w:rFonts w:hint="default" w:ascii="Times New Roman" w:hAnsi="Times New Roman" w:eastAsia="宋体" w:cs="Times New Roman"/>
                <w:caps w:val="0"/>
                <w:color w:val="FF0000"/>
                <w:spacing w:val="0"/>
                <w:position w:val="0"/>
                <w:highlight w:val="none"/>
                <w:vertAlign w:val="superscript"/>
                <w:lang w:val="en-US" w:eastAsia="zh-CN"/>
              </w:rPr>
              <w:t>2</w:t>
            </w:r>
            <w:r>
              <w:rPr>
                <w:rFonts w:hint="default" w:ascii="Times New Roman" w:hAnsi="Times New Roman" w:eastAsia="宋体" w:cs="Times New Roman"/>
                <w:caps w:val="0"/>
                <w:color w:val="FF0000"/>
                <w:spacing w:val="0"/>
                <w:position w:val="0"/>
                <w:highlight w:val="none"/>
                <w:lang w:val="en-US" w:eastAsia="zh-CN"/>
              </w:rPr>
              <w:t>)</w:t>
            </w:r>
          </w:p>
          <w:p w14:paraId="095EDB2D">
            <w:pPr>
              <w:pStyle w:val="42"/>
              <w:bidi w:val="0"/>
              <w:rPr>
                <w:rFonts w:hint="default" w:ascii="Times New Roman" w:hAnsi="Times New Roman" w:eastAsia="宋体" w:cs="Times New Roman"/>
                <w:caps w:val="0"/>
                <w:color w:val="FF0000"/>
                <w:spacing w:val="0"/>
                <w:position w:val="0"/>
                <w:highlight w:val="none"/>
                <w:lang w:val="en-US" w:eastAsia="zh-CN"/>
              </w:rPr>
            </w:pPr>
            <w:r>
              <w:rPr>
                <w:rFonts w:hint="default" w:ascii="Times New Roman" w:hAnsi="Times New Roman" w:eastAsia="宋体" w:cs="Times New Roman"/>
                <w:caps w:val="0"/>
                <w:color w:val="FF0000"/>
                <w:spacing w:val="0"/>
                <w:position w:val="0"/>
                <w:highlight w:val="none"/>
                <w:lang w:val="en-US" w:eastAsia="zh-CN"/>
              </w:rPr>
              <w:t>影响程度(较小)</w:t>
            </w:r>
          </w:p>
        </w:tc>
        <w:tc>
          <w:tcPr>
            <w:tcW w:w="1177" w:type="dxa"/>
            <w:noWrap w:val="0"/>
            <w:vAlign w:val="center"/>
          </w:tcPr>
          <w:p w14:paraId="1F9A361A">
            <w:pPr>
              <w:pStyle w:val="42"/>
              <w:bidi w:val="0"/>
              <w:rPr>
                <w:rFonts w:hint="default" w:ascii="Times New Roman" w:hAnsi="Times New Roman" w:eastAsia="宋体" w:cs="Times New Roman"/>
                <w:caps w:val="0"/>
                <w:color w:val="FF0000"/>
                <w:spacing w:val="0"/>
                <w:position w:val="0"/>
                <w:highlight w:val="none"/>
                <w:lang w:val="en-US" w:eastAsia="zh-CN"/>
              </w:rPr>
            </w:pPr>
          </w:p>
        </w:tc>
      </w:tr>
      <w:tr w14:paraId="304E3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42" w:type="dxa"/>
            <w:vMerge w:val="continue"/>
            <w:noWrap w:val="0"/>
            <w:vAlign w:val="center"/>
          </w:tcPr>
          <w:p w14:paraId="36BF5F8C">
            <w:pPr>
              <w:pStyle w:val="42"/>
              <w:bidi w:val="0"/>
              <w:rPr>
                <w:rFonts w:hint="default" w:ascii="Times New Roman" w:hAnsi="Times New Roman" w:eastAsia="宋体" w:cs="Times New Roman"/>
                <w:caps w:val="0"/>
                <w:color w:val="FF0000"/>
                <w:spacing w:val="0"/>
                <w:position w:val="0"/>
                <w:highlight w:val="none"/>
                <w:lang w:val="en-US" w:eastAsia="zh-CN"/>
              </w:rPr>
            </w:pPr>
          </w:p>
        </w:tc>
        <w:tc>
          <w:tcPr>
            <w:tcW w:w="1514" w:type="dxa"/>
            <w:noWrap w:val="0"/>
            <w:vAlign w:val="center"/>
          </w:tcPr>
          <w:p w14:paraId="4FB8F936">
            <w:pPr>
              <w:pStyle w:val="42"/>
              <w:bidi w:val="0"/>
              <w:rPr>
                <w:rFonts w:hint="default" w:ascii="Times New Roman" w:hAnsi="Times New Roman" w:eastAsia="宋体" w:cs="Times New Roman"/>
                <w:caps w:val="0"/>
                <w:color w:val="FF0000"/>
                <w:spacing w:val="0"/>
                <w:position w:val="0"/>
                <w:highlight w:val="none"/>
                <w:lang w:val="en-US" w:eastAsia="zh-CN"/>
              </w:rPr>
            </w:pPr>
            <w:r>
              <w:rPr>
                <w:rFonts w:hint="default" w:ascii="Times New Roman" w:hAnsi="Times New Roman" w:eastAsia="宋体" w:cs="Times New Roman"/>
                <w:caps w:val="0"/>
                <w:color w:val="FF0000"/>
                <w:spacing w:val="0"/>
                <w:position w:val="0"/>
                <w:highlight w:val="none"/>
                <w:lang w:val="en-US" w:eastAsia="zh-CN"/>
              </w:rPr>
              <w:t>预测结论</w:t>
            </w:r>
          </w:p>
        </w:tc>
        <w:tc>
          <w:tcPr>
            <w:tcW w:w="5835" w:type="dxa"/>
            <w:gridSpan w:val="6"/>
            <w:noWrap w:val="0"/>
            <w:vAlign w:val="center"/>
          </w:tcPr>
          <w:p w14:paraId="66221F5D">
            <w:pPr>
              <w:pStyle w:val="42"/>
              <w:bidi w:val="0"/>
              <w:rPr>
                <w:rFonts w:hint="default" w:ascii="Times New Roman" w:hAnsi="Times New Roman" w:eastAsia="宋体" w:cs="Times New Roman"/>
                <w:caps w:val="0"/>
                <w:color w:val="FF0000"/>
                <w:spacing w:val="0"/>
                <w:position w:val="0"/>
                <w:highlight w:val="none"/>
                <w:lang w:val="en-US" w:eastAsia="zh-CN"/>
              </w:rPr>
            </w:pPr>
            <w:r>
              <w:rPr>
                <w:rFonts w:hint="default" w:ascii="Times New Roman" w:hAnsi="Times New Roman" w:eastAsia="宋体" w:cs="Times New Roman"/>
                <w:caps w:val="0"/>
                <w:color w:val="FF0000"/>
                <w:spacing w:val="0"/>
                <w:position w:val="0"/>
                <w:highlight w:val="none"/>
                <w:lang w:val="en-US" w:eastAsia="zh-CN"/>
              </w:rPr>
              <w:t>达标结论：a)</w:t>
            </w:r>
            <w:r>
              <w:rPr>
                <w:rFonts w:hint="eastAsia" w:ascii="Times New Roman" w:hAnsi="Times New Roman" w:eastAsia="宋体" w:cs="Times New Roman"/>
                <w:caps w:val="0"/>
                <w:color w:val="FF0000"/>
                <w:spacing w:val="0"/>
                <w:position w:val="0"/>
                <w:highlight w:val="none"/>
                <w:lang w:val="en-US" w:eastAsia="zh-CN"/>
              </w:rPr>
              <w:t>☑</w:t>
            </w:r>
            <w:r>
              <w:rPr>
                <w:rFonts w:hint="default" w:ascii="Times New Roman" w:hAnsi="Times New Roman" w:eastAsia="宋体" w:cs="Times New Roman"/>
                <w:caps w:val="0"/>
                <w:color w:val="FF0000"/>
                <w:spacing w:val="0"/>
                <w:position w:val="0"/>
                <w:highlight w:val="none"/>
                <w:lang w:val="en-US" w:eastAsia="zh-CN"/>
              </w:rPr>
              <w:t>；b)□；c)</w:t>
            </w:r>
            <w:r>
              <w:rPr>
                <w:rFonts w:hint="eastAsia" w:ascii="Times New Roman" w:hAnsi="Times New Roman" w:eastAsia="宋体" w:cs="Times New Roman"/>
                <w:caps w:val="0"/>
                <w:color w:val="FF0000"/>
                <w:spacing w:val="0"/>
                <w:position w:val="0"/>
                <w:highlight w:val="none"/>
                <w:lang w:val="en-US" w:eastAsia="zh-CN"/>
              </w:rPr>
              <w:t>☑</w:t>
            </w:r>
          </w:p>
          <w:p w14:paraId="1BD5E53F">
            <w:pPr>
              <w:pStyle w:val="42"/>
              <w:bidi w:val="0"/>
              <w:rPr>
                <w:rFonts w:hint="default" w:ascii="Times New Roman" w:hAnsi="Times New Roman" w:eastAsia="宋体" w:cs="Times New Roman"/>
                <w:caps w:val="0"/>
                <w:color w:val="FF0000"/>
                <w:spacing w:val="0"/>
                <w:position w:val="0"/>
                <w:highlight w:val="none"/>
                <w:lang w:val="en-US" w:eastAsia="zh-CN"/>
              </w:rPr>
            </w:pPr>
            <w:r>
              <w:rPr>
                <w:rFonts w:hint="default" w:ascii="Times New Roman" w:hAnsi="Times New Roman" w:eastAsia="宋体" w:cs="Times New Roman"/>
                <w:caps w:val="0"/>
                <w:color w:val="FF0000"/>
                <w:spacing w:val="0"/>
                <w:position w:val="0"/>
                <w:highlight w:val="none"/>
                <w:lang w:val="en-US" w:eastAsia="zh-CN"/>
              </w:rPr>
              <w:t>不达标结论：a)□；b)□</w:t>
            </w:r>
          </w:p>
        </w:tc>
        <w:tc>
          <w:tcPr>
            <w:tcW w:w="1177" w:type="dxa"/>
            <w:noWrap w:val="0"/>
            <w:vAlign w:val="center"/>
          </w:tcPr>
          <w:p w14:paraId="0E3E3E94">
            <w:pPr>
              <w:pStyle w:val="42"/>
              <w:bidi w:val="0"/>
              <w:rPr>
                <w:rFonts w:hint="default" w:ascii="Times New Roman" w:hAnsi="Times New Roman" w:eastAsia="宋体" w:cs="Times New Roman"/>
                <w:caps w:val="0"/>
                <w:color w:val="FF0000"/>
                <w:spacing w:val="0"/>
                <w:position w:val="0"/>
                <w:highlight w:val="none"/>
                <w:lang w:val="en-US" w:eastAsia="zh-CN"/>
              </w:rPr>
            </w:pPr>
          </w:p>
        </w:tc>
      </w:tr>
      <w:tr w14:paraId="5E25B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74" w:hRule="atLeast"/>
          <w:jc w:val="center"/>
        </w:trPr>
        <w:tc>
          <w:tcPr>
            <w:tcW w:w="542" w:type="dxa"/>
            <w:vMerge w:val="restart"/>
            <w:noWrap w:val="0"/>
            <w:vAlign w:val="center"/>
          </w:tcPr>
          <w:p w14:paraId="1B7B3503">
            <w:pPr>
              <w:pStyle w:val="42"/>
              <w:bidi w:val="0"/>
              <w:rPr>
                <w:rFonts w:hint="default" w:ascii="Times New Roman" w:hAnsi="Times New Roman" w:eastAsia="宋体" w:cs="Times New Roman"/>
                <w:caps w:val="0"/>
                <w:color w:val="FF0000"/>
                <w:spacing w:val="0"/>
                <w:position w:val="0"/>
                <w:highlight w:val="none"/>
                <w:lang w:val="en-US" w:eastAsia="zh-CN"/>
              </w:rPr>
            </w:pPr>
            <w:r>
              <w:rPr>
                <w:rFonts w:hint="default" w:ascii="Times New Roman" w:hAnsi="Times New Roman" w:eastAsia="宋体" w:cs="Times New Roman"/>
                <w:caps w:val="0"/>
                <w:color w:val="FF0000"/>
                <w:spacing w:val="0"/>
                <w:position w:val="0"/>
                <w:highlight w:val="none"/>
                <w:lang w:val="en-US" w:eastAsia="zh-CN"/>
              </w:rPr>
              <w:t>防治措施</w:t>
            </w:r>
          </w:p>
        </w:tc>
        <w:tc>
          <w:tcPr>
            <w:tcW w:w="1514" w:type="dxa"/>
            <w:noWrap w:val="0"/>
            <w:vAlign w:val="center"/>
          </w:tcPr>
          <w:p w14:paraId="584B5055">
            <w:pPr>
              <w:pStyle w:val="42"/>
              <w:bidi w:val="0"/>
              <w:rPr>
                <w:rFonts w:hint="default" w:ascii="Times New Roman" w:hAnsi="Times New Roman" w:eastAsia="宋体" w:cs="Times New Roman"/>
                <w:caps w:val="0"/>
                <w:color w:val="FF0000"/>
                <w:spacing w:val="0"/>
                <w:position w:val="0"/>
                <w:highlight w:val="none"/>
                <w:lang w:val="en-US" w:eastAsia="zh-CN"/>
              </w:rPr>
            </w:pPr>
            <w:r>
              <w:rPr>
                <w:rFonts w:hint="default" w:ascii="Times New Roman" w:hAnsi="Times New Roman" w:eastAsia="宋体" w:cs="Times New Roman"/>
                <w:caps w:val="0"/>
                <w:color w:val="FF0000"/>
                <w:spacing w:val="0"/>
                <w:position w:val="0"/>
                <w:highlight w:val="none"/>
                <w:lang w:val="en-US" w:eastAsia="zh-CN"/>
              </w:rPr>
              <w:t>防控措施</w:t>
            </w:r>
          </w:p>
        </w:tc>
        <w:tc>
          <w:tcPr>
            <w:tcW w:w="5835" w:type="dxa"/>
            <w:gridSpan w:val="6"/>
            <w:noWrap w:val="0"/>
            <w:vAlign w:val="center"/>
          </w:tcPr>
          <w:p w14:paraId="757C3E6A">
            <w:pPr>
              <w:pStyle w:val="42"/>
              <w:bidi w:val="0"/>
              <w:rPr>
                <w:rFonts w:hint="default" w:ascii="Times New Roman" w:hAnsi="Times New Roman" w:eastAsia="宋体" w:cs="Times New Roman"/>
                <w:caps w:val="0"/>
                <w:color w:val="FF0000"/>
                <w:spacing w:val="0"/>
                <w:position w:val="0"/>
                <w:highlight w:val="none"/>
                <w:lang w:val="en-US" w:eastAsia="zh-CN"/>
              </w:rPr>
            </w:pPr>
            <w:r>
              <w:rPr>
                <w:rFonts w:hint="default" w:ascii="Times New Roman" w:hAnsi="Times New Roman" w:eastAsia="宋体" w:cs="Times New Roman"/>
                <w:caps w:val="0"/>
                <w:color w:val="FF0000"/>
                <w:spacing w:val="0"/>
                <w:position w:val="0"/>
                <w:highlight w:val="none"/>
                <w:lang w:val="en-US" w:eastAsia="zh-CN"/>
              </w:rPr>
              <w:t>土壤环境质量现状保障□；源头控制√；过程防控√；其他(   )</w:t>
            </w:r>
          </w:p>
        </w:tc>
        <w:tc>
          <w:tcPr>
            <w:tcW w:w="1177" w:type="dxa"/>
            <w:noWrap w:val="0"/>
            <w:vAlign w:val="center"/>
          </w:tcPr>
          <w:p w14:paraId="2D04EE11">
            <w:pPr>
              <w:pStyle w:val="42"/>
              <w:bidi w:val="0"/>
              <w:rPr>
                <w:rFonts w:hint="default" w:ascii="Times New Roman" w:hAnsi="Times New Roman" w:eastAsia="宋体" w:cs="Times New Roman"/>
                <w:caps w:val="0"/>
                <w:color w:val="FF0000"/>
                <w:spacing w:val="0"/>
                <w:position w:val="0"/>
                <w:highlight w:val="none"/>
                <w:lang w:val="en-US" w:eastAsia="zh-CN"/>
              </w:rPr>
            </w:pPr>
          </w:p>
        </w:tc>
      </w:tr>
      <w:tr w14:paraId="31F3D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6" w:hRule="atLeast"/>
          <w:jc w:val="center"/>
        </w:trPr>
        <w:tc>
          <w:tcPr>
            <w:tcW w:w="542" w:type="dxa"/>
            <w:vMerge w:val="continue"/>
            <w:noWrap w:val="0"/>
            <w:vAlign w:val="center"/>
          </w:tcPr>
          <w:p w14:paraId="490ED9CC">
            <w:pPr>
              <w:pStyle w:val="42"/>
              <w:bidi w:val="0"/>
              <w:rPr>
                <w:rFonts w:hint="default" w:ascii="Times New Roman" w:hAnsi="Times New Roman" w:eastAsia="宋体" w:cs="Times New Roman"/>
                <w:caps w:val="0"/>
                <w:color w:val="FF0000"/>
                <w:spacing w:val="0"/>
                <w:position w:val="0"/>
                <w:highlight w:val="none"/>
                <w:lang w:val="en-US" w:eastAsia="zh-CN"/>
              </w:rPr>
            </w:pPr>
          </w:p>
        </w:tc>
        <w:tc>
          <w:tcPr>
            <w:tcW w:w="1514" w:type="dxa"/>
            <w:vMerge w:val="restart"/>
            <w:noWrap w:val="0"/>
            <w:vAlign w:val="center"/>
          </w:tcPr>
          <w:p w14:paraId="2D59152A">
            <w:pPr>
              <w:pStyle w:val="42"/>
              <w:bidi w:val="0"/>
              <w:rPr>
                <w:rFonts w:hint="default" w:ascii="Times New Roman" w:hAnsi="Times New Roman" w:eastAsia="宋体" w:cs="Times New Roman"/>
                <w:caps w:val="0"/>
                <w:color w:val="FF0000"/>
                <w:spacing w:val="0"/>
                <w:position w:val="0"/>
                <w:highlight w:val="none"/>
                <w:lang w:val="en-US" w:eastAsia="zh-CN"/>
              </w:rPr>
            </w:pPr>
            <w:r>
              <w:rPr>
                <w:rFonts w:hint="default" w:ascii="Times New Roman" w:hAnsi="Times New Roman" w:eastAsia="宋体" w:cs="Times New Roman"/>
                <w:caps w:val="0"/>
                <w:color w:val="FF0000"/>
                <w:spacing w:val="0"/>
                <w:position w:val="0"/>
                <w:highlight w:val="none"/>
                <w:lang w:val="en-US" w:eastAsia="zh-CN"/>
              </w:rPr>
              <w:t>跟踪监测</w:t>
            </w:r>
          </w:p>
        </w:tc>
        <w:tc>
          <w:tcPr>
            <w:tcW w:w="2280" w:type="dxa"/>
            <w:gridSpan w:val="2"/>
            <w:noWrap w:val="0"/>
            <w:vAlign w:val="center"/>
          </w:tcPr>
          <w:p w14:paraId="0680CAE0">
            <w:pPr>
              <w:pStyle w:val="42"/>
              <w:bidi w:val="0"/>
              <w:rPr>
                <w:rFonts w:hint="default" w:ascii="Times New Roman" w:hAnsi="Times New Roman" w:eastAsia="宋体" w:cs="Times New Roman"/>
                <w:caps w:val="0"/>
                <w:color w:val="FF0000"/>
                <w:spacing w:val="0"/>
                <w:position w:val="0"/>
                <w:highlight w:val="none"/>
                <w:lang w:val="en-US" w:eastAsia="zh-CN"/>
              </w:rPr>
            </w:pPr>
            <w:r>
              <w:rPr>
                <w:rFonts w:hint="default" w:ascii="Times New Roman" w:hAnsi="Times New Roman" w:eastAsia="宋体" w:cs="Times New Roman"/>
                <w:caps w:val="0"/>
                <w:color w:val="FF0000"/>
                <w:spacing w:val="0"/>
                <w:position w:val="0"/>
                <w:highlight w:val="none"/>
                <w:lang w:val="en-US" w:eastAsia="zh-CN"/>
              </w:rPr>
              <w:t>监测点数</w:t>
            </w:r>
          </w:p>
        </w:tc>
        <w:tc>
          <w:tcPr>
            <w:tcW w:w="1960" w:type="dxa"/>
            <w:gridSpan w:val="3"/>
            <w:noWrap w:val="0"/>
            <w:vAlign w:val="center"/>
          </w:tcPr>
          <w:p w14:paraId="44736EE4">
            <w:pPr>
              <w:pStyle w:val="42"/>
              <w:bidi w:val="0"/>
              <w:rPr>
                <w:rFonts w:hint="default" w:ascii="Times New Roman" w:hAnsi="Times New Roman" w:eastAsia="宋体" w:cs="Times New Roman"/>
                <w:caps w:val="0"/>
                <w:color w:val="FF0000"/>
                <w:spacing w:val="0"/>
                <w:position w:val="0"/>
                <w:highlight w:val="none"/>
                <w:lang w:val="en-US" w:eastAsia="zh-CN"/>
              </w:rPr>
            </w:pPr>
            <w:r>
              <w:rPr>
                <w:rFonts w:hint="default" w:ascii="Times New Roman" w:hAnsi="Times New Roman" w:eastAsia="宋体" w:cs="Times New Roman"/>
                <w:caps w:val="0"/>
                <w:color w:val="FF0000"/>
                <w:spacing w:val="0"/>
                <w:position w:val="0"/>
                <w:highlight w:val="none"/>
                <w:lang w:val="en-US" w:eastAsia="zh-CN"/>
              </w:rPr>
              <w:t>监测指标</w:t>
            </w:r>
          </w:p>
        </w:tc>
        <w:tc>
          <w:tcPr>
            <w:tcW w:w="1595" w:type="dxa"/>
            <w:noWrap w:val="0"/>
            <w:vAlign w:val="center"/>
          </w:tcPr>
          <w:p w14:paraId="3DA0C5CD">
            <w:pPr>
              <w:pStyle w:val="42"/>
              <w:bidi w:val="0"/>
              <w:rPr>
                <w:rFonts w:hint="default" w:ascii="Times New Roman" w:hAnsi="Times New Roman" w:eastAsia="宋体" w:cs="Times New Roman"/>
                <w:caps w:val="0"/>
                <w:color w:val="FF0000"/>
                <w:spacing w:val="0"/>
                <w:position w:val="0"/>
                <w:highlight w:val="none"/>
                <w:lang w:val="en-US" w:eastAsia="zh-CN"/>
              </w:rPr>
            </w:pPr>
            <w:r>
              <w:rPr>
                <w:rFonts w:hint="default" w:ascii="Times New Roman" w:hAnsi="Times New Roman" w:eastAsia="宋体" w:cs="Times New Roman"/>
                <w:caps w:val="0"/>
                <w:color w:val="FF0000"/>
                <w:spacing w:val="0"/>
                <w:position w:val="0"/>
                <w:highlight w:val="none"/>
                <w:lang w:val="en-US" w:eastAsia="zh-CN"/>
              </w:rPr>
              <w:t>监测频次</w:t>
            </w:r>
          </w:p>
        </w:tc>
        <w:tc>
          <w:tcPr>
            <w:tcW w:w="1177" w:type="dxa"/>
            <w:vMerge w:val="restart"/>
            <w:noWrap w:val="0"/>
            <w:vAlign w:val="center"/>
          </w:tcPr>
          <w:p w14:paraId="07C9759C">
            <w:pPr>
              <w:pStyle w:val="42"/>
              <w:bidi w:val="0"/>
              <w:rPr>
                <w:rFonts w:hint="default" w:ascii="Times New Roman" w:hAnsi="Times New Roman" w:eastAsia="宋体" w:cs="Times New Roman"/>
                <w:caps w:val="0"/>
                <w:color w:val="FF0000"/>
                <w:spacing w:val="0"/>
                <w:position w:val="0"/>
                <w:highlight w:val="none"/>
                <w:lang w:val="en-US" w:eastAsia="zh-CN"/>
              </w:rPr>
            </w:pPr>
          </w:p>
        </w:tc>
      </w:tr>
      <w:tr w14:paraId="548B3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6" w:hRule="atLeast"/>
          <w:jc w:val="center"/>
        </w:trPr>
        <w:tc>
          <w:tcPr>
            <w:tcW w:w="542" w:type="dxa"/>
            <w:vMerge w:val="continue"/>
            <w:noWrap w:val="0"/>
            <w:vAlign w:val="center"/>
          </w:tcPr>
          <w:p w14:paraId="5974C4DA">
            <w:pPr>
              <w:pStyle w:val="42"/>
              <w:bidi w:val="0"/>
              <w:rPr>
                <w:rFonts w:hint="default" w:ascii="Times New Roman" w:hAnsi="Times New Roman" w:eastAsia="宋体" w:cs="Times New Roman"/>
                <w:caps w:val="0"/>
                <w:color w:val="FF0000"/>
                <w:spacing w:val="0"/>
                <w:position w:val="0"/>
                <w:highlight w:val="none"/>
                <w:lang w:val="en-US" w:eastAsia="zh-CN"/>
              </w:rPr>
            </w:pPr>
          </w:p>
        </w:tc>
        <w:tc>
          <w:tcPr>
            <w:tcW w:w="1514" w:type="dxa"/>
            <w:vMerge w:val="continue"/>
            <w:noWrap w:val="0"/>
            <w:vAlign w:val="center"/>
          </w:tcPr>
          <w:p w14:paraId="4E8E99FE">
            <w:pPr>
              <w:pStyle w:val="42"/>
              <w:bidi w:val="0"/>
              <w:rPr>
                <w:rFonts w:hint="default" w:ascii="Times New Roman" w:hAnsi="Times New Roman" w:eastAsia="宋体" w:cs="Times New Roman"/>
                <w:caps w:val="0"/>
                <w:color w:val="FF0000"/>
                <w:spacing w:val="0"/>
                <w:position w:val="0"/>
                <w:highlight w:val="none"/>
                <w:lang w:val="en-US" w:eastAsia="zh-CN"/>
              </w:rPr>
            </w:pPr>
          </w:p>
        </w:tc>
        <w:tc>
          <w:tcPr>
            <w:tcW w:w="2280" w:type="dxa"/>
            <w:gridSpan w:val="2"/>
            <w:noWrap w:val="0"/>
            <w:vAlign w:val="center"/>
          </w:tcPr>
          <w:p w14:paraId="35D43E95">
            <w:pPr>
              <w:pStyle w:val="42"/>
              <w:bidi w:val="0"/>
              <w:rPr>
                <w:rFonts w:hint="default" w:ascii="Times New Roman" w:hAnsi="Times New Roman" w:eastAsia="宋体" w:cs="Times New Roman"/>
                <w:caps w:val="0"/>
                <w:color w:val="FF0000"/>
                <w:spacing w:val="0"/>
                <w:position w:val="0"/>
                <w:highlight w:val="none"/>
                <w:lang w:val="en-US" w:eastAsia="zh-CN"/>
              </w:rPr>
            </w:pPr>
            <w:r>
              <w:rPr>
                <w:rFonts w:hint="eastAsia" w:ascii="Times New Roman" w:hAnsi="Times New Roman" w:eastAsia="宋体" w:cs="Times New Roman"/>
                <w:caps w:val="0"/>
                <w:color w:val="FF0000"/>
                <w:spacing w:val="0"/>
                <w:position w:val="0"/>
                <w:highlight w:val="none"/>
                <w:lang w:val="en-US" w:eastAsia="zh-CN"/>
              </w:rPr>
              <w:t>/</w:t>
            </w:r>
          </w:p>
        </w:tc>
        <w:tc>
          <w:tcPr>
            <w:tcW w:w="1960" w:type="dxa"/>
            <w:gridSpan w:val="3"/>
            <w:noWrap w:val="0"/>
            <w:vAlign w:val="center"/>
          </w:tcPr>
          <w:p w14:paraId="3CBBDC0E">
            <w:pPr>
              <w:pStyle w:val="42"/>
              <w:bidi w:val="0"/>
              <w:rPr>
                <w:rFonts w:hint="default" w:ascii="Times New Roman" w:hAnsi="Times New Roman" w:eastAsia="宋体" w:cs="Times New Roman"/>
                <w:caps w:val="0"/>
                <w:color w:val="FF0000"/>
                <w:spacing w:val="0"/>
                <w:position w:val="0"/>
                <w:highlight w:val="none"/>
                <w:lang w:val="en-US" w:eastAsia="zh-CN"/>
              </w:rPr>
            </w:pPr>
            <w:r>
              <w:rPr>
                <w:rFonts w:hint="eastAsia" w:ascii="Times New Roman" w:hAnsi="Times New Roman" w:eastAsia="宋体" w:cs="Times New Roman"/>
                <w:caps w:val="0"/>
                <w:color w:val="FF0000"/>
                <w:spacing w:val="0"/>
                <w:position w:val="0"/>
                <w:highlight w:val="none"/>
                <w:lang w:val="en-US" w:eastAsia="zh-CN"/>
              </w:rPr>
              <w:t>/</w:t>
            </w:r>
          </w:p>
        </w:tc>
        <w:tc>
          <w:tcPr>
            <w:tcW w:w="1595" w:type="dxa"/>
            <w:noWrap w:val="0"/>
            <w:vAlign w:val="center"/>
          </w:tcPr>
          <w:p w14:paraId="38F6CE93">
            <w:pPr>
              <w:pStyle w:val="42"/>
              <w:bidi w:val="0"/>
              <w:rPr>
                <w:rFonts w:hint="default" w:ascii="Times New Roman" w:hAnsi="Times New Roman" w:eastAsia="宋体" w:cs="Times New Roman"/>
                <w:caps w:val="0"/>
                <w:color w:val="FF0000"/>
                <w:spacing w:val="0"/>
                <w:position w:val="0"/>
                <w:highlight w:val="none"/>
                <w:lang w:val="en-US" w:eastAsia="zh-CN"/>
              </w:rPr>
            </w:pPr>
            <w:r>
              <w:rPr>
                <w:rFonts w:hint="eastAsia" w:ascii="Times New Roman" w:hAnsi="Times New Roman" w:eastAsia="宋体" w:cs="Times New Roman"/>
                <w:caps w:val="0"/>
                <w:color w:val="FF0000"/>
                <w:spacing w:val="0"/>
                <w:position w:val="0"/>
                <w:highlight w:val="none"/>
                <w:lang w:val="en-US" w:eastAsia="zh-CN"/>
              </w:rPr>
              <w:t>/</w:t>
            </w:r>
          </w:p>
        </w:tc>
        <w:tc>
          <w:tcPr>
            <w:tcW w:w="1177" w:type="dxa"/>
            <w:vMerge w:val="continue"/>
            <w:noWrap w:val="0"/>
            <w:vAlign w:val="center"/>
          </w:tcPr>
          <w:p w14:paraId="09BA862F">
            <w:pPr>
              <w:pStyle w:val="42"/>
              <w:bidi w:val="0"/>
              <w:rPr>
                <w:rFonts w:hint="default" w:ascii="Times New Roman" w:hAnsi="Times New Roman" w:eastAsia="宋体" w:cs="Times New Roman"/>
                <w:caps w:val="0"/>
                <w:color w:val="FF0000"/>
                <w:spacing w:val="0"/>
                <w:position w:val="0"/>
                <w:highlight w:val="none"/>
                <w:lang w:val="en-US" w:eastAsia="zh-CN"/>
              </w:rPr>
            </w:pPr>
          </w:p>
        </w:tc>
      </w:tr>
      <w:tr w14:paraId="3364D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21" w:hRule="atLeast"/>
          <w:jc w:val="center"/>
        </w:trPr>
        <w:tc>
          <w:tcPr>
            <w:tcW w:w="542" w:type="dxa"/>
            <w:vMerge w:val="continue"/>
            <w:noWrap w:val="0"/>
            <w:vAlign w:val="center"/>
          </w:tcPr>
          <w:p w14:paraId="1AF33004">
            <w:pPr>
              <w:pStyle w:val="42"/>
              <w:bidi w:val="0"/>
              <w:rPr>
                <w:rFonts w:hint="default" w:ascii="Times New Roman" w:hAnsi="Times New Roman" w:eastAsia="宋体" w:cs="Times New Roman"/>
                <w:caps w:val="0"/>
                <w:color w:val="FF0000"/>
                <w:spacing w:val="0"/>
                <w:position w:val="0"/>
                <w:highlight w:val="none"/>
                <w:lang w:val="en-US" w:eastAsia="zh-CN"/>
              </w:rPr>
            </w:pPr>
          </w:p>
        </w:tc>
        <w:tc>
          <w:tcPr>
            <w:tcW w:w="1514" w:type="dxa"/>
            <w:noWrap w:val="0"/>
            <w:vAlign w:val="center"/>
          </w:tcPr>
          <w:p w14:paraId="586F09D2">
            <w:pPr>
              <w:pStyle w:val="42"/>
              <w:bidi w:val="0"/>
              <w:rPr>
                <w:rFonts w:hint="default" w:ascii="Times New Roman" w:hAnsi="Times New Roman" w:eastAsia="宋体" w:cs="Times New Roman"/>
                <w:caps w:val="0"/>
                <w:color w:val="FF0000"/>
                <w:spacing w:val="0"/>
                <w:position w:val="0"/>
                <w:highlight w:val="none"/>
                <w:lang w:val="en-US" w:eastAsia="zh-CN"/>
              </w:rPr>
            </w:pPr>
            <w:r>
              <w:rPr>
                <w:rFonts w:hint="default" w:ascii="Times New Roman" w:hAnsi="Times New Roman" w:eastAsia="宋体" w:cs="Times New Roman"/>
                <w:caps w:val="0"/>
                <w:color w:val="FF0000"/>
                <w:spacing w:val="0"/>
                <w:position w:val="0"/>
                <w:highlight w:val="none"/>
                <w:lang w:val="en-US" w:eastAsia="zh-CN"/>
              </w:rPr>
              <w:t>信息公开指标</w:t>
            </w:r>
          </w:p>
        </w:tc>
        <w:tc>
          <w:tcPr>
            <w:tcW w:w="5835" w:type="dxa"/>
            <w:gridSpan w:val="6"/>
            <w:noWrap w:val="0"/>
            <w:vAlign w:val="center"/>
          </w:tcPr>
          <w:p w14:paraId="526C5F2B">
            <w:pPr>
              <w:pStyle w:val="42"/>
              <w:bidi w:val="0"/>
              <w:rPr>
                <w:rFonts w:hint="default" w:ascii="Times New Roman" w:hAnsi="Times New Roman" w:eastAsia="宋体" w:cs="Times New Roman"/>
                <w:caps w:val="0"/>
                <w:color w:val="FF0000"/>
                <w:spacing w:val="0"/>
                <w:position w:val="0"/>
                <w:highlight w:val="none"/>
                <w:lang w:val="en-US" w:eastAsia="zh-CN"/>
              </w:rPr>
            </w:pPr>
            <w:r>
              <w:rPr>
                <w:rFonts w:hint="default" w:ascii="Times New Roman" w:hAnsi="Times New Roman" w:eastAsia="宋体" w:cs="Times New Roman"/>
                <w:caps w:val="0"/>
                <w:color w:val="FF0000"/>
                <w:spacing w:val="0"/>
                <w:position w:val="0"/>
                <w:highlight w:val="none"/>
                <w:lang w:val="en-US" w:eastAsia="zh-CN"/>
              </w:rPr>
              <w:t>土壤环境跟踪监测达标情况</w:t>
            </w:r>
          </w:p>
        </w:tc>
        <w:tc>
          <w:tcPr>
            <w:tcW w:w="1177" w:type="dxa"/>
            <w:vMerge w:val="continue"/>
            <w:noWrap w:val="0"/>
            <w:vAlign w:val="center"/>
          </w:tcPr>
          <w:p w14:paraId="22EB4834">
            <w:pPr>
              <w:pStyle w:val="42"/>
              <w:bidi w:val="0"/>
              <w:rPr>
                <w:rFonts w:hint="default" w:ascii="Times New Roman" w:hAnsi="Times New Roman" w:eastAsia="宋体" w:cs="Times New Roman"/>
                <w:caps w:val="0"/>
                <w:color w:val="FF0000"/>
                <w:spacing w:val="0"/>
                <w:position w:val="0"/>
                <w:highlight w:val="none"/>
                <w:lang w:val="en-US" w:eastAsia="zh-CN"/>
              </w:rPr>
            </w:pPr>
          </w:p>
        </w:tc>
      </w:tr>
      <w:tr w14:paraId="06904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056" w:type="dxa"/>
            <w:gridSpan w:val="2"/>
            <w:noWrap w:val="0"/>
            <w:vAlign w:val="center"/>
          </w:tcPr>
          <w:p w14:paraId="14497139">
            <w:pPr>
              <w:pStyle w:val="42"/>
              <w:bidi w:val="0"/>
              <w:rPr>
                <w:rFonts w:hint="default" w:ascii="Times New Roman" w:hAnsi="Times New Roman" w:eastAsia="宋体" w:cs="Times New Roman"/>
                <w:caps w:val="0"/>
                <w:color w:val="FF0000"/>
                <w:spacing w:val="0"/>
                <w:position w:val="0"/>
                <w:highlight w:val="none"/>
                <w:lang w:val="en-US" w:eastAsia="zh-CN"/>
              </w:rPr>
            </w:pPr>
            <w:r>
              <w:rPr>
                <w:rFonts w:hint="default" w:ascii="Times New Roman" w:hAnsi="Times New Roman" w:eastAsia="宋体" w:cs="Times New Roman"/>
                <w:caps w:val="0"/>
                <w:color w:val="FF0000"/>
                <w:spacing w:val="0"/>
                <w:position w:val="0"/>
                <w:highlight w:val="none"/>
                <w:lang w:val="en-US" w:eastAsia="zh-CN"/>
              </w:rPr>
              <w:t>评价结论</w:t>
            </w:r>
          </w:p>
        </w:tc>
        <w:tc>
          <w:tcPr>
            <w:tcW w:w="5835" w:type="dxa"/>
            <w:gridSpan w:val="6"/>
            <w:noWrap w:val="0"/>
            <w:vAlign w:val="center"/>
          </w:tcPr>
          <w:p w14:paraId="07220201">
            <w:pPr>
              <w:pStyle w:val="42"/>
              <w:bidi w:val="0"/>
              <w:rPr>
                <w:rFonts w:hint="default" w:ascii="Times New Roman" w:hAnsi="Times New Roman" w:eastAsia="宋体" w:cs="Times New Roman"/>
                <w:caps w:val="0"/>
                <w:color w:val="FF0000"/>
                <w:spacing w:val="0"/>
                <w:position w:val="0"/>
                <w:highlight w:val="none"/>
                <w:lang w:val="en-US" w:eastAsia="zh-CN"/>
              </w:rPr>
            </w:pPr>
            <w:r>
              <w:rPr>
                <w:rFonts w:hint="default" w:ascii="Times New Roman" w:hAnsi="Times New Roman" w:eastAsia="宋体" w:cs="Times New Roman"/>
                <w:caps w:val="0"/>
                <w:color w:val="FF0000"/>
                <w:spacing w:val="0"/>
                <w:position w:val="0"/>
                <w:highlight w:val="none"/>
                <w:lang w:val="en-US" w:eastAsia="zh-CN"/>
              </w:rPr>
              <w:t>可接受</w:t>
            </w:r>
          </w:p>
        </w:tc>
        <w:tc>
          <w:tcPr>
            <w:tcW w:w="1177" w:type="dxa"/>
            <w:noWrap w:val="0"/>
            <w:vAlign w:val="center"/>
          </w:tcPr>
          <w:p w14:paraId="6C5A16F5">
            <w:pPr>
              <w:pStyle w:val="42"/>
              <w:bidi w:val="0"/>
              <w:rPr>
                <w:rFonts w:hint="default" w:ascii="Times New Roman" w:hAnsi="Times New Roman" w:eastAsia="宋体" w:cs="Times New Roman"/>
                <w:caps w:val="0"/>
                <w:color w:val="FF0000"/>
                <w:spacing w:val="0"/>
                <w:position w:val="0"/>
                <w:highlight w:val="none"/>
                <w:lang w:val="en-US" w:eastAsia="zh-CN"/>
              </w:rPr>
            </w:pPr>
          </w:p>
        </w:tc>
      </w:tr>
      <w:tr w14:paraId="612A4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9068" w:type="dxa"/>
            <w:gridSpan w:val="9"/>
            <w:noWrap w:val="0"/>
            <w:vAlign w:val="center"/>
          </w:tcPr>
          <w:p w14:paraId="399DC0FC">
            <w:pPr>
              <w:keepNext w:val="0"/>
              <w:keepLines w:val="0"/>
              <w:pageBreakBefore w:val="0"/>
              <w:kinsoku/>
              <w:wordWrap/>
              <w:overflowPunct/>
              <w:topLinePunct w:val="0"/>
              <w:autoSpaceDE/>
              <w:autoSpaceDN/>
              <w:bidi w:val="0"/>
              <w:adjustRightInd/>
              <w:snapToGrid/>
              <w:spacing w:line="300" w:lineRule="exact"/>
              <w:ind w:firstLine="420" w:firstLineChars="200"/>
              <w:textAlignment w:val="auto"/>
              <w:rPr>
                <w:rFonts w:hint="default" w:ascii="Times New Roman" w:hAnsi="Times New Roman" w:eastAsia="宋体" w:cs="Times New Roman"/>
                <w:caps w:val="0"/>
                <w:color w:val="FF0000"/>
                <w:spacing w:val="0"/>
                <w:position w:val="0"/>
                <w:sz w:val="21"/>
                <w:szCs w:val="21"/>
                <w:highlight w:val="none"/>
              </w:rPr>
            </w:pPr>
            <w:r>
              <w:rPr>
                <w:rFonts w:hint="default" w:ascii="Times New Roman" w:hAnsi="Times New Roman" w:eastAsia="宋体" w:cs="Times New Roman"/>
                <w:caps w:val="0"/>
                <w:color w:val="FF0000"/>
                <w:spacing w:val="0"/>
                <w:position w:val="0"/>
                <w:sz w:val="21"/>
                <w:szCs w:val="21"/>
                <w:highlight w:val="none"/>
              </w:rPr>
              <w:t>注：1、“□”为勾选项，可√；“</w:t>
            </w:r>
            <w:r>
              <w:rPr>
                <w:rFonts w:hint="default" w:ascii="Times New Roman" w:hAnsi="Times New Roman" w:eastAsia="宋体" w:cs="Times New Roman"/>
                <w:caps w:val="0"/>
                <w:color w:val="FF0000"/>
                <w:spacing w:val="0"/>
                <w:position w:val="0"/>
                <w:sz w:val="21"/>
                <w:szCs w:val="21"/>
                <w:highlight w:val="none"/>
                <w:lang w:eastAsia="zh-CN"/>
              </w:rPr>
              <w:t>(</w:t>
            </w:r>
            <w:r>
              <w:rPr>
                <w:rFonts w:hint="default" w:ascii="Times New Roman" w:hAnsi="Times New Roman" w:eastAsia="宋体" w:cs="Times New Roman"/>
                <w:caps w:val="0"/>
                <w:color w:val="FF0000"/>
                <w:spacing w:val="0"/>
                <w:position w:val="0"/>
                <w:sz w:val="21"/>
                <w:szCs w:val="21"/>
                <w:highlight w:val="none"/>
              </w:rPr>
              <w:t xml:space="preserve"> </w:t>
            </w:r>
            <w:r>
              <w:rPr>
                <w:rFonts w:hint="default" w:ascii="Times New Roman" w:hAnsi="Times New Roman" w:eastAsia="宋体" w:cs="Times New Roman"/>
                <w:caps w:val="0"/>
                <w:color w:val="FF0000"/>
                <w:spacing w:val="0"/>
                <w:position w:val="0"/>
                <w:sz w:val="21"/>
                <w:szCs w:val="21"/>
                <w:highlight w:val="none"/>
                <w:lang w:eastAsia="zh-CN"/>
              </w:rPr>
              <w:t>)</w:t>
            </w:r>
            <w:r>
              <w:rPr>
                <w:rFonts w:hint="default" w:ascii="Times New Roman" w:hAnsi="Times New Roman" w:eastAsia="宋体" w:cs="Times New Roman"/>
                <w:caps w:val="0"/>
                <w:color w:val="FF0000"/>
                <w:spacing w:val="0"/>
                <w:position w:val="0"/>
                <w:sz w:val="21"/>
                <w:szCs w:val="21"/>
                <w:highlight w:val="none"/>
              </w:rPr>
              <w:t>”为内容填写项；“备注”为其他补充内容。</w:t>
            </w:r>
          </w:p>
          <w:p w14:paraId="64D5B18E">
            <w:pPr>
              <w:keepNext w:val="0"/>
              <w:keepLines w:val="0"/>
              <w:pageBreakBefore w:val="0"/>
              <w:kinsoku/>
              <w:wordWrap/>
              <w:overflowPunct/>
              <w:topLinePunct w:val="0"/>
              <w:autoSpaceDE/>
              <w:autoSpaceDN/>
              <w:bidi w:val="0"/>
              <w:adjustRightInd/>
              <w:snapToGrid/>
              <w:spacing w:line="300" w:lineRule="exact"/>
              <w:ind w:firstLine="420" w:firstLineChars="200"/>
              <w:textAlignment w:val="auto"/>
              <w:rPr>
                <w:rFonts w:hint="default" w:ascii="Times New Roman" w:hAnsi="Times New Roman" w:eastAsia="宋体" w:cs="Times New Roman"/>
                <w:caps w:val="0"/>
                <w:color w:val="FF0000"/>
                <w:spacing w:val="0"/>
                <w:position w:val="0"/>
                <w:sz w:val="21"/>
                <w:szCs w:val="21"/>
                <w:highlight w:val="none"/>
              </w:rPr>
            </w:pPr>
            <w:r>
              <w:rPr>
                <w:rFonts w:hint="default" w:ascii="Times New Roman" w:hAnsi="Times New Roman" w:eastAsia="宋体" w:cs="Times New Roman"/>
                <w:caps w:val="0"/>
                <w:color w:val="FF0000"/>
                <w:spacing w:val="0"/>
                <w:position w:val="0"/>
                <w:sz w:val="21"/>
                <w:szCs w:val="21"/>
                <w:highlight w:val="none"/>
              </w:rPr>
              <w:t xml:space="preserve">    2、需要分别开展土壤环境影响评级工资的，分别填写自查表。</w:t>
            </w:r>
          </w:p>
        </w:tc>
      </w:tr>
      <w:bookmarkEnd w:id="328"/>
    </w:tbl>
    <w:p w14:paraId="38E917BB">
      <w:pPr>
        <w:keepNext w:val="0"/>
        <w:keepLines w:val="0"/>
        <w:pageBreakBefore w:val="0"/>
        <w:widowControl w:val="0"/>
        <w:kinsoku/>
        <w:wordWrap/>
        <w:overflowPunct/>
        <w:topLinePunct w:val="0"/>
        <w:autoSpaceDE/>
        <w:autoSpaceDN/>
        <w:bidi w:val="0"/>
        <w:adjustRightInd w:val="0"/>
        <w:snapToGrid w:val="0"/>
        <w:spacing w:line="240" w:lineRule="auto"/>
        <w:ind w:firstLine="482" w:firstLineChars="200"/>
        <w:jc w:val="both"/>
        <w:textAlignment w:val="auto"/>
        <w:rPr>
          <w:rFonts w:hint="default" w:ascii="Times New Roman" w:hAnsi="Times New Roman" w:cs="Times New Roman"/>
          <w:b/>
          <w:caps w:val="0"/>
          <w:color w:val="auto"/>
          <w:spacing w:val="0"/>
          <w:position w:val="0"/>
          <w:szCs w:val="24"/>
          <w:highlight w:val="none"/>
        </w:rPr>
      </w:pPr>
    </w:p>
    <w:p w14:paraId="748AC538">
      <w:pPr>
        <w:bidi w:val="0"/>
        <w:rPr>
          <w:rFonts w:hint="default" w:ascii="Times New Roman" w:hAnsi="Times New Roman" w:cs="Times New Roman"/>
          <w:color w:val="auto"/>
          <w:highlight w:val="none"/>
          <w:lang w:val="en-US" w:eastAsia="zh-CN"/>
        </w:rPr>
      </w:pPr>
    </w:p>
    <w:p w14:paraId="6ADC987F">
      <w:pPr>
        <w:pStyle w:val="4"/>
        <w:bidi w:val="0"/>
        <w:rPr>
          <w:rFonts w:hint="default"/>
        </w:rPr>
      </w:pPr>
      <w:r>
        <w:rPr>
          <w:rFonts w:hint="default"/>
        </w:rPr>
        <w:t>固体废物环境影响分析</w:t>
      </w:r>
    </w:p>
    <w:p w14:paraId="199C1574">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本项目产生的固体废物主要为员工生活垃圾</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矿山在初期开采时剥离的表土，</w:t>
      </w:r>
      <w:r>
        <w:rPr>
          <w:rFonts w:hint="default" w:ascii="Times New Roman" w:hAnsi="Times New Roman" w:cs="Times New Roman"/>
          <w:color w:val="auto"/>
          <w:sz w:val="24"/>
          <w:szCs w:val="24"/>
          <w:highlight w:val="none"/>
        </w:rPr>
        <w:t>矿山开采过程中产生的筛分废料</w:t>
      </w:r>
      <w:r>
        <w:rPr>
          <w:rFonts w:hint="eastAsia" w:cs="Times New Roman"/>
          <w:color w:val="auto"/>
          <w:sz w:val="24"/>
          <w:szCs w:val="24"/>
          <w:highlight w:val="none"/>
          <w:lang w:val="en-US" w:eastAsia="zh-CN"/>
        </w:rPr>
        <w:t>以及机修产生的废矿物油及废油桶</w:t>
      </w:r>
      <w:r>
        <w:rPr>
          <w:rFonts w:hint="default" w:ascii="Times New Roman" w:hAnsi="Times New Roman" w:cs="Times New Roman"/>
          <w:color w:val="auto"/>
          <w:sz w:val="24"/>
          <w:szCs w:val="24"/>
          <w:highlight w:val="none"/>
        </w:rPr>
        <w:t>。</w:t>
      </w:r>
    </w:p>
    <w:p w14:paraId="1FC595AD">
      <w:pPr>
        <w:pStyle w:val="5"/>
        <w:bidi w:val="0"/>
        <w:rPr>
          <w:rFonts w:hint="default"/>
        </w:rPr>
      </w:pPr>
      <w:bookmarkStart w:id="329" w:name="5.2.4.1生活垃圾排放影响分析"/>
      <w:bookmarkEnd w:id="329"/>
      <w:bookmarkStart w:id="330" w:name="_Toc1038"/>
      <w:r>
        <w:rPr>
          <w:rFonts w:hint="default"/>
        </w:rPr>
        <w:t>生活垃圾排放影响分析</w:t>
      </w:r>
      <w:bookmarkEnd w:id="330"/>
    </w:p>
    <w:p w14:paraId="2281E43A">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项目建成投入使用后，职工日常生活过程中产生一定量的生活垃圾，产生量约</w:t>
      </w:r>
      <w:r>
        <w:rPr>
          <w:rFonts w:hint="default" w:ascii="Times New Roman" w:hAnsi="Times New Roman" w:cs="Times New Roman"/>
          <w:color w:val="auto"/>
          <w:sz w:val="24"/>
          <w:szCs w:val="24"/>
          <w:highlight w:val="none"/>
          <w:lang w:eastAsia="zh-CN"/>
        </w:rPr>
        <w:t>9.6</w:t>
      </w:r>
      <w:r>
        <w:rPr>
          <w:rFonts w:hint="default" w:ascii="Times New Roman" w:hAnsi="Times New Roman" w:cs="Times New Roman"/>
          <w:color w:val="auto"/>
          <w:sz w:val="24"/>
          <w:szCs w:val="24"/>
          <w:highlight w:val="none"/>
        </w:rPr>
        <w:t>t/a。生活垃圾</w:t>
      </w:r>
      <w:r>
        <w:rPr>
          <w:rFonts w:hint="default" w:ascii="Times New Roman" w:hAnsi="Times New Roman" w:cs="Times New Roman"/>
          <w:color w:val="auto"/>
          <w:sz w:val="24"/>
          <w:szCs w:val="24"/>
          <w:highlight w:val="none"/>
          <w:lang w:val="en-US" w:eastAsia="zh-CN"/>
        </w:rPr>
        <w:t>在矿区采用垃圾箱</w:t>
      </w:r>
      <w:r>
        <w:rPr>
          <w:rFonts w:hint="default" w:ascii="Times New Roman" w:hAnsi="Times New Roman" w:cs="Times New Roman"/>
          <w:color w:val="auto"/>
          <w:sz w:val="24"/>
          <w:szCs w:val="24"/>
          <w:highlight w:val="none"/>
        </w:rPr>
        <w:t>集中收集后定期拉运至阜康市生活垃圾填埋场处置。生活垃圾按要求妥善处置后对区域环境影响很小。</w:t>
      </w:r>
    </w:p>
    <w:p w14:paraId="2C528271">
      <w:pPr>
        <w:pStyle w:val="5"/>
        <w:bidi w:val="0"/>
        <w:rPr>
          <w:rFonts w:hint="default"/>
        </w:rPr>
      </w:pPr>
      <w:bookmarkStart w:id="331" w:name="5.2.4.2堆场对环境影响分析"/>
      <w:bookmarkEnd w:id="331"/>
      <w:bookmarkStart w:id="332" w:name="_Toc10103"/>
      <w:r>
        <w:rPr>
          <w:rFonts w:hint="default"/>
          <w:lang w:val="en-US" w:eastAsia="zh-CN"/>
        </w:rPr>
        <w:t>机修废矿物油排放环境影响分析</w:t>
      </w:r>
      <w:bookmarkEnd w:id="332"/>
    </w:p>
    <w:p w14:paraId="0EF18077">
      <w:pPr>
        <w:pStyle w:val="6"/>
        <w:bidi w:val="0"/>
        <w:rPr>
          <w:rFonts w:hint="default"/>
          <w:lang w:val="en-US" w:eastAsia="zh-CN"/>
        </w:rPr>
      </w:pPr>
      <w:r>
        <w:rPr>
          <w:rFonts w:hint="eastAsia"/>
          <w:lang w:val="en-US" w:eastAsia="zh-CN"/>
        </w:rPr>
        <w:t>机修废矿物油产生量及处置方式</w:t>
      </w:r>
    </w:p>
    <w:p w14:paraId="000C5A78">
      <w:pPr>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废矿物油及废油桶产生量约0.5t/a，本项目在工业广场设置危废贮存点一处，该贮存点按照</w:t>
      </w:r>
      <w:r>
        <w:rPr>
          <w:rFonts w:hint="default" w:ascii="Times New Roman" w:hAnsi="Times New Roman" w:cs="Times New Roman"/>
          <w:color w:val="auto"/>
          <w:highlight w:val="none"/>
          <w:lang w:eastAsia="zh-CN"/>
        </w:rPr>
        <w:t>《危险废物贮存污染控制标准》（GB18597-2023）</w:t>
      </w:r>
      <w:r>
        <w:rPr>
          <w:rFonts w:hint="default" w:ascii="Times New Roman" w:hAnsi="Times New Roman" w:cs="Times New Roman"/>
          <w:color w:val="auto"/>
          <w:sz w:val="24"/>
          <w:szCs w:val="24"/>
          <w:highlight w:val="none"/>
          <w:lang w:val="en-US" w:eastAsia="zh-CN"/>
        </w:rPr>
        <w:t>进行设置，废矿物油及废油桶临时贮存，委托有资质的单位代为处置。</w:t>
      </w:r>
    </w:p>
    <w:p w14:paraId="69219D4A">
      <w:pPr>
        <w:pStyle w:val="6"/>
        <w:bidi w:val="0"/>
        <w:rPr>
          <w:rFonts w:hint="default"/>
        </w:rPr>
      </w:pPr>
      <w:r>
        <w:rPr>
          <w:rFonts w:hint="default"/>
        </w:rPr>
        <w:t>危险废物环境管理要求</w:t>
      </w:r>
    </w:p>
    <w:p w14:paraId="14BD079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FF0000"/>
          <w:spacing w:val="0"/>
          <w:sz w:val="24"/>
          <w:szCs w:val="24"/>
          <w:highlight w:val="none"/>
          <w:lang w:val="en-US" w:eastAsia="zh-CN"/>
        </w:rPr>
      </w:pPr>
      <w:r>
        <w:rPr>
          <w:rFonts w:hint="default" w:ascii="Times New Roman" w:hAnsi="Times New Roman" w:eastAsia="宋体" w:cs="Times New Roman"/>
          <w:color w:val="FF0000"/>
          <w:spacing w:val="0"/>
          <w:sz w:val="24"/>
          <w:szCs w:val="24"/>
          <w:highlight w:val="none"/>
          <w:lang w:val="en-US" w:eastAsia="zh-CN"/>
        </w:rPr>
        <w:t>（1）危险废物贮存设施</w:t>
      </w:r>
    </w:p>
    <w:p w14:paraId="6B7DF2A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FF0000"/>
          <w:spacing w:val="0"/>
          <w:sz w:val="24"/>
          <w:szCs w:val="24"/>
          <w:highlight w:val="none"/>
          <w:lang w:val="en-US" w:eastAsia="zh-CN"/>
        </w:rPr>
      </w:pPr>
      <w:r>
        <w:rPr>
          <w:rFonts w:hint="default" w:ascii="Times New Roman" w:hAnsi="Times New Roman" w:eastAsia="宋体" w:cs="Times New Roman"/>
          <w:color w:val="FF0000"/>
          <w:spacing w:val="0"/>
          <w:sz w:val="24"/>
          <w:szCs w:val="24"/>
          <w:highlight w:val="none"/>
          <w:lang w:val="en-US" w:eastAsia="zh-CN"/>
        </w:rPr>
        <w:t>根据《危险废物管理计划和管理台账制定技术导则》(HJ1259-2022)4.2 分类管理，c） 危险废物登记管理单位：同一生产经营场所危险废物年产生量10 t以下且未纳入危险废物环境重点监管单位的单位。本单位是危险废物登记管理单位的为危险废物登记管理单位。本单位危废产生量为0.5t/a，且未纳入危险废物环境重点监管单位，是危险废物登记管理单位。</w:t>
      </w:r>
    </w:p>
    <w:p w14:paraId="762C56F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FF0000"/>
          <w:spacing w:val="0"/>
          <w:sz w:val="24"/>
          <w:szCs w:val="24"/>
          <w:lang w:val="en-US" w:eastAsia="zh-CN"/>
        </w:rPr>
      </w:pPr>
      <w:r>
        <w:rPr>
          <w:rFonts w:hint="default" w:ascii="Times New Roman" w:hAnsi="Times New Roman" w:eastAsia="宋体" w:cs="Times New Roman"/>
          <w:color w:val="FF0000"/>
          <w:spacing w:val="0"/>
          <w:sz w:val="24"/>
          <w:szCs w:val="24"/>
          <w:lang w:val="en-US" w:eastAsia="zh-CN"/>
        </w:rPr>
        <w:t>危废贮存点防渗要求按《危险废物贮存污染控制标准》（GB18597-2023）要求设置，贮存点应具有固定的区域边界，并应采取与其他区域进行隔离的措施；贮存点应采取防风、防雨、防晒和防止危险废物流失、扬散等措施；贮存点贮存的危险废物应置于容器或包装物中，不应直接散堆；贮存点应根据危险废物的形态、物理化学性质、包装形式等，采取防渗、防漏等污染防治措施，或采用具有相应功能的装置；贮存点应及时清运贮存的危险废物，实时贮存量不应超过3吨。本项目在预留的库房一角设置危废贮存点一处，面积20m</w:t>
      </w:r>
      <w:r>
        <w:rPr>
          <w:rFonts w:hint="default" w:ascii="Times New Roman" w:hAnsi="Times New Roman" w:eastAsia="宋体" w:cs="Times New Roman"/>
          <w:color w:val="FF0000"/>
          <w:spacing w:val="0"/>
          <w:sz w:val="24"/>
          <w:szCs w:val="24"/>
          <w:vertAlign w:val="superscript"/>
          <w:lang w:val="en-US" w:eastAsia="zh-CN"/>
        </w:rPr>
        <w:t>2</w:t>
      </w:r>
      <w:r>
        <w:rPr>
          <w:rFonts w:hint="default" w:ascii="Times New Roman" w:hAnsi="Times New Roman" w:eastAsia="宋体" w:cs="Times New Roman"/>
          <w:color w:val="FF0000"/>
          <w:spacing w:val="0"/>
          <w:sz w:val="24"/>
          <w:szCs w:val="24"/>
          <w:lang w:val="en-US" w:eastAsia="zh-CN"/>
        </w:rPr>
        <w:t>。</w:t>
      </w:r>
    </w:p>
    <w:p w14:paraId="746AF09A">
      <w:pPr>
        <w:keepNext w:val="0"/>
        <w:keepLines w:val="0"/>
        <w:pageBreakBefore w:val="0"/>
        <w:suppressLineNumbers w:val="0"/>
        <w:kinsoku/>
        <w:overflowPunct/>
        <w:topLinePunct w:val="0"/>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FF0000"/>
          <w:sz w:val="24"/>
          <w:szCs w:val="24"/>
          <w:highlight w:val="none"/>
          <w:lang w:val="en-US" w:eastAsia="zh-CN"/>
        </w:rPr>
      </w:pPr>
      <w:r>
        <w:rPr>
          <w:rFonts w:hint="default" w:ascii="Times New Roman" w:hAnsi="Times New Roman" w:eastAsia="宋体" w:cs="Times New Roman"/>
          <w:color w:val="FF0000"/>
          <w:sz w:val="24"/>
          <w:szCs w:val="24"/>
          <w:highlight w:val="none"/>
          <w:lang w:val="en-US" w:eastAsia="zh-CN"/>
        </w:rPr>
        <w:t>（2）危废安全收集、贮存、转移技术要求</w:t>
      </w:r>
    </w:p>
    <w:p w14:paraId="4EDC9E9D">
      <w:pPr>
        <w:keepNext w:val="0"/>
        <w:keepLines w:val="0"/>
        <w:pageBreakBefore w:val="0"/>
        <w:suppressLineNumbers w:val="0"/>
        <w:kinsoku/>
        <w:overflowPunct/>
        <w:topLinePunct w:val="0"/>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FF0000"/>
          <w:sz w:val="24"/>
          <w:szCs w:val="24"/>
          <w:highlight w:val="none"/>
          <w:lang w:val="en-US" w:eastAsia="zh-CN"/>
        </w:rPr>
      </w:pPr>
      <w:r>
        <w:rPr>
          <w:rFonts w:hint="default" w:ascii="Times New Roman" w:hAnsi="Times New Roman" w:eastAsia="宋体" w:cs="Times New Roman"/>
          <w:color w:val="FF0000"/>
          <w:sz w:val="24"/>
          <w:szCs w:val="24"/>
          <w:highlight w:val="none"/>
          <w:lang w:val="en-US" w:eastAsia="zh-CN"/>
        </w:rPr>
        <w:t>依据《一般工业固体废物管理台账制定指南（试行）》和《</w:t>
      </w:r>
      <w:r>
        <w:rPr>
          <w:rFonts w:hint="default" w:ascii="Times New Roman" w:hAnsi="Times New Roman" w:eastAsia="宋体" w:cs="Times New Roman"/>
          <w:color w:val="FF0000"/>
          <w:sz w:val="24"/>
          <w:szCs w:val="24"/>
          <w:highlight w:val="none"/>
          <w:lang w:val="en-US" w:eastAsia="zh-CN"/>
        </w:rPr>
        <w:fldChar w:fldCharType="begin"/>
      </w:r>
      <w:r>
        <w:rPr>
          <w:rFonts w:hint="default" w:ascii="Times New Roman" w:hAnsi="Times New Roman" w:eastAsia="宋体" w:cs="Times New Roman"/>
          <w:color w:val="FF0000"/>
          <w:sz w:val="24"/>
          <w:szCs w:val="24"/>
          <w:highlight w:val="none"/>
          <w:lang w:val="en-US" w:eastAsia="zh-CN"/>
        </w:rPr>
        <w:instrText xml:space="preserve"> HYPERLINK "https://www.mee.gov.cn/gkml/hbb/bgg/201601/W020160128385366835993.pdf" </w:instrText>
      </w:r>
      <w:r>
        <w:rPr>
          <w:rFonts w:hint="default" w:ascii="Times New Roman" w:hAnsi="Times New Roman" w:eastAsia="宋体" w:cs="Times New Roman"/>
          <w:color w:val="FF0000"/>
          <w:sz w:val="24"/>
          <w:szCs w:val="24"/>
          <w:highlight w:val="none"/>
          <w:lang w:val="en-US" w:eastAsia="zh-CN"/>
        </w:rPr>
        <w:fldChar w:fldCharType="separate"/>
      </w:r>
      <w:r>
        <w:rPr>
          <w:rFonts w:hint="default" w:ascii="Times New Roman" w:hAnsi="Times New Roman" w:eastAsia="宋体" w:cs="Times New Roman"/>
          <w:color w:val="FF0000"/>
          <w:sz w:val="24"/>
          <w:szCs w:val="24"/>
          <w:highlight w:val="none"/>
          <w:lang w:val="en-US" w:eastAsia="zh-CN"/>
        </w:rPr>
        <w:t>危险废物管理计划和</w:t>
      </w:r>
      <w:r>
        <w:rPr>
          <w:rFonts w:hint="default" w:ascii="Times New Roman" w:hAnsi="Times New Roman" w:eastAsia="宋体" w:cs="Times New Roman"/>
          <w:color w:val="FF0000"/>
          <w:sz w:val="24"/>
          <w:szCs w:val="24"/>
          <w:highlight w:val="none"/>
          <w:lang w:val="en-US" w:eastAsia="zh-CN"/>
        </w:rPr>
        <w:fldChar w:fldCharType="end"/>
      </w:r>
      <w:r>
        <w:rPr>
          <w:rFonts w:hint="default" w:ascii="Times New Roman" w:hAnsi="Times New Roman" w:eastAsia="宋体" w:cs="Times New Roman"/>
          <w:color w:val="FF0000"/>
          <w:sz w:val="24"/>
          <w:szCs w:val="24"/>
          <w:highlight w:val="none"/>
          <w:lang w:val="en-US" w:eastAsia="zh-CN"/>
        </w:rPr>
        <w:t>管理台账制定技术导则》《危险废物转移管理办法</w:t>
      </w:r>
      <w:bookmarkStart w:id="333" w:name="OLE_LINK2"/>
      <w:r>
        <w:rPr>
          <w:rFonts w:hint="default" w:ascii="Times New Roman" w:hAnsi="Times New Roman" w:eastAsia="宋体" w:cs="Times New Roman"/>
          <w:color w:val="FF0000"/>
          <w:sz w:val="24"/>
          <w:szCs w:val="24"/>
          <w:highlight w:val="none"/>
          <w:lang w:val="en-US" w:eastAsia="zh-CN"/>
        </w:rPr>
        <w:t>》</w:t>
      </w:r>
      <w:bookmarkEnd w:id="333"/>
      <w:r>
        <w:rPr>
          <w:rFonts w:hint="default" w:ascii="Times New Roman" w:hAnsi="Times New Roman" w:eastAsia="宋体" w:cs="Times New Roman"/>
          <w:color w:val="FF0000"/>
          <w:sz w:val="24"/>
          <w:szCs w:val="24"/>
          <w:highlight w:val="none"/>
          <w:lang w:val="en-US" w:eastAsia="zh-CN"/>
        </w:rPr>
        <w:t>《固体废物污染环境防治信息发布指南》《危险废物识别标识设置技术规范》（HJ1276-2022），对危废安全收集、贮存、转移提出以下要求：</w:t>
      </w:r>
    </w:p>
    <w:p w14:paraId="3ADA72DD">
      <w:pPr>
        <w:keepNext w:val="0"/>
        <w:keepLines w:val="0"/>
        <w:pageBreakBefore w:val="0"/>
        <w:suppressLineNumbers w:val="0"/>
        <w:kinsoku/>
        <w:overflowPunct/>
        <w:topLinePunct w:val="0"/>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FF0000"/>
          <w:sz w:val="24"/>
          <w:szCs w:val="24"/>
          <w:highlight w:val="none"/>
          <w:lang w:val="en-US" w:eastAsia="zh-CN"/>
        </w:rPr>
      </w:pPr>
      <w:r>
        <w:rPr>
          <w:rFonts w:hint="default" w:ascii="Times New Roman" w:hAnsi="Times New Roman" w:eastAsia="宋体" w:cs="Times New Roman"/>
          <w:color w:val="FF0000"/>
          <w:sz w:val="24"/>
          <w:szCs w:val="24"/>
          <w:highlight w:val="none"/>
          <w:lang w:val="en-US" w:eastAsia="zh-CN"/>
        </w:rPr>
        <w:t>1）危险废物产生、收集</w:t>
      </w:r>
    </w:p>
    <w:p w14:paraId="329DED84">
      <w:pPr>
        <w:keepNext w:val="0"/>
        <w:keepLines w:val="0"/>
        <w:pageBreakBefore w:val="0"/>
        <w:suppressLineNumbers w:val="0"/>
        <w:kinsoku/>
        <w:overflowPunct/>
        <w:topLinePunct w:val="0"/>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FF0000"/>
          <w:sz w:val="24"/>
          <w:szCs w:val="24"/>
          <w:highlight w:val="none"/>
          <w:lang w:val="en-US" w:eastAsia="zh-CN"/>
        </w:rPr>
      </w:pPr>
      <w:r>
        <w:rPr>
          <w:rFonts w:hint="default" w:ascii="Times New Roman" w:hAnsi="Times New Roman" w:eastAsia="宋体" w:cs="Times New Roman"/>
          <w:color w:val="FF0000"/>
          <w:sz w:val="24"/>
          <w:szCs w:val="24"/>
          <w:highlight w:val="none"/>
          <w:lang w:val="en-US" w:eastAsia="zh-CN"/>
        </w:rPr>
        <w:t>危险废物在收集时，按《危险废物转移管理管理办法》要求，根据危险废物的性质和形态，采用相应材质、容器进行安全包装，并在包装的明显位置附上危险废物标签。通过严格检查，严防在装载、搬运或运输中出现渗漏、溢出、抛洒或挥发等不利情况。</w:t>
      </w:r>
    </w:p>
    <w:p w14:paraId="39585974">
      <w:pPr>
        <w:keepNext w:val="0"/>
        <w:keepLines w:val="0"/>
        <w:pageBreakBefore w:val="0"/>
        <w:suppressLineNumbers w:val="0"/>
        <w:kinsoku/>
        <w:overflowPunct/>
        <w:topLinePunct w:val="0"/>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FF0000"/>
          <w:sz w:val="24"/>
          <w:szCs w:val="24"/>
          <w:highlight w:val="none"/>
          <w:lang w:val="en-US" w:eastAsia="zh-CN"/>
        </w:rPr>
      </w:pPr>
      <w:r>
        <w:rPr>
          <w:rFonts w:hint="default" w:ascii="Times New Roman" w:hAnsi="Times New Roman" w:eastAsia="宋体" w:cs="Times New Roman"/>
          <w:color w:val="FF0000"/>
          <w:sz w:val="24"/>
          <w:szCs w:val="24"/>
          <w:highlight w:val="none"/>
          <w:lang w:val="en-US" w:eastAsia="zh-CN"/>
        </w:rPr>
        <w:t>2）贮存</w:t>
      </w:r>
    </w:p>
    <w:p w14:paraId="4F348ACF">
      <w:pPr>
        <w:keepNext w:val="0"/>
        <w:keepLines w:val="0"/>
        <w:pageBreakBefore w:val="0"/>
        <w:suppressLineNumbers w:val="0"/>
        <w:kinsoku/>
        <w:overflowPunct/>
        <w:topLinePunct w:val="0"/>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FF0000"/>
          <w:sz w:val="24"/>
          <w:szCs w:val="24"/>
          <w:highlight w:val="none"/>
          <w:lang w:val="en-US" w:eastAsia="zh-CN"/>
        </w:rPr>
      </w:pPr>
      <w:r>
        <w:rPr>
          <w:rFonts w:hint="default" w:ascii="Times New Roman" w:hAnsi="Times New Roman" w:eastAsia="宋体" w:cs="Times New Roman"/>
          <w:color w:val="FF0000"/>
          <w:sz w:val="24"/>
          <w:szCs w:val="24"/>
          <w:highlight w:val="none"/>
          <w:lang w:val="en-US" w:eastAsia="zh-CN"/>
        </w:rPr>
        <w:t>项目危险废物贮存的贮存点所严格按照《危险废物贮存污染控制标准》（GB18597-2023）的要求规范建设和维护使用，做到防扩散、防流失、防渗漏等措施，具体情况如下：</w:t>
      </w:r>
    </w:p>
    <w:p w14:paraId="5B20696B">
      <w:pPr>
        <w:keepNext w:val="0"/>
        <w:keepLines w:val="0"/>
        <w:pageBreakBefore w:val="0"/>
        <w:suppressLineNumbers w:val="0"/>
        <w:kinsoku/>
        <w:overflowPunct/>
        <w:topLinePunct w:val="0"/>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FF0000"/>
          <w:sz w:val="24"/>
          <w:szCs w:val="24"/>
          <w:highlight w:val="none"/>
          <w:lang w:val="en-US" w:eastAsia="zh-CN"/>
        </w:rPr>
      </w:pPr>
      <w:r>
        <w:rPr>
          <w:rFonts w:hint="default" w:ascii="Times New Roman" w:hAnsi="Times New Roman" w:eastAsia="宋体" w:cs="Times New Roman"/>
          <w:color w:val="FF0000"/>
          <w:sz w:val="24"/>
          <w:szCs w:val="24"/>
          <w:highlight w:val="none"/>
          <w:lang w:val="en-US" w:eastAsia="zh-CN"/>
        </w:rPr>
        <w:t>①在危险废物贮存点所显著位置张贴危险废物的标识，根据《危险废物贮存污染控制标准》（GB18597-2023）、《危险废物识别标识设置技术规范》（HJ1276-2022）的相关要求，盛装危险废物的容器上必须粘贴符合标准的标签。</w:t>
      </w:r>
    </w:p>
    <w:p w14:paraId="0972F70A">
      <w:pPr>
        <w:keepNext w:val="0"/>
        <w:keepLines w:val="0"/>
        <w:pageBreakBefore w:val="0"/>
        <w:suppressLineNumbers w:val="0"/>
        <w:kinsoku/>
        <w:overflowPunct/>
        <w:topLinePunct w:val="0"/>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FF0000"/>
          <w:sz w:val="24"/>
          <w:szCs w:val="24"/>
          <w:highlight w:val="none"/>
          <w:lang w:val="en-US" w:eastAsia="zh-CN"/>
        </w:rPr>
      </w:pPr>
      <w:r>
        <w:rPr>
          <w:rFonts w:hint="default" w:ascii="Times New Roman" w:hAnsi="Times New Roman" w:eastAsia="宋体" w:cs="Times New Roman"/>
          <w:color w:val="FF0000"/>
          <w:sz w:val="24"/>
          <w:szCs w:val="24"/>
          <w:highlight w:val="none"/>
          <w:lang w:val="en-US" w:eastAsia="zh-CN"/>
        </w:rPr>
        <w:t>②本项目危险废物贮存点按照《危险废物贮存污染控制标准》（GB18597-2023）的要求进行建设，设置防渗、防漏等措施。</w:t>
      </w:r>
    </w:p>
    <w:p w14:paraId="7DC449D3">
      <w:pPr>
        <w:keepNext w:val="0"/>
        <w:keepLines w:val="0"/>
        <w:pageBreakBefore w:val="0"/>
        <w:suppressLineNumbers w:val="0"/>
        <w:kinsoku/>
        <w:overflowPunct/>
        <w:topLinePunct w:val="0"/>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FF0000"/>
          <w:spacing w:val="0"/>
          <w:sz w:val="24"/>
          <w:szCs w:val="24"/>
          <w:lang w:val="en-US" w:eastAsia="zh-CN"/>
        </w:rPr>
      </w:pPr>
      <w:r>
        <w:rPr>
          <w:rFonts w:hint="default" w:ascii="Times New Roman" w:hAnsi="Times New Roman" w:eastAsia="宋体" w:cs="Times New Roman"/>
          <w:color w:val="FF0000"/>
          <w:sz w:val="24"/>
          <w:szCs w:val="24"/>
          <w:highlight w:val="none"/>
          <w:lang w:val="en-US" w:eastAsia="zh-CN"/>
        </w:rPr>
        <w:t>③贮存场所地面按照《危险废物贮存污染控制标准》（GB18597-2023）的要求建设，</w:t>
      </w:r>
      <w:r>
        <w:rPr>
          <w:rFonts w:hint="default" w:ascii="Times New Roman" w:hAnsi="Times New Roman" w:eastAsia="宋体" w:cs="Times New Roman"/>
          <w:color w:val="FF0000"/>
          <w:spacing w:val="0"/>
          <w:sz w:val="24"/>
          <w:szCs w:val="24"/>
          <w:lang w:val="en-US" w:eastAsia="zh-CN"/>
        </w:rPr>
        <w:t>贮存点应根据危险废物的形态、物理化学性质、包装形式等，采取防渗、防漏等污染防治措施，本项目危险废物主要为维修过程产生的废矿物油以及检验室固废和检验废液，采用兼容桶装形式存放，因此贮存点地面做防渗处理，采取防风、防晒措施。</w:t>
      </w:r>
    </w:p>
    <w:p w14:paraId="6272D7A1">
      <w:pPr>
        <w:keepNext w:val="0"/>
        <w:keepLines w:val="0"/>
        <w:pageBreakBefore w:val="0"/>
        <w:suppressLineNumbers w:val="0"/>
        <w:kinsoku/>
        <w:overflowPunct/>
        <w:topLinePunct w:val="0"/>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FF0000"/>
          <w:sz w:val="24"/>
          <w:szCs w:val="24"/>
          <w:highlight w:val="none"/>
          <w:lang w:val="en-US" w:eastAsia="zh-CN"/>
        </w:rPr>
      </w:pPr>
      <w:r>
        <w:rPr>
          <w:rFonts w:hint="default" w:ascii="Times New Roman" w:hAnsi="Times New Roman" w:eastAsia="宋体" w:cs="Times New Roman"/>
          <w:color w:val="FF0000"/>
          <w:sz w:val="24"/>
          <w:szCs w:val="24"/>
          <w:highlight w:val="none"/>
          <w:lang w:val="en-US" w:eastAsia="zh-CN"/>
        </w:rPr>
        <w:fldChar w:fldCharType="begin"/>
      </w:r>
      <w:r>
        <w:rPr>
          <w:rFonts w:hint="default" w:ascii="Times New Roman" w:hAnsi="Times New Roman" w:eastAsia="宋体" w:cs="Times New Roman"/>
          <w:color w:val="FF0000"/>
          <w:sz w:val="24"/>
          <w:szCs w:val="24"/>
          <w:highlight w:val="none"/>
          <w:lang w:val="en-US" w:eastAsia="zh-CN"/>
        </w:rPr>
        <w:instrText xml:space="preserve"> = 3 \* GB3 \* MERGEFORMAT </w:instrText>
      </w:r>
      <w:r>
        <w:rPr>
          <w:rFonts w:hint="default" w:ascii="Times New Roman" w:hAnsi="Times New Roman" w:eastAsia="宋体" w:cs="Times New Roman"/>
          <w:color w:val="FF0000"/>
          <w:sz w:val="24"/>
          <w:szCs w:val="24"/>
          <w:highlight w:val="none"/>
          <w:lang w:val="en-US" w:eastAsia="zh-CN"/>
        </w:rPr>
        <w:fldChar w:fldCharType="separate"/>
      </w:r>
      <w:r>
        <w:rPr>
          <w:rFonts w:hint="default" w:ascii="Times New Roman" w:hAnsi="Times New Roman" w:eastAsia="宋体" w:cs="Times New Roman"/>
          <w:color w:val="FF0000"/>
          <w:sz w:val="24"/>
          <w:szCs w:val="24"/>
          <w:highlight w:val="none"/>
          <w:lang w:val="en-US" w:eastAsia="zh-CN"/>
        </w:rPr>
        <w:t>③</w:t>
      </w:r>
      <w:r>
        <w:rPr>
          <w:rFonts w:hint="default" w:ascii="Times New Roman" w:hAnsi="Times New Roman" w:eastAsia="宋体" w:cs="Times New Roman"/>
          <w:color w:val="FF0000"/>
          <w:sz w:val="24"/>
          <w:szCs w:val="24"/>
          <w:highlight w:val="none"/>
          <w:lang w:val="en-US" w:eastAsia="zh-CN"/>
        </w:rPr>
        <w:fldChar w:fldCharType="end"/>
      </w:r>
      <w:r>
        <w:rPr>
          <w:rFonts w:hint="default" w:ascii="Times New Roman" w:hAnsi="Times New Roman" w:eastAsia="宋体" w:cs="Times New Roman"/>
          <w:color w:val="FF0000"/>
          <w:sz w:val="24"/>
          <w:szCs w:val="24"/>
          <w:highlight w:val="none"/>
          <w:lang w:val="en-US" w:eastAsia="zh-CN"/>
        </w:rPr>
        <w:t>运输、转移</w:t>
      </w:r>
    </w:p>
    <w:p w14:paraId="3673B420">
      <w:pPr>
        <w:keepNext w:val="0"/>
        <w:keepLines w:val="0"/>
        <w:pageBreakBefore w:val="0"/>
        <w:suppressLineNumbers w:val="0"/>
        <w:kinsoku/>
        <w:overflowPunct/>
        <w:topLinePunct w:val="0"/>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FF0000"/>
          <w:sz w:val="24"/>
          <w:szCs w:val="24"/>
          <w:highlight w:val="none"/>
          <w:lang w:val="en-US" w:eastAsia="zh-CN"/>
        </w:rPr>
      </w:pPr>
      <w:r>
        <w:rPr>
          <w:rFonts w:hint="default" w:ascii="Times New Roman" w:hAnsi="Times New Roman" w:eastAsia="宋体" w:cs="Times New Roman"/>
          <w:color w:val="FF0000"/>
          <w:sz w:val="24"/>
          <w:szCs w:val="24"/>
          <w:highlight w:val="none"/>
          <w:lang w:val="en-US" w:eastAsia="zh-CN"/>
        </w:rPr>
        <w:t>危险废物自贮存点外运至处置单位的运输过程，由有资质危废处置单位处置，危废处置单位使用专用车辆，至厂内收集、转移本项目暂存的危险废物。危险废物转移严格按照《危险废物转移管理办法》（部令第23号）执行，危险废物移出人、危险废物承运人、危险废物接受人在危险废物转移过程中应当采取防扬散、防流失、防渗漏或者其他防止污染环境的措施，不得擅自倾倒、堆放、丢弃、遗撒危险废物，并对所造成的环境污染及生态破坏依法承担责任。移出人、承运人、接受人应当依法制定突发环境事件的防范措施和应急预案，并报有关部门备案；发生危险废物突发环境事件时，应当立即采取有效措施消除或者减轻对环境的污染危害，并按相关规定向事故发生地有关部门报告，接受调查处理。</w:t>
      </w:r>
    </w:p>
    <w:p w14:paraId="538A375B">
      <w:pPr>
        <w:keepNext w:val="0"/>
        <w:keepLines w:val="0"/>
        <w:pageBreakBefore w:val="0"/>
        <w:suppressLineNumbers w:val="0"/>
        <w:kinsoku/>
        <w:overflowPunct/>
        <w:topLinePunct w:val="0"/>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FF0000"/>
          <w:sz w:val="24"/>
          <w:szCs w:val="24"/>
          <w:highlight w:val="none"/>
          <w:lang w:val="en-US" w:eastAsia="zh-CN"/>
        </w:rPr>
      </w:pPr>
      <w:r>
        <w:rPr>
          <w:rFonts w:hint="default" w:ascii="Times New Roman" w:hAnsi="Times New Roman" w:eastAsia="宋体" w:cs="Times New Roman"/>
          <w:color w:val="FF0000"/>
          <w:sz w:val="24"/>
          <w:szCs w:val="24"/>
          <w:highlight w:val="none"/>
          <w:lang w:val="en-US" w:eastAsia="zh-CN"/>
        </w:rPr>
        <w:fldChar w:fldCharType="begin"/>
      </w:r>
      <w:r>
        <w:rPr>
          <w:rFonts w:hint="default" w:ascii="Times New Roman" w:hAnsi="Times New Roman" w:eastAsia="宋体" w:cs="Times New Roman"/>
          <w:color w:val="FF0000"/>
          <w:sz w:val="24"/>
          <w:szCs w:val="24"/>
          <w:highlight w:val="none"/>
          <w:lang w:val="en-US" w:eastAsia="zh-CN"/>
        </w:rPr>
        <w:instrText xml:space="preserve"> = 4 \* GB3 \* MERGEFORMAT </w:instrText>
      </w:r>
      <w:r>
        <w:rPr>
          <w:rFonts w:hint="default" w:ascii="Times New Roman" w:hAnsi="Times New Roman" w:eastAsia="宋体" w:cs="Times New Roman"/>
          <w:color w:val="FF0000"/>
          <w:sz w:val="24"/>
          <w:szCs w:val="24"/>
          <w:highlight w:val="none"/>
          <w:lang w:val="en-US" w:eastAsia="zh-CN"/>
        </w:rPr>
        <w:fldChar w:fldCharType="separate"/>
      </w:r>
      <w:r>
        <w:rPr>
          <w:rFonts w:hint="default" w:ascii="Times New Roman" w:hAnsi="Times New Roman" w:eastAsia="宋体" w:cs="Times New Roman"/>
          <w:color w:val="FF0000"/>
          <w:sz w:val="24"/>
          <w:szCs w:val="24"/>
          <w:highlight w:val="none"/>
          <w:lang w:val="en-US" w:eastAsia="zh-CN"/>
        </w:rPr>
        <w:t>④</w:t>
      </w:r>
      <w:r>
        <w:rPr>
          <w:rFonts w:hint="default" w:ascii="Times New Roman" w:hAnsi="Times New Roman" w:eastAsia="宋体" w:cs="Times New Roman"/>
          <w:color w:val="FF0000"/>
          <w:sz w:val="24"/>
          <w:szCs w:val="24"/>
          <w:highlight w:val="none"/>
          <w:lang w:val="en-US" w:eastAsia="zh-CN"/>
        </w:rPr>
        <w:fldChar w:fldCharType="end"/>
      </w:r>
      <w:r>
        <w:rPr>
          <w:rFonts w:hint="default" w:ascii="Times New Roman" w:hAnsi="Times New Roman" w:eastAsia="宋体" w:cs="Times New Roman"/>
          <w:color w:val="FF0000"/>
          <w:sz w:val="24"/>
          <w:szCs w:val="24"/>
          <w:highlight w:val="none"/>
          <w:lang w:val="en-US" w:eastAsia="zh-CN"/>
        </w:rPr>
        <w:t>委托处置</w:t>
      </w:r>
    </w:p>
    <w:p w14:paraId="6D4B49D5">
      <w:pPr>
        <w:keepNext w:val="0"/>
        <w:keepLines w:val="0"/>
        <w:pageBreakBefore w:val="0"/>
        <w:suppressLineNumbers w:val="0"/>
        <w:kinsoku/>
        <w:overflowPunct/>
        <w:topLinePunct w:val="0"/>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FF0000"/>
          <w:sz w:val="24"/>
          <w:szCs w:val="24"/>
          <w:highlight w:val="none"/>
          <w:lang w:val="en-US" w:eastAsia="zh-CN"/>
        </w:rPr>
      </w:pPr>
      <w:r>
        <w:rPr>
          <w:rFonts w:hint="default" w:ascii="Times New Roman" w:hAnsi="Times New Roman" w:eastAsia="宋体" w:cs="Times New Roman"/>
          <w:color w:val="FF0000"/>
          <w:sz w:val="24"/>
          <w:szCs w:val="24"/>
          <w:highlight w:val="none"/>
          <w:lang w:val="en-US" w:eastAsia="zh-CN"/>
        </w:rPr>
        <w:t>本项目贮存点贮存的危险废物由有资质单位处置，危废处置单位使用专用车辆，至厂内收集、转移本项目危险废物，要求建设单位在试运行阶段，签订危废委托处置协议，同时根据《危险废物转移管理办法》（部令第23号）危险废物接收单位应当履行以下义务：</w:t>
      </w:r>
    </w:p>
    <w:p w14:paraId="2D21EF6C">
      <w:pPr>
        <w:keepNext w:val="0"/>
        <w:keepLines w:val="0"/>
        <w:pageBreakBefore w:val="0"/>
        <w:suppressLineNumbers w:val="0"/>
        <w:kinsoku/>
        <w:overflowPunct/>
        <w:topLinePunct w:val="0"/>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FF0000"/>
          <w:sz w:val="24"/>
          <w:szCs w:val="24"/>
          <w:highlight w:val="none"/>
          <w:lang w:val="en-US" w:eastAsia="zh-CN"/>
        </w:rPr>
      </w:pPr>
      <w:r>
        <w:rPr>
          <w:rFonts w:hint="default" w:ascii="Times New Roman" w:hAnsi="Times New Roman" w:eastAsia="宋体" w:cs="Times New Roman"/>
          <w:color w:val="FF0000"/>
          <w:sz w:val="24"/>
          <w:szCs w:val="24"/>
          <w:highlight w:val="none"/>
          <w:lang w:val="en-US" w:eastAsia="zh-CN"/>
        </w:rPr>
        <w:t>（1）核实拟接受的危险废物的种类、重量（数量）、包装、识别标志等相关信息；</w:t>
      </w:r>
    </w:p>
    <w:p w14:paraId="5C48BE49">
      <w:pPr>
        <w:keepNext w:val="0"/>
        <w:keepLines w:val="0"/>
        <w:pageBreakBefore w:val="0"/>
        <w:suppressLineNumbers w:val="0"/>
        <w:kinsoku/>
        <w:overflowPunct/>
        <w:topLinePunct w:val="0"/>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FF0000"/>
          <w:sz w:val="24"/>
          <w:szCs w:val="24"/>
          <w:highlight w:val="none"/>
          <w:lang w:val="en-US" w:eastAsia="zh-CN"/>
        </w:rPr>
      </w:pPr>
      <w:r>
        <w:rPr>
          <w:rFonts w:hint="default" w:ascii="Times New Roman" w:hAnsi="Times New Roman" w:eastAsia="宋体" w:cs="Times New Roman"/>
          <w:color w:val="FF0000"/>
          <w:sz w:val="24"/>
          <w:szCs w:val="24"/>
          <w:highlight w:val="none"/>
          <w:lang w:val="en-US" w:eastAsia="zh-CN"/>
        </w:rPr>
        <w:t>（2）填写、运行危险废物转移联单，在危险废物转移联单中如实填写是否接受的意见，以及利用、处置方式和接受量等信息；</w:t>
      </w:r>
    </w:p>
    <w:p w14:paraId="1A5C5D71">
      <w:pPr>
        <w:keepNext w:val="0"/>
        <w:keepLines w:val="0"/>
        <w:pageBreakBefore w:val="0"/>
        <w:suppressLineNumbers w:val="0"/>
        <w:kinsoku/>
        <w:overflowPunct/>
        <w:topLinePunct w:val="0"/>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FF0000"/>
          <w:sz w:val="24"/>
          <w:szCs w:val="24"/>
          <w:highlight w:val="none"/>
          <w:lang w:val="en-US" w:eastAsia="zh-CN"/>
        </w:rPr>
      </w:pPr>
      <w:r>
        <w:rPr>
          <w:rFonts w:hint="default" w:ascii="Times New Roman" w:hAnsi="Times New Roman" w:eastAsia="宋体" w:cs="Times New Roman"/>
          <w:color w:val="FF0000"/>
          <w:sz w:val="24"/>
          <w:szCs w:val="24"/>
          <w:highlight w:val="none"/>
          <w:lang w:val="en-US" w:eastAsia="zh-CN"/>
        </w:rPr>
        <w:t>（3）按照国家和地方有关规定和标准，对接受的危险废物进行贮存、利用或者处置；</w:t>
      </w:r>
    </w:p>
    <w:p w14:paraId="3E2AFAC7">
      <w:pPr>
        <w:keepNext w:val="0"/>
        <w:keepLines w:val="0"/>
        <w:pageBreakBefore w:val="0"/>
        <w:suppressLineNumbers w:val="0"/>
        <w:kinsoku/>
        <w:overflowPunct/>
        <w:topLinePunct w:val="0"/>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FF0000"/>
          <w:sz w:val="24"/>
          <w:szCs w:val="24"/>
          <w:highlight w:val="none"/>
          <w:lang w:val="en-US" w:eastAsia="zh-CN"/>
        </w:rPr>
      </w:pPr>
      <w:r>
        <w:rPr>
          <w:rFonts w:hint="default" w:ascii="Times New Roman" w:hAnsi="Times New Roman" w:eastAsia="宋体" w:cs="Times New Roman"/>
          <w:color w:val="FF0000"/>
          <w:sz w:val="24"/>
          <w:szCs w:val="24"/>
          <w:highlight w:val="none"/>
          <w:lang w:val="en-US" w:eastAsia="zh-CN"/>
        </w:rPr>
        <w:t>（4）将危险废物接受情况、利用或者处置结果及时告知移出人；</w:t>
      </w:r>
    </w:p>
    <w:p w14:paraId="10E76D29">
      <w:pPr>
        <w:pStyle w:val="5"/>
        <w:bidi w:val="0"/>
        <w:rPr>
          <w:rFonts w:hint="default"/>
          <w:lang w:val="en-US" w:eastAsia="zh-CN"/>
        </w:rPr>
      </w:pPr>
      <w:bookmarkStart w:id="334" w:name="_Toc10800"/>
      <w:r>
        <w:rPr>
          <w:rFonts w:hint="default"/>
        </w:rPr>
        <w:t>堆场对环境影响分析</w:t>
      </w:r>
      <w:bookmarkEnd w:id="334"/>
    </w:p>
    <w:p w14:paraId="4F961A7B">
      <w:pPr>
        <w:bidi w:val="0"/>
        <w:rPr>
          <w:rFonts w:hint="default" w:ascii="Times New Roman" w:hAnsi="Times New Roman" w:eastAsia="宋体" w:cs="Times New Roman"/>
          <w:color w:val="auto"/>
          <w:szCs w:val="24"/>
          <w:highlight w:val="none"/>
          <w:lang w:val="en-US" w:eastAsia="zh-CN"/>
        </w:rPr>
      </w:pPr>
      <w:r>
        <w:rPr>
          <w:rFonts w:hint="default" w:ascii="Times New Roman" w:hAnsi="Times New Roman" w:cs="Times New Roman"/>
          <w:color w:val="auto"/>
          <w:highlight w:val="none"/>
        </w:rPr>
        <w:t>矿区运营期间</w:t>
      </w:r>
      <w:r>
        <w:rPr>
          <w:rFonts w:hint="default" w:ascii="Times New Roman" w:hAnsi="Times New Roman" w:cs="Times New Roman"/>
          <w:color w:val="auto"/>
          <w:highlight w:val="none"/>
          <w:lang w:val="en-US" w:eastAsia="zh-CN"/>
        </w:rPr>
        <w:t>设置表土堆场和排土场，表土堆场主要为矿山在开采初期剥离的表土，排土场主要为生产筛分环节产生的废料和废土。按照《新疆采虹矿业投资有限公司新疆阜康市北部沙漠天然石英砂矿（压裂用）外围矿产资源开发利用与生态保护修复方案》，表土场位于矿区的东北角，占地面积20000m</w:t>
      </w:r>
      <w:r>
        <w:rPr>
          <w:rFonts w:hint="default" w:ascii="Times New Roman" w:hAnsi="Times New Roman" w:cs="Times New Roman"/>
          <w:color w:val="auto"/>
          <w:highlight w:val="none"/>
          <w:vertAlign w:val="superscript"/>
          <w:lang w:val="en-US" w:eastAsia="zh-CN"/>
        </w:rPr>
        <w:t>2</w:t>
      </w:r>
      <w:r>
        <w:rPr>
          <w:rFonts w:hint="default" w:ascii="Times New Roman" w:hAnsi="Times New Roman" w:cs="Times New Roman"/>
          <w:color w:val="auto"/>
          <w:highlight w:val="none"/>
          <w:lang w:val="en-US" w:eastAsia="zh-CN"/>
        </w:rPr>
        <w:t>，容积为12.9356万m³，排土场位于矿区的东南角，占地面积为45800m</w:t>
      </w:r>
      <w:r>
        <w:rPr>
          <w:rFonts w:hint="default" w:ascii="Times New Roman" w:hAnsi="Times New Roman" w:cs="Times New Roman"/>
          <w:color w:val="auto"/>
          <w:highlight w:val="none"/>
          <w:vertAlign w:val="superscript"/>
          <w:lang w:val="en-US" w:eastAsia="zh-CN"/>
        </w:rPr>
        <w:t>2</w:t>
      </w:r>
      <w:r>
        <w:rPr>
          <w:rFonts w:hint="default" w:ascii="Times New Roman" w:hAnsi="Times New Roman" w:cs="Times New Roman"/>
          <w:color w:val="auto"/>
          <w:highlight w:val="none"/>
          <w:lang w:val="en-US" w:eastAsia="zh-CN"/>
        </w:rPr>
        <w:t>，容积为40.63万m³。</w:t>
      </w:r>
    </w:p>
    <w:p w14:paraId="1E019CFE">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开采过程中产生的表土和废料废土分别堆存在堆场中，待具备条件式，进行回填复垦使用，日常运行中采取洒水降尘，篷布覆盖的方式进行抑尘。堆场的主要的环境影响如下：</w:t>
      </w:r>
    </w:p>
    <w:p w14:paraId="71DB1CA9">
      <w:pPr>
        <w:numPr>
          <w:ilvl w:val="0"/>
          <w:numId w:val="39"/>
        </w:numPr>
        <w:spacing w:beforeLines="0" w:afterLines="0"/>
        <w:ind w:left="0" w:leftChars="0" w:firstLine="480" w:firstLineChars="200"/>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sz w:val="24"/>
          <w:szCs w:val="24"/>
          <w:highlight w:val="none"/>
        </w:rPr>
        <w:t>占地对生态的</w:t>
      </w:r>
      <w:r>
        <w:rPr>
          <w:rFonts w:hint="default" w:ascii="Times New Roman" w:hAnsi="Times New Roman" w:cs="Times New Roman"/>
          <w:color w:val="auto"/>
          <w:sz w:val="24"/>
          <w:szCs w:val="24"/>
          <w:highlight w:val="none"/>
        </w:rPr>
        <w:t>影响</w:t>
      </w:r>
    </w:p>
    <w:p w14:paraId="2205BA33">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本项目堆场使占用范围内土地丧失其原有的使用功能，使得占地范围内的局部地形地貌、地表土层、土壤结构、透气性等发生改变，土壤生产力降低。</w:t>
      </w:r>
    </w:p>
    <w:p w14:paraId="001B1723">
      <w:pPr>
        <w:numPr>
          <w:ilvl w:val="0"/>
          <w:numId w:val="39"/>
        </w:numPr>
        <w:spacing w:beforeLines="0" w:afterLines="0"/>
        <w:ind w:left="0" w:leftChars="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固体废物堆放对景观的影响</w:t>
      </w:r>
    </w:p>
    <w:p w14:paraId="43AC8E31">
      <w:pPr>
        <w:numPr>
          <w:ilvl w:val="0"/>
          <w:numId w:val="0"/>
        </w:numPr>
        <w:spacing w:beforeLines="0" w:afterLines="0"/>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废料堆场的占地改变了原有地表形态，导致矿山地貌和景观发生改变。</w:t>
      </w:r>
    </w:p>
    <w:p w14:paraId="116315AF">
      <w:pPr>
        <w:numPr>
          <w:ilvl w:val="0"/>
          <w:numId w:val="39"/>
        </w:numPr>
        <w:spacing w:beforeLines="0" w:afterLines="0"/>
        <w:ind w:left="0" w:leftChars="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堆场扬尘对区域大气环境的影响分析</w:t>
      </w:r>
    </w:p>
    <w:p w14:paraId="4E712B85">
      <w:pPr>
        <w:numPr>
          <w:ilvl w:val="0"/>
          <w:numId w:val="0"/>
        </w:numPr>
        <w:spacing w:beforeLines="0" w:afterLines="0"/>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生产废料和表土在堆场堆存的过程中，表面水分逐渐蒸发，遇到大风天气易产生风蚀扬尘。有关资料表明，能使物料堆表面颗粒起尘的最低风速即启动风速为4.8m/s，只有当环境风速大于此风速时才会产生扬尘。在具备起尘风速条件时，堆场会对其周围局部地区产生影响，影响范围约在堆场下风向500m以内，而本项目堆场周围5km范围内无村庄。另外实际运行中通过定期洒水，提高含水率，同时在排放的过程中</w:t>
      </w:r>
      <w:r>
        <w:rPr>
          <w:rFonts w:hint="default" w:ascii="Times New Roman" w:hAnsi="Times New Roman" w:cs="Times New Roman"/>
          <w:color w:val="auto"/>
          <w:sz w:val="24"/>
          <w:szCs w:val="24"/>
          <w:highlight w:val="none"/>
          <w:lang w:val="en-US" w:eastAsia="zh-CN"/>
        </w:rPr>
        <w:t>采用机械</w:t>
      </w:r>
      <w:r>
        <w:rPr>
          <w:rFonts w:hint="default" w:ascii="Times New Roman" w:hAnsi="Times New Roman" w:cs="Times New Roman"/>
          <w:color w:val="auto"/>
          <w:sz w:val="24"/>
          <w:szCs w:val="24"/>
          <w:highlight w:val="none"/>
        </w:rPr>
        <w:t>及时进行压实，采取了上述治理措施后废料堆场在服务期满对周围环境空气污染在可接受范围内。</w:t>
      </w:r>
    </w:p>
    <w:p w14:paraId="61C089A3">
      <w:pPr>
        <w:numPr>
          <w:ilvl w:val="0"/>
          <w:numId w:val="39"/>
        </w:numPr>
        <w:spacing w:beforeLines="0" w:afterLines="0"/>
        <w:ind w:left="0" w:leftChars="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生产废料淋溶水对环境污染的影响分析</w:t>
      </w:r>
    </w:p>
    <w:p w14:paraId="32DAAB52">
      <w:pPr>
        <w:numPr>
          <w:ilvl w:val="0"/>
          <w:numId w:val="0"/>
        </w:numPr>
        <w:spacing w:beforeLines="0" w:afterLines="0"/>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生产废料露天堆放，经风吹、日晒、雨淋和温度变化等影响，将发生物理化学变化，生产废料经降水淋洗后，不仅表面的细颗粒会随降水迁移，而且其中的可溶性组分会进入淋溶液中，可能影响土壤环境。</w:t>
      </w:r>
    </w:p>
    <w:p w14:paraId="0C71C05C">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本矿所在区域多风少雨、较干旱，生产废料堆放过程中淋溶水量极少，</w:t>
      </w:r>
      <w:r>
        <w:rPr>
          <w:rFonts w:hint="default" w:ascii="Times New Roman" w:hAnsi="Times New Roman" w:eastAsia="宋体" w:cs="Times New Roman"/>
          <w:color w:val="auto"/>
          <w:sz w:val="24"/>
          <w:szCs w:val="24"/>
          <w:highlight w:val="none"/>
          <w:lang w:val="en-US" w:eastAsia="zh-CN"/>
        </w:rPr>
        <w:t>本项目堆场主要堆存的为表土及筛分过程中产生的废土及废料，其不含有害物质，全部来自于自然环境，故降水淋溶不会产生有害物质污染土壤环境。</w:t>
      </w:r>
    </w:p>
    <w:p w14:paraId="7BC6E12A">
      <w:pPr>
        <w:numPr>
          <w:ilvl w:val="0"/>
          <w:numId w:val="39"/>
        </w:numPr>
        <w:spacing w:beforeLines="0" w:afterLines="0"/>
        <w:ind w:left="0" w:leftChars="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泥石流影响</w:t>
      </w:r>
    </w:p>
    <w:p w14:paraId="02B25F38">
      <w:pPr>
        <w:numPr>
          <w:ilvl w:val="0"/>
          <w:numId w:val="0"/>
        </w:numPr>
        <w:spacing w:beforeLines="0" w:afterLines="0"/>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废料堆场堆放大量的废料，其结果是改变了大气降水的天然流动条件，造成降水在堆场中滞留，导致堆场的不稳定，在融雪和暴雨季节存在短期洪水导致废料堆场崩塌诱发泥石流的可能，在废料堆存过程中，应对废料堆场进行工程治理。</w:t>
      </w:r>
    </w:p>
    <w:p w14:paraId="01373185">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本项目采取的措施主要是：</w:t>
      </w:r>
      <w:r>
        <w:rPr>
          <w:rFonts w:hint="default" w:ascii="Times New Roman" w:hAnsi="Times New Roman" w:cs="Times New Roman"/>
          <w:color w:val="auto"/>
          <w:sz w:val="24"/>
          <w:szCs w:val="24"/>
          <w:highlight w:val="none"/>
          <w:lang w:val="en-US" w:eastAsia="zh-CN"/>
        </w:rPr>
        <w:t>表土堆场及</w:t>
      </w:r>
      <w:r>
        <w:rPr>
          <w:rFonts w:hint="default" w:ascii="Times New Roman" w:hAnsi="Times New Roman" w:cs="Times New Roman"/>
          <w:color w:val="auto"/>
          <w:sz w:val="24"/>
          <w:szCs w:val="24"/>
          <w:highlight w:val="none"/>
        </w:rPr>
        <w:t>废料堆场边坡稳定角不大于30°；在废料堆场外设置截水沟，防止地表水流入废料堆场内浸泡、冲刷边坡；并做好截排水沟的日常维护，保证洪水及大气降水沿导截排水沟顺畅流走，以防洪水冲刷废石形成泥石流；堆放过程中要及时进行推平、压实处理，排弃废料过程中，平台保持2%～3％的内向坡度，防止平台汇水冲刷边坡。本项目废料堆场占地非泄洪通道，做好上述措施可有效降低发生废料堆场崩塌诱发泥石流风险的概率。</w:t>
      </w:r>
    </w:p>
    <w:p w14:paraId="05A38EE7">
      <w:pPr>
        <w:pStyle w:val="4"/>
        <w:bidi w:val="0"/>
        <w:rPr>
          <w:rFonts w:hint="default"/>
        </w:rPr>
      </w:pPr>
      <w:bookmarkStart w:id="335" w:name="5.2.5生态环境影响分析"/>
      <w:bookmarkEnd w:id="335"/>
      <w:r>
        <w:rPr>
          <w:rFonts w:hint="default"/>
        </w:rPr>
        <w:t>生态环境影响分析</w:t>
      </w:r>
    </w:p>
    <w:p w14:paraId="65B6B88E">
      <w:pPr>
        <w:adjustRightInd w:val="0"/>
        <w:snapToGrid w:val="0"/>
        <w:ind w:firstLine="42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本项目开采活动对区域生态的影响主要表现在土地占用扰动地表、</w:t>
      </w:r>
      <w:r>
        <w:rPr>
          <w:rFonts w:hint="default" w:ascii="Times New Roman" w:hAnsi="Times New Roman" w:eastAsia="宋体" w:cs="Times New Roman"/>
          <w:color w:val="auto"/>
          <w:sz w:val="24"/>
          <w:szCs w:val="24"/>
          <w:highlight w:val="none"/>
          <w:lang w:val="en-US" w:eastAsia="zh-CN"/>
        </w:rPr>
        <w:t>对植被、动物、土壤、</w:t>
      </w:r>
      <w:r>
        <w:rPr>
          <w:rFonts w:hint="default" w:ascii="Times New Roman" w:hAnsi="Times New Roman" w:eastAsia="宋体" w:cs="Times New Roman"/>
          <w:color w:val="auto"/>
          <w:sz w:val="24"/>
          <w:szCs w:val="24"/>
          <w:highlight w:val="none"/>
        </w:rPr>
        <w:t>景观影响、水土流失等方面，随着项目开发建设，地表开挖、修建人工设施、破坏矿区地貌、破坏自然景观等影响，这种生态格局的变化，使矿区固有的自然生态功能部分丧失。同时，造成水土流失、生态环境质量下降等问题，而且随着时间的推移和开发规模的扩大，这种景观结构的变化可能延伸、扩大。</w:t>
      </w:r>
    </w:p>
    <w:p w14:paraId="29758A9E">
      <w:pPr>
        <w:adjustRightInd w:val="0"/>
        <w:snapToGrid w:val="0"/>
        <w:ind w:firstLine="42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具体影响见下表：</w:t>
      </w:r>
    </w:p>
    <w:p w14:paraId="2CD797B9">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表</w:t>
      </w:r>
      <w:r>
        <w:rPr>
          <w:rFonts w:hint="default" w:ascii="Times New Roman" w:hAnsi="Times New Roman" w:cs="Times New Roman"/>
          <w:color w:val="auto"/>
          <w:highlight w:val="none"/>
          <w:lang w:val="en-US" w:eastAsia="zh-CN"/>
        </w:rPr>
        <w:t>5.2-2</w:t>
      </w:r>
      <w:r>
        <w:rPr>
          <w:rFonts w:hint="eastAsia" w:ascii="Times New Roman" w:hAnsi="Times New Roman" w:cs="Times New Roman"/>
          <w:color w:val="auto"/>
          <w:highlight w:val="none"/>
          <w:lang w:val="en-US" w:eastAsia="zh-CN"/>
        </w:rPr>
        <w:t>6</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本项目生态环境影响一览表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2415"/>
        <w:gridCol w:w="6951"/>
      </w:tblGrid>
      <w:tr w14:paraId="6103BB7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89" w:type="pct"/>
            <w:vAlign w:val="center"/>
          </w:tcPr>
          <w:p w14:paraId="4B41385B">
            <w:pPr>
              <w:overflowPunct w:val="0"/>
              <w:topLinePunct/>
              <w:autoSpaceDE w:val="0"/>
              <w:autoSpaceDN w:val="0"/>
              <w:adjustRightInd w:val="0"/>
              <w:snapToGrid w:val="0"/>
              <w:spacing w:line="240" w:lineRule="auto"/>
              <w:ind w:firstLine="0" w:firstLineChars="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主要影响活动及项目</w:t>
            </w:r>
          </w:p>
        </w:tc>
        <w:tc>
          <w:tcPr>
            <w:tcW w:w="3710" w:type="pct"/>
            <w:vAlign w:val="center"/>
          </w:tcPr>
          <w:p w14:paraId="4BD21531">
            <w:pPr>
              <w:overflowPunct w:val="0"/>
              <w:topLinePunct/>
              <w:autoSpaceDE w:val="0"/>
              <w:autoSpaceDN w:val="0"/>
              <w:adjustRightInd w:val="0"/>
              <w:snapToGrid w:val="0"/>
              <w:spacing w:line="240" w:lineRule="auto"/>
              <w:ind w:firstLine="0" w:firstLineChars="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运营期影响</w:t>
            </w:r>
          </w:p>
        </w:tc>
      </w:tr>
      <w:tr w14:paraId="5594382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89" w:type="pct"/>
            <w:vAlign w:val="center"/>
          </w:tcPr>
          <w:p w14:paraId="06B4C79F">
            <w:pPr>
              <w:widowControl/>
              <w:spacing w:line="240" w:lineRule="auto"/>
              <w:ind w:firstLine="0" w:firstLineChars="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露天开采</w:t>
            </w:r>
          </w:p>
        </w:tc>
        <w:tc>
          <w:tcPr>
            <w:tcW w:w="3710" w:type="pct"/>
            <w:vAlign w:val="center"/>
          </w:tcPr>
          <w:p w14:paraId="182F8C75">
            <w:pPr>
              <w:overflowPunct w:val="0"/>
              <w:topLinePunct/>
              <w:autoSpaceDE w:val="0"/>
              <w:autoSpaceDN w:val="0"/>
              <w:adjustRightInd w:val="0"/>
              <w:snapToGrid w:val="0"/>
              <w:spacing w:line="240" w:lineRule="auto"/>
              <w:ind w:firstLine="0" w:firstLineChars="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采坑占地范围植被全部破坏，地貌发生变化，水土流失加剧；噪声、</w:t>
            </w:r>
            <w:r>
              <w:rPr>
                <w:rFonts w:hint="default" w:ascii="Times New Roman" w:hAnsi="Times New Roman" w:eastAsia="宋体" w:cs="Times New Roman"/>
                <w:bCs/>
                <w:color w:val="auto"/>
                <w:sz w:val="24"/>
                <w:szCs w:val="24"/>
                <w:highlight w:val="none"/>
                <w:lang w:eastAsia="zh-CN"/>
              </w:rPr>
              <w:t>振动</w:t>
            </w:r>
            <w:r>
              <w:rPr>
                <w:rFonts w:hint="default" w:ascii="Times New Roman" w:hAnsi="Times New Roman" w:eastAsia="宋体" w:cs="Times New Roman"/>
                <w:bCs/>
                <w:color w:val="auto"/>
                <w:sz w:val="24"/>
                <w:szCs w:val="24"/>
                <w:highlight w:val="none"/>
              </w:rPr>
              <w:t>扰动野生动物栖息。扬尘影响植物呼吸作用和光合作用。</w:t>
            </w:r>
          </w:p>
        </w:tc>
      </w:tr>
      <w:tr w14:paraId="0E9B826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89" w:type="pct"/>
            <w:vAlign w:val="center"/>
          </w:tcPr>
          <w:p w14:paraId="6B6BB56F">
            <w:pPr>
              <w:widowControl/>
              <w:spacing w:line="240" w:lineRule="auto"/>
              <w:ind w:firstLine="0" w:firstLineChars="0"/>
              <w:jc w:val="center"/>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工业广场</w:t>
            </w:r>
          </w:p>
        </w:tc>
        <w:tc>
          <w:tcPr>
            <w:tcW w:w="3710" w:type="pct"/>
            <w:vAlign w:val="center"/>
          </w:tcPr>
          <w:p w14:paraId="0E354636">
            <w:pPr>
              <w:overflowPunct w:val="0"/>
              <w:topLinePunct/>
              <w:autoSpaceDE w:val="0"/>
              <w:autoSpaceDN w:val="0"/>
              <w:adjustRightInd w:val="0"/>
              <w:snapToGrid w:val="0"/>
              <w:spacing w:line="240" w:lineRule="auto"/>
              <w:ind w:firstLine="0" w:firstLineChars="0"/>
              <w:jc w:val="center"/>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工业广场占地破坏植被，加剧水土流失，矿石洗选过程中产生的废气排放对植物呼吸作用和光合作用的影响，噪声对矿区野生动物栖息地的影响</w:t>
            </w:r>
          </w:p>
        </w:tc>
      </w:tr>
      <w:tr w14:paraId="37E10AF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 w:hRule="atLeast"/>
          <w:jc w:val="center"/>
        </w:trPr>
        <w:tc>
          <w:tcPr>
            <w:tcW w:w="1289" w:type="pct"/>
            <w:vAlign w:val="center"/>
          </w:tcPr>
          <w:p w14:paraId="122650A0">
            <w:pPr>
              <w:widowControl/>
              <w:spacing w:line="240" w:lineRule="auto"/>
              <w:ind w:firstLine="0" w:firstLineChars="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汽车运输</w:t>
            </w:r>
          </w:p>
        </w:tc>
        <w:tc>
          <w:tcPr>
            <w:tcW w:w="3710" w:type="pct"/>
            <w:vAlign w:val="center"/>
          </w:tcPr>
          <w:p w14:paraId="0166E9ED">
            <w:pPr>
              <w:overflowPunct w:val="0"/>
              <w:topLinePunct/>
              <w:autoSpaceDE w:val="0"/>
              <w:autoSpaceDN w:val="0"/>
              <w:adjustRightInd w:val="0"/>
              <w:snapToGrid w:val="0"/>
              <w:spacing w:line="240" w:lineRule="auto"/>
              <w:ind w:firstLine="0" w:firstLineChars="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color w:val="auto"/>
                <w:kern w:val="0"/>
                <w:sz w:val="24"/>
                <w:szCs w:val="24"/>
                <w:highlight w:val="none"/>
              </w:rPr>
              <w:t>扬尘影响植物生长，噪声干扰野生动物的生存活动。</w:t>
            </w:r>
          </w:p>
        </w:tc>
      </w:tr>
      <w:tr w14:paraId="2AEDE1B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 w:hRule="atLeast"/>
          <w:jc w:val="center"/>
        </w:trPr>
        <w:tc>
          <w:tcPr>
            <w:tcW w:w="1289" w:type="pct"/>
            <w:vAlign w:val="center"/>
          </w:tcPr>
          <w:p w14:paraId="05E339D4">
            <w:pPr>
              <w:overflowPunct w:val="0"/>
              <w:topLinePunct/>
              <w:autoSpaceDE w:val="0"/>
              <w:autoSpaceDN w:val="0"/>
              <w:adjustRightInd w:val="0"/>
              <w:snapToGrid w:val="0"/>
              <w:spacing w:line="240" w:lineRule="auto"/>
              <w:ind w:firstLine="0" w:firstLineChars="0"/>
              <w:jc w:val="center"/>
              <w:rPr>
                <w:rFonts w:hint="default" w:ascii="Times New Roman" w:hAnsi="Times New Roman" w:eastAsia="宋体" w:cs="Times New Roman"/>
                <w:bCs/>
                <w:color w:val="auto"/>
                <w:sz w:val="24"/>
                <w:szCs w:val="24"/>
                <w:highlight w:val="none"/>
                <w:lang w:eastAsia="zh-CN"/>
              </w:rPr>
            </w:pPr>
            <w:r>
              <w:rPr>
                <w:rFonts w:hint="default" w:ascii="Times New Roman" w:hAnsi="Times New Roman" w:cs="Times New Roman"/>
                <w:b w:val="0"/>
                <w:bCs w:val="0"/>
                <w:color w:val="auto"/>
                <w:spacing w:val="4"/>
                <w:kern w:val="2"/>
                <w:sz w:val="24"/>
                <w:szCs w:val="24"/>
                <w:highlight w:val="none"/>
                <w:lang w:val="en-US" w:eastAsia="zh-CN" w:bidi="ar-SA"/>
              </w:rPr>
              <w:t>废石堆场和表土堆场</w:t>
            </w:r>
          </w:p>
        </w:tc>
        <w:tc>
          <w:tcPr>
            <w:tcW w:w="3710" w:type="pct"/>
            <w:vAlign w:val="center"/>
          </w:tcPr>
          <w:p w14:paraId="3D816EC8">
            <w:pPr>
              <w:autoSpaceDE w:val="0"/>
              <w:autoSpaceDN w:val="0"/>
              <w:adjustRightInd w:val="0"/>
              <w:spacing w:line="240" w:lineRule="auto"/>
              <w:ind w:firstLine="0" w:firstLineChars="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占用土地，影响周围土壤的质量，无植被覆盖，水土流失加剧，使局部环境恶化。</w:t>
            </w:r>
          </w:p>
        </w:tc>
      </w:tr>
    </w:tbl>
    <w:p w14:paraId="7D5874F8">
      <w:pPr>
        <w:adjustRightInd w:val="0"/>
        <w:snapToGrid w:val="0"/>
        <w:ind w:firstLine="420"/>
        <w:rPr>
          <w:rFonts w:hint="default" w:ascii="Times New Roman" w:hAnsi="Times New Roman" w:eastAsia="宋体" w:cs="Times New Roman"/>
          <w:color w:val="auto"/>
          <w:sz w:val="24"/>
          <w:szCs w:val="24"/>
          <w:highlight w:val="none"/>
        </w:rPr>
      </w:pPr>
    </w:p>
    <w:p w14:paraId="376A2E54">
      <w:pPr>
        <w:pStyle w:val="5"/>
        <w:bidi w:val="0"/>
        <w:rPr>
          <w:rFonts w:hint="default"/>
        </w:rPr>
      </w:pPr>
      <w:bookmarkStart w:id="336" w:name="5.2.5.1占地对生态环境的影响"/>
      <w:bookmarkEnd w:id="336"/>
      <w:bookmarkStart w:id="337" w:name="_Toc5017"/>
      <w:r>
        <w:rPr>
          <w:rFonts w:hint="default"/>
        </w:rPr>
        <w:t>对土地利用功能的影响分析</w:t>
      </w:r>
      <w:bookmarkEnd w:id="337"/>
    </w:p>
    <w:p w14:paraId="4A9E9556">
      <w:pPr>
        <w:spacing w:beforeLines="0" w:afterLine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rPr>
        <w:t>本项目</w:t>
      </w:r>
      <w:r>
        <w:rPr>
          <w:rFonts w:hint="default" w:ascii="Times New Roman" w:hAnsi="Times New Roman" w:cs="Times New Roman"/>
          <w:color w:val="auto"/>
          <w:sz w:val="24"/>
          <w:szCs w:val="24"/>
          <w:highlight w:val="none"/>
          <w:lang w:val="en-US" w:eastAsia="zh-CN"/>
        </w:rPr>
        <w:t>占地分为永久占地和临时占地，占地情况及占地类型如下表所示：</w:t>
      </w:r>
    </w:p>
    <w:p w14:paraId="46996163">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表5.2-2</w:t>
      </w:r>
      <w:r>
        <w:rPr>
          <w:rFonts w:hint="eastAsia" w:ascii="Times New Roman" w:hAnsi="Times New Roman" w:cs="Times New Roman"/>
          <w:color w:val="auto"/>
          <w:highlight w:val="none"/>
          <w:lang w:val="en-US" w:eastAsia="zh-CN"/>
        </w:rPr>
        <w:t>7</w:t>
      </w:r>
      <w:r>
        <w:rPr>
          <w:rFonts w:hint="default" w:ascii="Times New Roman" w:hAnsi="Times New Roman" w:cs="Times New Roman"/>
          <w:color w:val="auto"/>
          <w:highlight w:val="none"/>
          <w:lang w:val="en-US" w:eastAsia="zh-CN"/>
        </w:rPr>
        <w:t xml:space="preserve">  本项目占地情况一览表</w:t>
      </w:r>
    </w:p>
    <w:tbl>
      <w:tblPr>
        <w:tblStyle w:val="31"/>
        <w:tblW w:w="504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53"/>
        <w:gridCol w:w="1129"/>
        <w:gridCol w:w="1704"/>
        <w:gridCol w:w="2924"/>
        <w:gridCol w:w="2929"/>
      </w:tblGrid>
      <w:tr w14:paraId="3DE77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8" w:hRule="atLeast"/>
          <w:jc w:val="center"/>
        </w:trPr>
        <w:tc>
          <w:tcPr>
            <w:tcW w:w="299" w:type="pct"/>
            <w:vAlign w:val="center"/>
          </w:tcPr>
          <w:p w14:paraId="722DBBC8">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序号</w:t>
            </w:r>
          </w:p>
        </w:tc>
        <w:tc>
          <w:tcPr>
            <w:tcW w:w="611" w:type="pct"/>
            <w:vAlign w:val="center"/>
          </w:tcPr>
          <w:p w14:paraId="618EF849">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项目</w:t>
            </w:r>
          </w:p>
        </w:tc>
        <w:tc>
          <w:tcPr>
            <w:tcW w:w="922" w:type="pct"/>
            <w:vAlign w:val="center"/>
          </w:tcPr>
          <w:p w14:paraId="0BA3BD65">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面积（公顷）</w:t>
            </w:r>
          </w:p>
        </w:tc>
        <w:tc>
          <w:tcPr>
            <w:tcW w:w="1582" w:type="pct"/>
            <w:vAlign w:val="center"/>
          </w:tcPr>
          <w:p w14:paraId="6EE13458">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损毁土地类型</w:t>
            </w:r>
          </w:p>
        </w:tc>
        <w:tc>
          <w:tcPr>
            <w:tcW w:w="1584" w:type="pct"/>
            <w:vAlign w:val="center"/>
          </w:tcPr>
          <w:p w14:paraId="58EA3047">
            <w:pPr>
              <w:pStyle w:val="48"/>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占地性质</w:t>
            </w:r>
          </w:p>
        </w:tc>
      </w:tr>
      <w:tr w14:paraId="226B5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 w:hRule="atLeast"/>
          <w:jc w:val="center"/>
        </w:trPr>
        <w:tc>
          <w:tcPr>
            <w:tcW w:w="299" w:type="pct"/>
            <w:vAlign w:val="center"/>
          </w:tcPr>
          <w:p w14:paraId="163D518D">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c>
          <w:tcPr>
            <w:tcW w:w="611" w:type="pct"/>
            <w:vAlign w:val="center"/>
          </w:tcPr>
          <w:p w14:paraId="233C7A14">
            <w:pPr>
              <w:pStyle w:val="48"/>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采矿场</w:t>
            </w:r>
          </w:p>
        </w:tc>
        <w:tc>
          <w:tcPr>
            <w:tcW w:w="922" w:type="pct"/>
            <w:vAlign w:val="center"/>
          </w:tcPr>
          <w:p w14:paraId="2112B20B">
            <w:pPr>
              <w:pStyle w:val="48"/>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103.66</w:t>
            </w:r>
          </w:p>
        </w:tc>
        <w:tc>
          <w:tcPr>
            <w:tcW w:w="1582" w:type="pct"/>
            <w:vAlign w:val="center"/>
          </w:tcPr>
          <w:p w14:paraId="265C7836">
            <w:pPr>
              <w:pStyle w:val="48"/>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val="en-US" w:eastAsia="zh-CN"/>
              </w:rPr>
              <w:t>天然牧草地</w:t>
            </w:r>
          </w:p>
        </w:tc>
        <w:tc>
          <w:tcPr>
            <w:tcW w:w="1584" w:type="pct"/>
            <w:vMerge w:val="restart"/>
            <w:vAlign w:val="center"/>
          </w:tcPr>
          <w:p w14:paraId="693DA2FE">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永久占地</w:t>
            </w:r>
          </w:p>
        </w:tc>
      </w:tr>
      <w:tr w14:paraId="1A5D7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 w:hRule="atLeast"/>
          <w:jc w:val="center"/>
        </w:trPr>
        <w:tc>
          <w:tcPr>
            <w:tcW w:w="299" w:type="pct"/>
            <w:vAlign w:val="center"/>
          </w:tcPr>
          <w:p w14:paraId="095543BB">
            <w:pPr>
              <w:pStyle w:val="48"/>
              <w:bidi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其中包含</w:t>
            </w:r>
          </w:p>
        </w:tc>
        <w:tc>
          <w:tcPr>
            <w:tcW w:w="611" w:type="pct"/>
            <w:vAlign w:val="center"/>
          </w:tcPr>
          <w:p w14:paraId="6D401DC9">
            <w:pPr>
              <w:pStyle w:val="48"/>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工业广场</w:t>
            </w:r>
          </w:p>
        </w:tc>
        <w:tc>
          <w:tcPr>
            <w:tcW w:w="922" w:type="pct"/>
            <w:vAlign w:val="center"/>
          </w:tcPr>
          <w:p w14:paraId="388BF003">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w:t>
            </w:r>
          </w:p>
        </w:tc>
        <w:tc>
          <w:tcPr>
            <w:tcW w:w="1582" w:type="pct"/>
            <w:vAlign w:val="center"/>
          </w:tcPr>
          <w:p w14:paraId="519B26A6">
            <w:pPr>
              <w:pStyle w:val="48"/>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天然牧草地</w:t>
            </w:r>
          </w:p>
        </w:tc>
        <w:tc>
          <w:tcPr>
            <w:tcW w:w="1584" w:type="pct"/>
            <w:vMerge w:val="continue"/>
            <w:vAlign w:val="center"/>
          </w:tcPr>
          <w:p w14:paraId="4D0E2F18">
            <w:pPr>
              <w:pStyle w:val="48"/>
              <w:bidi w:val="0"/>
              <w:rPr>
                <w:rFonts w:hint="default" w:ascii="Times New Roman" w:hAnsi="Times New Roman" w:cs="Times New Roman"/>
                <w:color w:val="auto"/>
                <w:highlight w:val="none"/>
                <w:lang w:val="en-US" w:eastAsia="zh-CN"/>
              </w:rPr>
            </w:pPr>
          </w:p>
        </w:tc>
      </w:tr>
      <w:tr w14:paraId="7CD04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 w:hRule="atLeast"/>
          <w:jc w:val="center"/>
        </w:trPr>
        <w:tc>
          <w:tcPr>
            <w:tcW w:w="299" w:type="pct"/>
            <w:vAlign w:val="center"/>
          </w:tcPr>
          <w:p w14:paraId="641F5F51">
            <w:pPr>
              <w:pStyle w:val="48"/>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2</w:t>
            </w:r>
          </w:p>
        </w:tc>
        <w:tc>
          <w:tcPr>
            <w:tcW w:w="611" w:type="pct"/>
            <w:shd w:val="clear" w:color="auto" w:fill="auto"/>
            <w:vAlign w:val="center"/>
          </w:tcPr>
          <w:p w14:paraId="2C4572BC">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排土场</w:t>
            </w:r>
          </w:p>
        </w:tc>
        <w:tc>
          <w:tcPr>
            <w:tcW w:w="922" w:type="pct"/>
            <w:shd w:val="clear" w:color="auto" w:fill="auto"/>
            <w:vAlign w:val="center"/>
          </w:tcPr>
          <w:p w14:paraId="595E01B8">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4.58</w:t>
            </w:r>
          </w:p>
        </w:tc>
        <w:tc>
          <w:tcPr>
            <w:tcW w:w="1582" w:type="pct"/>
            <w:shd w:val="clear" w:color="auto" w:fill="auto"/>
            <w:vAlign w:val="center"/>
          </w:tcPr>
          <w:p w14:paraId="7E7E76E1">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天然牧草地</w:t>
            </w:r>
          </w:p>
        </w:tc>
        <w:tc>
          <w:tcPr>
            <w:tcW w:w="1584" w:type="pct"/>
            <w:vMerge w:val="restart"/>
            <w:shd w:val="clear" w:color="auto" w:fill="auto"/>
            <w:vAlign w:val="center"/>
          </w:tcPr>
          <w:p w14:paraId="03383255">
            <w:pPr>
              <w:pStyle w:val="48"/>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临时用地</w:t>
            </w:r>
          </w:p>
        </w:tc>
      </w:tr>
      <w:tr w14:paraId="163F4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 w:hRule="atLeast"/>
          <w:jc w:val="center"/>
        </w:trPr>
        <w:tc>
          <w:tcPr>
            <w:tcW w:w="299" w:type="pct"/>
            <w:vAlign w:val="center"/>
          </w:tcPr>
          <w:p w14:paraId="21B06B9F">
            <w:pPr>
              <w:pStyle w:val="48"/>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3</w:t>
            </w:r>
          </w:p>
        </w:tc>
        <w:tc>
          <w:tcPr>
            <w:tcW w:w="611" w:type="pct"/>
            <w:shd w:val="clear" w:color="auto" w:fill="auto"/>
            <w:vAlign w:val="center"/>
          </w:tcPr>
          <w:p w14:paraId="475211BF">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表土堆放场</w:t>
            </w:r>
          </w:p>
        </w:tc>
        <w:tc>
          <w:tcPr>
            <w:tcW w:w="922" w:type="pct"/>
            <w:shd w:val="clear" w:color="auto" w:fill="auto"/>
            <w:vAlign w:val="center"/>
          </w:tcPr>
          <w:p w14:paraId="1F6ADE17">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2.00</w:t>
            </w:r>
          </w:p>
        </w:tc>
        <w:tc>
          <w:tcPr>
            <w:tcW w:w="1582" w:type="pct"/>
            <w:shd w:val="clear" w:color="auto" w:fill="auto"/>
            <w:vAlign w:val="center"/>
          </w:tcPr>
          <w:p w14:paraId="3C7622D6">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天然牧草地</w:t>
            </w:r>
          </w:p>
        </w:tc>
        <w:tc>
          <w:tcPr>
            <w:tcW w:w="1584" w:type="pct"/>
            <w:vMerge w:val="continue"/>
            <w:shd w:val="clear" w:color="auto" w:fill="auto"/>
            <w:vAlign w:val="center"/>
          </w:tcPr>
          <w:p w14:paraId="193C248C">
            <w:pPr>
              <w:pStyle w:val="48"/>
              <w:bidi w:val="0"/>
              <w:rPr>
                <w:rFonts w:hint="default" w:ascii="Times New Roman" w:hAnsi="Times New Roman" w:cs="Times New Roman"/>
                <w:color w:val="auto"/>
                <w:highlight w:val="none"/>
                <w:lang w:val="en-US" w:eastAsia="zh-CN"/>
              </w:rPr>
            </w:pPr>
          </w:p>
        </w:tc>
      </w:tr>
      <w:tr w14:paraId="0917F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 w:hRule="atLeast"/>
          <w:jc w:val="center"/>
        </w:trPr>
        <w:tc>
          <w:tcPr>
            <w:tcW w:w="299" w:type="pct"/>
            <w:vAlign w:val="center"/>
          </w:tcPr>
          <w:p w14:paraId="22A9AE31">
            <w:pPr>
              <w:pStyle w:val="48"/>
              <w:bidi w:val="0"/>
              <w:rPr>
                <w:rFonts w:hint="default" w:ascii="Times New Roman" w:hAnsi="Times New Roman" w:cs="Times New Roman"/>
                <w:color w:val="auto"/>
                <w:highlight w:val="none"/>
              </w:rPr>
            </w:pPr>
          </w:p>
        </w:tc>
        <w:tc>
          <w:tcPr>
            <w:tcW w:w="611" w:type="pct"/>
            <w:vAlign w:val="center"/>
          </w:tcPr>
          <w:p w14:paraId="7C384BA5">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合计</w:t>
            </w:r>
          </w:p>
        </w:tc>
        <w:tc>
          <w:tcPr>
            <w:tcW w:w="922" w:type="pct"/>
            <w:vAlign w:val="center"/>
          </w:tcPr>
          <w:p w14:paraId="639B47F0">
            <w:pPr>
              <w:pStyle w:val="48"/>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110.24</w:t>
            </w:r>
          </w:p>
        </w:tc>
        <w:tc>
          <w:tcPr>
            <w:tcW w:w="1582" w:type="pct"/>
            <w:vAlign w:val="center"/>
          </w:tcPr>
          <w:p w14:paraId="1B88F7C4">
            <w:pPr>
              <w:pStyle w:val="48"/>
              <w:bidi w:val="0"/>
              <w:rPr>
                <w:rFonts w:hint="default" w:ascii="Times New Roman" w:hAnsi="Times New Roman" w:cs="Times New Roman"/>
                <w:color w:val="auto"/>
                <w:highlight w:val="none"/>
              </w:rPr>
            </w:pPr>
          </w:p>
        </w:tc>
        <w:tc>
          <w:tcPr>
            <w:tcW w:w="1584" w:type="pct"/>
            <w:vAlign w:val="center"/>
          </w:tcPr>
          <w:p w14:paraId="490C3D41">
            <w:pPr>
              <w:pStyle w:val="48"/>
              <w:bidi w:val="0"/>
              <w:rPr>
                <w:rFonts w:hint="default" w:ascii="Times New Roman" w:hAnsi="Times New Roman" w:cs="Times New Roman"/>
                <w:color w:val="auto"/>
                <w:highlight w:val="none"/>
              </w:rPr>
            </w:pPr>
          </w:p>
        </w:tc>
      </w:tr>
    </w:tbl>
    <w:p w14:paraId="114E0633">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项目实施后，原有的用地性质均变为工矿用地，</w:t>
      </w:r>
      <w:r>
        <w:rPr>
          <w:rFonts w:hint="default" w:ascii="Times New Roman" w:hAnsi="Times New Roman" w:cs="Times New Roman"/>
          <w:color w:val="auto"/>
          <w:highlight w:val="none"/>
          <w:lang w:val="en-US" w:eastAsia="zh-CN"/>
        </w:rPr>
        <w:t>土地利用类型和利用格局发生改变，</w:t>
      </w:r>
      <w:r>
        <w:rPr>
          <w:rFonts w:hint="default" w:ascii="Times New Roman" w:hAnsi="Times New Roman" w:cs="Times New Roman"/>
          <w:color w:val="auto"/>
          <w:highlight w:val="none"/>
        </w:rPr>
        <w:t>如</w:t>
      </w:r>
      <w:r>
        <w:rPr>
          <w:rFonts w:hint="default" w:ascii="Times New Roman" w:hAnsi="Times New Roman" w:cs="Times New Roman"/>
          <w:color w:val="auto"/>
          <w:highlight w:val="none"/>
          <w:lang w:val="en-US" w:eastAsia="zh-CN"/>
        </w:rPr>
        <w:t>原本的天然木草场</w:t>
      </w:r>
      <w:r>
        <w:rPr>
          <w:rFonts w:hint="default" w:ascii="Times New Roman" w:hAnsi="Times New Roman" w:cs="Times New Roman"/>
          <w:color w:val="auto"/>
          <w:highlight w:val="none"/>
        </w:rPr>
        <w:t>，在采矿期间转变为工业生产用地，改变了土地的直接利用方式</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本项目在运营过程中应</w:t>
      </w:r>
      <w:r>
        <w:rPr>
          <w:rFonts w:hint="default" w:ascii="Times New Roman" w:hAnsi="Times New Roman" w:cs="Times New Roman"/>
          <w:color w:val="auto"/>
          <w:highlight w:val="none"/>
        </w:rPr>
        <w:t>采取生态保护及恢复整治措施</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及时对采场已开采的部分进行整治，露天采场边开采边治理，形成一个台阶治理一个台阶，已开采完毕的台阶应在开采结束后及时进行生态恢复，覆土、绿化，播撒草籽，防止露采区地表裸露加大区域水土流失。</w:t>
      </w:r>
    </w:p>
    <w:p w14:paraId="41EE5646">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因此，在采取上述措施后，项目建设运营对当地土地利用现状的影响是可以接受的。</w:t>
      </w:r>
    </w:p>
    <w:p w14:paraId="2828002A">
      <w:pPr>
        <w:pStyle w:val="5"/>
        <w:bidi w:val="0"/>
        <w:rPr>
          <w:rFonts w:hint="default"/>
        </w:rPr>
      </w:pPr>
      <w:bookmarkStart w:id="338" w:name="5.2.5.2对土壤的影响分析"/>
      <w:bookmarkEnd w:id="338"/>
      <w:bookmarkStart w:id="339" w:name="_Toc6477"/>
      <w:r>
        <w:rPr>
          <w:rFonts w:hint="default"/>
        </w:rPr>
        <w:t>对土壤的影响分析</w:t>
      </w:r>
      <w:bookmarkEnd w:id="339"/>
    </w:p>
    <w:p w14:paraId="5093F16A">
      <w:pPr>
        <w:bidi w:val="0"/>
        <w:rPr>
          <w:rFonts w:hint="default" w:ascii="Times New Roman" w:hAnsi="Times New Roman" w:cs="Times New Roman"/>
          <w:color w:val="auto"/>
          <w:highlight w:val="none"/>
        </w:rPr>
      </w:pPr>
      <w:bookmarkStart w:id="340" w:name="5.2.5.3对植被的影响分析"/>
      <w:bookmarkEnd w:id="340"/>
      <w:r>
        <w:rPr>
          <w:rFonts w:hint="default" w:ascii="Times New Roman" w:hAnsi="Times New Roman" w:cs="Times New Roman"/>
          <w:color w:val="auto"/>
          <w:highlight w:val="none"/>
        </w:rPr>
        <w:t>矿山建设项目在其建设过程中将不可避免地会占用和破坏一定面积的土地。这些活动将直接破坏地表土层和植被，造成对土壤的破坏，从而造成对原有生态系统的破坏</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引起水土流失</w:t>
      </w:r>
      <w:r>
        <w:rPr>
          <w:rFonts w:hint="default" w:ascii="Times New Roman" w:hAnsi="Times New Roman" w:cs="Times New Roman"/>
          <w:color w:val="auto"/>
          <w:highlight w:val="none"/>
        </w:rPr>
        <w:t>。</w:t>
      </w:r>
    </w:p>
    <w:p w14:paraId="15F99E45">
      <w:pPr>
        <w:bidi w:val="0"/>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eastAsia="zh-CN"/>
        </w:rPr>
        <w:t>本工程</w:t>
      </w:r>
      <w:r>
        <w:rPr>
          <w:rFonts w:hint="default" w:ascii="Times New Roman" w:hAnsi="Times New Roman" w:cs="Times New Roman"/>
          <w:color w:val="auto"/>
          <w:highlight w:val="none"/>
        </w:rPr>
        <w:t>占地类型为</w:t>
      </w:r>
      <w:r>
        <w:rPr>
          <w:rFonts w:hint="default" w:ascii="Times New Roman" w:hAnsi="Times New Roman" w:cs="Times New Roman"/>
          <w:color w:val="auto"/>
          <w:highlight w:val="none"/>
          <w:lang w:val="en-US" w:eastAsia="zh-CN"/>
        </w:rPr>
        <w:t>天然牧草地</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土壤类型为风沙土。采矿挖掘、物料堆场作业、矿区车辆运输等生产活动均会对土壤造成干扰。</w:t>
      </w:r>
    </w:p>
    <w:p w14:paraId="12C0C7BB">
      <w:pPr>
        <w:bidi w:val="0"/>
        <w:rPr>
          <w:rFonts w:hint="default" w:ascii="Times New Roman" w:hAnsi="Times New Roman" w:cs="Times New Roman"/>
          <w:color w:val="auto"/>
          <w:highlight w:val="none"/>
        </w:rPr>
      </w:pPr>
      <w:bookmarkStart w:id="341" w:name="_Toc20603"/>
      <w:bookmarkStart w:id="342" w:name="_Toc2566"/>
      <w:bookmarkStart w:id="343" w:name="_Toc24219"/>
      <w:bookmarkStart w:id="344" w:name="_Toc15959"/>
      <w:bookmarkStart w:id="345" w:name="_Toc19389"/>
      <w:r>
        <w:rPr>
          <w:rFonts w:hint="default" w:ascii="Times New Roman" w:hAnsi="Times New Roman" w:cs="Times New Roman"/>
          <w:color w:val="auto"/>
          <w:highlight w:val="none"/>
        </w:rPr>
        <w:t>1</w:t>
      </w:r>
      <w:r>
        <w:rPr>
          <w:rFonts w:hint="default" w:ascii="Times New Roman" w:hAnsi="Times New Roman" w:cs="Times New Roman"/>
          <w:color w:val="auto"/>
          <w:highlight w:val="none"/>
          <w:lang w:eastAsia="zh-CN"/>
        </w:rPr>
        <w:t>、土壤</w:t>
      </w:r>
      <w:r>
        <w:rPr>
          <w:rFonts w:hint="default" w:ascii="Times New Roman" w:hAnsi="Times New Roman" w:cs="Times New Roman"/>
          <w:color w:val="auto"/>
          <w:highlight w:val="none"/>
        </w:rPr>
        <w:t>理化</w:t>
      </w:r>
      <w:r>
        <w:rPr>
          <w:rFonts w:hint="default" w:ascii="Times New Roman" w:hAnsi="Times New Roman" w:cs="Times New Roman"/>
          <w:color w:val="auto"/>
          <w:highlight w:val="none"/>
          <w:lang w:val="en-US" w:eastAsia="zh-CN"/>
        </w:rPr>
        <w:t>性质</w:t>
      </w:r>
      <w:r>
        <w:rPr>
          <w:rFonts w:hint="default" w:ascii="Times New Roman" w:hAnsi="Times New Roman" w:cs="Times New Roman"/>
          <w:color w:val="auto"/>
          <w:highlight w:val="none"/>
        </w:rPr>
        <w:t>的影响分析</w:t>
      </w:r>
      <w:bookmarkEnd w:id="341"/>
      <w:bookmarkEnd w:id="342"/>
      <w:bookmarkEnd w:id="343"/>
      <w:bookmarkEnd w:id="344"/>
      <w:bookmarkEnd w:id="345"/>
    </w:p>
    <w:p w14:paraId="434BCDD7">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矿山开采会导致土壤理化性质发生改变。首先，地表扰动之后，使得地表土壤结构变化，原有地表土层遭到扰动和破坏，上下土层混合，其次，频繁的扰动会使土壤含水率下降，加剧水土流失。</w:t>
      </w:r>
    </w:p>
    <w:p w14:paraId="1BD8269D">
      <w:pPr>
        <w:bidi w:val="0"/>
        <w:rPr>
          <w:rFonts w:hint="default" w:ascii="Times New Roman" w:hAnsi="Times New Roman" w:cs="Times New Roman"/>
          <w:color w:val="auto"/>
          <w:highlight w:val="none"/>
        </w:rPr>
      </w:pPr>
      <w:bookmarkStart w:id="346" w:name="_Toc26667"/>
      <w:bookmarkStart w:id="347" w:name="_Toc31192"/>
      <w:bookmarkStart w:id="348" w:name="_Toc30969"/>
      <w:bookmarkStart w:id="349" w:name="_Toc26652"/>
      <w:bookmarkStart w:id="350" w:name="_Toc32089"/>
      <w:r>
        <w:rPr>
          <w:rFonts w:hint="default" w:ascii="Times New Roman" w:hAnsi="Times New Roman" w:cs="Times New Roman"/>
          <w:color w:val="auto"/>
          <w:highlight w:val="none"/>
        </w:rPr>
        <w:t>2</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土壤侵蚀因素分析</w:t>
      </w:r>
      <w:bookmarkEnd w:id="346"/>
      <w:bookmarkEnd w:id="347"/>
      <w:bookmarkEnd w:id="348"/>
      <w:bookmarkEnd w:id="349"/>
      <w:bookmarkEnd w:id="350"/>
    </w:p>
    <w:p w14:paraId="124B1CF7">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根据开采项目的建设特点，土壤侵蚀因素主要包括以下几点：</w:t>
      </w:r>
    </w:p>
    <w:p w14:paraId="6570204A">
      <w:pPr>
        <w:bidi w:val="0"/>
        <w:rPr>
          <w:rFonts w:hint="default" w:ascii="Times New Roman" w:hAnsi="Times New Roman" w:cs="Times New Roman"/>
          <w:color w:val="auto"/>
          <w:highlight w:val="none"/>
        </w:rPr>
      </w:pPr>
      <w:bookmarkStart w:id="351" w:name="_Toc27098"/>
      <w:bookmarkStart w:id="352" w:name="_Toc7512"/>
      <w:bookmarkStart w:id="353" w:name="_Toc10049"/>
      <w:bookmarkStart w:id="354" w:name="_Toc165"/>
      <w:bookmarkStart w:id="355" w:name="_Toc4064"/>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荒草地植被受到扰动和破坏</w:t>
      </w:r>
      <w:bookmarkEnd w:id="351"/>
      <w:bookmarkEnd w:id="352"/>
      <w:bookmarkEnd w:id="353"/>
      <w:bookmarkEnd w:id="354"/>
      <w:bookmarkEnd w:id="355"/>
    </w:p>
    <w:p w14:paraId="0AD129C0">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在表土剥离、场地平整、矿区道路、</w:t>
      </w:r>
      <w:r>
        <w:rPr>
          <w:rFonts w:hint="default" w:ascii="Times New Roman" w:hAnsi="Times New Roman" w:cs="Times New Roman"/>
          <w:color w:val="auto"/>
          <w:highlight w:val="none"/>
          <w:lang w:val="en-US" w:eastAsia="zh-CN"/>
        </w:rPr>
        <w:t>排土场</w:t>
      </w:r>
      <w:r>
        <w:rPr>
          <w:rFonts w:hint="default" w:ascii="Times New Roman" w:hAnsi="Times New Roman" w:cs="Times New Roman"/>
          <w:color w:val="auto"/>
          <w:highlight w:val="none"/>
        </w:rPr>
        <w:t>占地等过程中，破坏了地表原有的草地植被，形成了片状、条带状的裸露面，植被对土壤的覆盖保护作用和根系固土作用丧失殆尽。</w:t>
      </w:r>
    </w:p>
    <w:p w14:paraId="2080D4F2">
      <w:pPr>
        <w:bidi w:val="0"/>
        <w:rPr>
          <w:rFonts w:hint="default" w:ascii="Times New Roman" w:hAnsi="Times New Roman" w:cs="Times New Roman"/>
          <w:color w:val="auto"/>
          <w:highlight w:val="none"/>
        </w:rPr>
      </w:pPr>
      <w:bookmarkStart w:id="356" w:name="_Toc25621"/>
      <w:bookmarkStart w:id="357" w:name="_Toc6585"/>
      <w:bookmarkStart w:id="358" w:name="_Toc7650"/>
      <w:bookmarkStart w:id="359" w:name="_Toc12170"/>
      <w:bookmarkStart w:id="360" w:name="_Toc20264"/>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土体表层松散性加大</w:t>
      </w:r>
      <w:bookmarkEnd w:id="356"/>
      <w:bookmarkEnd w:id="357"/>
      <w:bookmarkEnd w:id="358"/>
      <w:bookmarkEnd w:id="359"/>
      <w:bookmarkEnd w:id="360"/>
    </w:p>
    <w:p w14:paraId="2A3CBA90">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评价区为</w:t>
      </w:r>
      <w:r>
        <w:rPr>
          <w:rFonts w:hint="default" w:ascii="Times New Roman" w:hAnsi="Times New Roman" w:cs="Times New Roman"/>
          <w:color w:val="auto"/>
          <w:highlight w:val="none"/>
          <w:lang w:val="en-US" w:eastAsia="zh-CN"/>
        </w:rPr>
        <w:t>沙漠地</w:t>
      </w:r>
      <w:r>
        <w:rPr>
          <w:rFonts w:hint="default" w:ascii="Times New Roman" w:hAnsi="Times New Roman" w:cs="Times New Roman"/>
          <w:color w:val="auto"/>
          <w:highlight w:val="none"/>
        </w:rPr>
        <w:t>带</w:t>
      </w:r>
      <w:r>
        <w:rPr>
          <w:rFonts w:hint="default" w:ascii="Times New Roman" w:hAnsi="Times New Roman" w:cs="Times New Roman"/>
          <w:color w:val="auto"/>
          <w:highlight w:val="none"/>
          <w:lang w:eastAsia="zh-CN"/>
        </w:rPr>
        <w:t>，开采</w:t>
      </w:r>
      <w:r>
        <w:rPr>
          <w:rFonts w:hint="default" w:ascii="Times New Roman" w:hAnsi="Times New Roman" w:cs="Times New Roman"/>
          <w:color w:val="auto"/>
          <w:highlight w:val="none"/>
        </w:rPr>
        <w:t>过程破坏大面积的地表土壤，大量的松散表土发生运移和重新堆积，植被被损坏，使得地表土壤结构变化，上下土层混合，土壤水分大量散失，土体的机械组成混杂不一，丧失了原地表土壤的抗蚀力。形成新的矿山土壤类型，地表无植被覆盖，土壤肥力降低，极易发生土壤侵蚀。</w:t>
      </w:r>
    </w:p>
    <w:p w14:paraId="3C931328">
      <w:pPr>
        <w:bidi w:val="0"/>
        <w:rPr>
          <w:rFonts w:hint="default" w:ascii="Times New Roman" w:hAnsi="Times New Roman" w:cs="Times New Roman"/>
          <w:color w:val="auto"/>
          <w:highlight w:val="none"/>
        </w:rPr>
      </w:pPr>
      <w:bookmarkStart w:id="361" w:name="_Toc12335"/>
      <w:bookmarkStart w:id="362" w:name="_Toc29282"/>
      <w:bookmarkStart w:id="363" w:name="_Toc15538"/>
      <w:bookmarkStart w:id="364" w:name="_Toc16488"/>
      <w:bookmarkStart w:id="365" w:name="_Toc5180"/>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土壤侵蚀影响评价</w:t>
      </w:r>
      <w:bookmarkEnd w:id="361"/>
      <w:bookmarkEnd w:id="362"/>
      <w:bookmarkEnd w:id="363"/>
      <w:bookmarkEnd w:id="364"/>
      <w:bookmarkEnd w:id="365"/>
    </w:p>
    <w:p w14:paraId="5140BF4D">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根据评价区气候特征、地形条件以及工程的建设特点，开采项目新增土壤侵蚀特征主要表现为</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①不同功能区土壤侵蚀强度存在着显著的差异；②呈片状集中分布或线型带状分布；③水土流失强度高，但时间短，范围小，易人为控制；④排土场排弃物质地不均，以风力侵蚀为主，兼有水力侵蚀。</w:t>
      </w:r>
    </w:p>
    <w:p w14:paraId="7A0679A8">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项目运营过程中随着土地复垦、生态恢复工程的实施，土壤侵蚀过程将得到有效控制，随着生态环境的改善，最终会使原来的土壤侵蚀得到根本遏制。</w:t>
      </w:r>
    </w:p>
    <w:p w14:paraId="2D7FC78E">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总之，矿区的开发建设活动不可避免地将破坏原有自然植被和土地资源，采掘场的开挖破坏、</w:t>
      </w:r>
      <w:r>
        <w:rPr>
          <w:rFonts w:hint="default" w:ascii="Times New Roman" w:hAnsi="Times New Roman" w:cs="Times New Roman"/>
          <w:color w:val="auto"/>
          <w:highlight w:val="none"/>
          <w:lang w:val="en-US" w:eastAsia="zh-CN"/>
        </w:rPr>
        <w:t>工业广场、排土场临时堆场等永久和临时占地的征占，</w:t>
      </w:r>
      <w:r>
        <w:rPr>
          <w:rFonts w:hint="default" w:ascii="Times New Roman" w:hAnsi="Times New Roman" w:cs="Times New Roman"/>
          <w:color w:val="auto"/>
          <w:highlight w:val="none"/>
        </w:rPr>
        <w:t>将新增大量的水土流失，导致水土流失危害程度显著增强，矿区生态环境恶化。但是矿区生产期间和服务期满后都将不断</w:t>
      </w:r>
      <w:r>
        <w:rPr>
          <w:rFonts w:hint="default" w:ascii="Times New Roman" w:hAnsi="Times New Roman" w:cs="Times New Roman"/>
          <w:color w:val="auto"/>
          <w:highlight w:val="none"/>
          <w:lang w:eastAsia="zh-CN"/>
        </w:rPr>
        <w:t>地</w:t>
      </w:r>
      <w:r>
        <w:rPr>
          <w:rFonts w:hint="default" w:ascii="Times New Roman" w:hAnsi="Times New Roman" w:cs="Times New Roman"/>
          <w:color w:val="auto"/>
          <w:highlight w:val="none"/>
        </w:rPr>
        <w:t>进行生态建设、水土保持和土地复垦生态建设工作后，土壤侵蚀将会大为减少，水土流失得到控制。</w:t>
      </w:r>
    </w:p>
    <w:p w14:paraId="07BAE8C6">
      <w:pPr>
        <w:pStyle w:val="5"/>
        <w:bidi w:val="0"/>
        <w:rPr>
          <w:rFonts w:hint="default"/>
        </w:rPr>
      </w:pPr>
      <w:bookmarkStart w:id="366" w:name="_Toc2223"/>
      <w:r>
        <w:rPr>
          <w:rFonts w:hint="default"/>
        </w:rPr>
        <w:t>对植被的影响分析</w:t>
      </w:r>
      <w:bookmarkEnd w:id="366"/>
    </w:p>
    <w:p w14:paraId="7B0E7182">
      <w:pPr>
        <w:bidi w:val="0"/>
        <w:rPr>
          <w:rFonts w:hint="default" w:ascii="Times New Roman" w:hAnsi="Times New Roman" w:cs="Times New Roman"/>
          <w:color w:val="auto"/>
          <w:highlight w:val="none"/>
          <w:lang w:val="en-US" w:eastAsia="zh-CN"/>
        </w:rPr>
      </w:pPr>
      <w:bookmarkStart w:id="367" w:name="_Toc32416"/>
      <w:bookmarkStart w:id="368" w:name="_Toc10851"/>
      <w:bookmarkStart w:id="369" w:name="_Toc15215"/>
      <w:bookmarkStart w:id="370" w:name="_Toc2578"/>
      <w:r>
        <w:rPr>
          <w:rFonts w:hint="default" w:ascii="Times New Roman" w:hAnsi="Times New Roman" w:cs="Times New Roman"/>
          <w:color w:val="auto"/>
          <w:highlight w:val="none"/>
          <w:lang w:val="en-US" w:eastAsia="zh-CN"/>
        </w:rPr>
        <w:t>（1）对生物量的影响分析</w:t>
      </w:r>
      <w:bookmarkEnd w:id="367"/>
      <w:bookmarkEnd w:id="368"/>
      <w:bookmarkEnd w:id="369"/>
      <w:bookmarkEnd w:id="370"/>
    </w:p>
    <w:p w14:paraId="1486960A">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在影响植被资源的各项因素中，地表剥离、排土场压占对植被的影响最大，其次为地面设施的建设。工业场地等工程设施建设将不可避免地造成植物资源损失，</w:t>
      </w:r>
      <w:r>
        <w:rPr>
          <w:rFonts w:hint="default" w:ascii="Times New Roman" w:hAnsi="Times New Roman" w:cs="Times New Roman"/>
          <w:color w:val="auto"/>
          <w:highlight w:val="none"/>
        </w:rPr>
        <w:t>机械碾压、</w:t>
      </w:r>
      <w:r>
        <w:rPr>
          <w:rFonts w:hint="default" w:ascii="Times New Roman" w:hAnsi="Times New Roman" w:cs="Times New Roman"/>
          <w:color w:val="auto"/>
          <w:highlight w:val="none"/>
          <w:lang w:eastAsia="zh-CN"/>
        </w:rPr>
        <w:t>工作</w:t>
      </w:r>
      <w:r>
        <w:rPr>
          <w:rFonts w:hint="default" w:ascii="Times New Roman" w:hAnsi="Times New Roman" w:cs="Times New Roman"/>
          <w:color w:val="auto"/>
          <w:highlight w:val="none"/>
        </w:rPr>
        <w:t>人员践踏等会使施工区周围植物受到不同程度的破坏</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rPr>
        <w:t>同时，地表受扰动后会增加水土流失量。</w:t>
      </w:r>
    </w:p>
    <w:p w14:paraId="345ED02B">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项目区植被主要为梭梭、针矛等荒漠植被，这些植物在当地分布比较均匀，项目建设的局部植被破坏，不会使评价区植物种群组成发生根本变化，也不会造成某一植物种在评价区范围内消失。植被调查表明，区内无珍稀濒危物种、国家保护濒危植物及受威胁物种。</w:t>
      </w:r>
    </w:p>
    <w:p w14:paraId="221ED655">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项目区占用天然牧草地</w:t>
      </w:r>
      <w:r>
        <w:rPr>
          <w:rFonts w:hint="eastAsia" w:cs="Times New Roman"/>
          <w:color w:val="auto"/>
          <w:highlight w:val="none"/>
          <w:lang w:val="en-US" w:eastAsia="zh-CN"/>
        </w:rPr>
        <w:t>110.24</w:t>
      </w:r>
      <w:r>
        <w:rPr>
          <w:rFonts w:hint="default" w:ascii="Times New Roman" w:hAnsi="Times New Roman" w:cs="Times New Roman"/>
          <w:color w:val="auto"/>
          <w:highlight w:val="none"/>
          <w:lang w:val="en-US" w:eastAsia="zh-CN"/>
        </w:rPr>
        <w:t>hm</w:t>
      </w:r>
      <w:r>
        <w:rPr>
          <w:rFonts w:hint="default" w:ascii="Times New Roman" w:hAnsi="Times New Roman" w:cs="Times New Roman"/>
          <w:color w:val="auto"/>
          <w:highlight w:val="none"/>
          <w:vertAlign w:val="superscript"/>
          <w:lang w:val="en-US" w:eastAsia="zh-CN"/>
        </w:rPr>
        <w:t>2</w:t>
      </w:r>
      <w:r>
        <w:rPr>
          <w:rFonts w:hint="default" w:ascii="Times New Roman" w:hAnsi="Times New Roman" w:cs="Times New Roman"/>
          <w:color w:val="auto"/>
          <w:highlight w:val="none"/>
          <w:lang w:val="en-US" w:eastAsia="zh-CN"/>
        </w:rPr>
        <w:t>。草地资源等级评价的原则及标准遵循中国北方《重点牧区草场资源调查大纲和技术规程》，即以草地草群的品质之优劣确定草地的质况——“等”，以草群地上部分鲜草生产量的多少为指标确定草地的量况——“级”，用此来反映草地资源的经济价值。</w:t>
      </w:r>
    </w:p>
    <w:p w14:paraId="30BA0D83">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按统一规定从目前实际出发，在确定草群品质的优劣时主要以组成草本植物的适口性特点为依据，通过野外的实地观察，向实际从事多年牧业生产的牧民群众访问了解和多年研究工作经验的积累，进行综合评价。按其适口性优劣划分为优、良、中、低、劣五类不同适口性级别的牧草。再以优、良、中、低、劣这五类不同品质牧草在各草群中所占的重量百分比例划分出不同“等”草地。各“等”草地划分的具体标准如下：</w:t>
      </w:r>
    </w:p>
    <w:p w14:paraId="0705E5DA">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一等草地：优等牧草占60%以上；</w:t>
      </w:r>
    </w:p>
    <w:p w14:paraId="18E2D1C6">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二等草地：良等牧草占60%以上，优等及中等占40%；</w:t>
      </w:r>
    </w:p>
    <w:p w14:paraId="48A7F305">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三等草地：良等牧草占60%以上，良等及低等占40%；</w:t>
      </w:r>
    </w:p>
    <w:p w14:paraId="2C62908A">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四等草地：低等牧草占60%以上，中等及劣等占40%；</w:t>
      </w:r>
    </w:p>
    <w:p w14:paraId="08AF3B04">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五等草地：劣等牧草占60%以上。</w:t>
      </w:r>
    </w:p>
    <w:p w14:paraId="39DE0E42">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以草地草群生产量多少衡量草地状况是草地经济价值的另一重要体现。草群生产量的高低，不仅体现了草地生产力的载畜潜力的大小，而且也反映出了组成草地草群中各优、良、中、低、劣牧草的参与量及产量的比例构成。根据中国北方《重点牧区草场资源调查大纲和技术规程》规定，以年内草地产量最高月份的测定值代表草地草群的自然生产力水平，并规定按单位面积产量高低确定和划分出不同的草地级，划分各级的标准如下：</w:t>
      </w:r>
    </w:p>
    <w:p w14:paraId="10216EF8">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第1级草地：每公顷产鲜草12000kg以上；</w:t>
      </w:r>
    </w:p>
    <w:p w14:paraId="4715EE35">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第2级草地：每公顷产鲜草12000～9000kg；</w:t>
      </w:r>
    </w:p>
    <w:p w14:paraId="4AA09BC4">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第3级草地：每公顷产鲜草9000～6000kg；</w:t>
      </w:r>
    </w:p>
    <w:p w14:paraId="5EC42221">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第4级草地：每公顷产鲜草6000～4500kg；</w:t>
      </w:r>
    </w:p>
    <w:p w14:paraId="0F40CFFE">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第5级草地：每公顷产鲜草4500～3000kg；</w:t>
      </w:r>
    </w:p>
    <w:p w14:paraId="52C820D3">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第6级草地：每公顷产鲜草3000～1500kg；</w:t>
      </w:r>
    </w:p>
    <w:p w14:paraId="74CB084F">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第7级草地：每公顷产鲜草1500～750kg；</w:t>
      </w:r>
    </w:p>
    <w:p w14:paraId="08F25BA3">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第8级草地：每公顷产鲜草750kg以下。</w:t>
      </w:r>
    </w:p>
    <w:p w14:paraId="641FDF67">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根据上述标准，结合实地调查，主要植被是</w:t>
      </w:r>
      <w:r>
        <w:rPr>
          <w:rFonts w:hint="default" w:ascii="Times New Roman" w:hAnsi="Times New Roman" w:cs="Times New Roman"/>
          <w:color w:val="auto"/>
          <w:highlight w:val="none"/>
          <w:lang w:val="en-US" w:eastAsia="zh-CN"/>
        </w:rPr>
        <w:t>梭梭、针矛等沙漠植被</w:t>
      </w:r>
      <w:r>
        <w:rPr>
          <w:rFonts w:hint="default" w:ascii="Times New Roman" w:hAnsi="Times New Roman" w:cs="Times New Roman"/>
          <w:color w:val="auto"/>
          <w:highlight w:val="none"/>
        </w:rPr>
        <w:t>，劣质牧草比重较多，</w:t>
      </w:r>
      <w:r>
        <w:rPr>
          <w:rFonts w:hint="default" w:ascii="Times New Roman" w:hAnsi="Times New Roman" w:cs="Times New Roman"/>
          <w:color w:val="auto"/>
          <w:highlight w:val="none"/>
          <w:lang w:val="en-US" w:eastAsia="zh-CN"/>
        </w:rPr>
        <w:t>根据草原管理站查询结果</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草场等级为4等7级，</w:t>
      </w:r>
      <w:r>
        <w:rPr>
          <w:rFonts w:hint="default" w:ascii="Times New Roman" w:hAnsi="Times New Roman" w:cs="Times New Roman"/>
          <w:color w:val="auto"/>
          <w:highlight w:val="none"/>
        </w:rPr>
        <w:t>工程所占土地产草量约为</w:t>
      </w:r>
      <w:r>
        <w:rPr>
          <w:rFonts w:hint="default" w:ascii="Times New Roman" w:hAnsi="Times New Roman" w:cs="Times New Roman"/>
          <w:color w:val="auto"/>
          <w:highlight w:val="none"/>
          <w:lang w:val="en-US" w:eastAsia="zh-CN"/>
        </w:rPr>
        <w:t>1200</w:t>
      </w:r>
      <w:r>
        <w:rPr>
          <w:rFonts w:hint="default" w:ascii="Times New Roman" w:hAnsi="Times New Roman" w:cs="Times New Roman"/>
          <w:color w:val="auto"/>
          <w:highlight w:val="none"/>
        </w:rPr>
        <w:t>kg/hm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w:t>
      </w:r>
    </w:p>
    <w:p w14:paraId="39EB0591">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基于对评价区内植被分布现状情况的评价可知，项目区及其周围内植被覆盖度</w:t>
      </w:r>
      <w:r>
        <w:rPr>
          <w:rFonts w:hint="default" w:ascii="Times New Roman" w:hAnsi="Times New Roman" w:cs="Times New Roman"/>
          <w:color w:val="auto"/>
          <w:highlight w:val="none"/>
          <w:lang w:eastAsia="zh-CN"/>
        </w:rPr>
        <w:t>一般</w:t>
      </w:r>
      <w:r>
        <w:rPr>
          <w:rFonts w:hint="default" w:ascii="Times New Roman" w:hAnsi="Times New Roman" w:cs="Times New Roman"/>
          <w:color w:val="auto"/>
          <w:highlight w:val="none"/>
        </w:rPr>
        <w:t>，工业</w:t>
      </w:r>
      <w:r>
        <w:rPr>
          <w:rFonts w:hint="default" w:ascii="Times New Roman" w:hAnsi="Times New Roman" w:cs="Times New Roman"/>
          <w:color w:val="auto"/>
          <w:highlight w:val="none"/>
          <w:lang w:val="en-US" w:eastAsia="zh-CN"/>
        </w:rPr>
        <w:t>广场</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排土场堆场</w:t>
      </w:r>
      <w:r>
        <w:rPr>
          <w:rFonts w:hint="default" w:ascii="Times New Roman" w:hAnsi="Times New Roman" w:cs="Times New Roman"/>
          <w:color w:val="auto"/>
          <w:highlight w:val="none"/>
        </w:rPr>
        <w:t>等都在不同程度</w:t>
      </w:r>
      <w:r>
        <w:rPr>
          <w:rFonts w:hint="default" w:ascii="Times New Roman" w:hAnsi="Times New Roman" w:cs="Times New Roman"/>
          <w:color w:val="auto"/>
          <w:highlight w:val="none"/>
          <w:lang w:eastAsia="zh-CN"/>
        </w:rPr>
        <w:t>地</w:t>
      </w:r>
      <w:r>
        <w:rPr>
          <w:rFonts w:hint="default" w:ascii="Times New Roman" w:hAnsi="Times New Roman" w:cs="Times New Roman"/>
          <w:color w:val="auto"/>
          <w:highlight w:val="none"/>
        </w:rPr>
        <w:t>占用植物资源，特别是大面积</w:t>
      </w:r>
      <w:r>
        <w:rPr>
          <w:rFonts w:hint="default" w:ascii="Times New Roman" w:hAnsi="Times New Roman" w:cs="Times New Roman"/>
          <w:color w:val="auto"/>
          <w:highlight w:val="none"/>
          <w:lang w:eastAsia="zh-CN"/>
        </w:rPr>
        <w:t>地</w:t>
      </w:r>
      <w:r>
        <w:rPr>
          <w:rFonts w:hint="default" w:ascii="Times New Roman" w:hAnsi="Times New Roman" w:cs="Times New Roman"/>
          <w:color w:val="auto"/>
          <w:highlight w:val="none"/>
        </w:rPr>
        <w:t>改变地表覆盖物的类型，根据项目区占地类型及生态调查统计，项目建设过程中造成的生物量损失约为</w:t>
      </w:r>
      <w:r>
        <w:rPr>
          <w:rFonts w:hint="eastAsia" w:cs="Times New Roman"/>
          <w:color w:val="auto"/>
          <w:highlight w:val="none"/>
          <w:lang w:val="en-US" w:eastAsia="zh-CN"/>
        </w:rPr>
        <w:t>132</w:t>
      </w:r>
      <w:r>
        <w:rPr>
          <w:rFonts w:hint="default" w:ascii="Times New Roman" w:hAnsi="Times New Roman" w:cs="Times New Roman"/>
          <w:color w:val="auto"/>
          <w:highlight w:val="none"/>
        </w:rPr>
        <w:t>t。</w:t>
      </w:r>
    </w:p>
    <w:p w14:paraId="1AC5ABAA">
      <w:pPr>
        <w:bidi w:val="0"/>
        <w:rPr>
          <w:rFonts w:hint="default" w:ascii="Times New Roman" w:hAnsi="Times New Roman" w:cs="Times New Roman"/>
          <w:color w:val="auto"/>
          <w:highlight w:val="none"/>
          <w:lang w:val="en-US" w:eastAsia="zh-CN"/>
        </w:rPr>
      </w:pPr>
      <w:bookmarkStart w:id="371" w:name="_Toc14001"/>
      <w:bookmarkStart w:id="372" w:name="_Toc30728"/>
      <w:bookmarkStart w:id="373" w:name="_Toc27028"/>
      <w:bookmarkStart w:id="374" w:name="_Toc29619"/>
      <w:r>
        <w:rPr>
          <w:rFonts w:hint="default" w:ascii="Times New Roman" w:hAnsi="Times New Roman" w:cs="Times New Roman"/>
          <w:color w:val="auto"/>
          <w:highlight w:val="none"/>
          <w:lang w:val="en-US" w:eastAsia="zh-CN"/>
        </w:rPr>
        <w:t>（2）粉尘对植物生长影响分析</w:t>
      </w:r>
      <w:bookmarkEnd w:id="371"/>
      <w:bookmarkEnd w:id="372"/>
      <w:bookmarkEnd w:id="373"/>
      <w:bookmarkEnd w:id="374"/>
    </w:p>
    <w:p w14:paraId="27C2C906">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工程车辆运输过程中及生产过程产生的粉尘等污染物会对项目区周围空气环境产生影响。污染物可通过自然沉降和降水淋溶等途径进入土壤环境，从物理、化学等方面影响周围土壤的孔隙度、团粒结构、酸碱度、土壤肥力及微量元素含量等，从而间接影响植被生长。粉尘降落到植物叶面上，将堵塞叶面气孔，使光合作用强度下降。同时，覆尘叶片吸收红外光辐射的能力增强，导致叶温增高，蒸腾速度加快，引起失水，使植物生长发育不良。本工程在生产过程中采取防尘措施，将尽可能降低扩散到附近植被的粉尘量。</w:t>
      </w:r>
    </w:p>
    <w:p w14:paraId="0D2F2483">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因项目所在地区干旱少雨，植物进行移植后难以存活；若进行人工补偿种植，耗费在当地极其宝贵的水资源的同时，植物存活率亦较低。因此应采取自然恢复为主，人工养护为辅的治理模式，合理利用水资源，高效保护植被，建设可持续发展绿色矿山，同时运营期应加强矿区绿化，种植适宜环境的植被类型。</w:t>
      </w:r>
    </w:p>
    <w:p w14:paraId="55F9D95E">
      <w:pPr>
        <w:bidi w:val="0"/>
        <w:rPr>
          <w:rFonts w:hint="default" w:ascii="Times New Roman" w:hAnsi="Times New Roman" w:cs="Times New Roman"/>
          <w:color w:val="auto"/>
          <w:highlight w:val="none"/>
          <w:lang w:val="en-US" w:eastAsia="zh-CN"/>
        </w:rPr>
      </w:pPr>
      <w:bookmarkStart w:id="375" w:name="_Toc9262"/>
      <w:bookmarkStart w:id="376" w:name="_Toc17305"/>
      <w:bookmarkStart w:id="377" w:name="_Toc26879"/>
      <w:bookmarkStart w:id="378" w:name="_Toc14070"/>
      <w:r>
        <w:rPr>
          <w:rFonts w:hint="default" w:ascii="Times New Roman" w:hAnsi="Times New Roman" w:cs="Times New Roman"/>
          <w:color w:val="auto"/>
          <w:highlight w:val="none"/>
          <w:lang w:val="en-US" w:eastAsia="zh-CN"/>
        </w:rPr>
        <w:t>（3）闭矿后对植被的影响</w:t>
      </w:r>
      <w:bookmarkEnd w:id="375"/>
      <w:bookmarkEnd w:id="376"/>
      <w:bookmarkEnd w:id="377"/>
      <w:bookmarkEnd w:id="378"/>
    </w:p>
    <w:p w14:paraId="31BE9DEC">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闭矿期，排土场、生活区、工业广场等将进行植被恢复等生态建设，会增加矿区的植被覆盖率，有利于植被的保护与恢复。负面影响主要表现在种植初期，例如种草前的挖坑、整地使土壤变得疏松，易于发生土壤侵蚀，但这种影响是短暂的，随着人工种植的植物的发育生长和植被覆盖度的提高，会使作业区的植物生存环境逐渐变好，从而使原来被影响或破坏的植物也逐渐得到恢复，并有可能超过原来的长势，使生态系统顺向演替。</w:t>
      </w:r>
    </w:p>
    <w:p w14:paraId="15CBEE8A">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总的说来，开采在运营期将清除地表植被，剥离地表覆盖层，直接减少生物量，降低植被覆盖率，破坏动植物原有的生存环境。采取以植被恢复为核心的生态恢复措施，对矿山开采过程中造成的植被损失进行恢复和补偿。</w:t>
      </w:r>
    </w:p>
    <w:p w14:paraId="30344556">
      <w:pPr>
        <w:pStyle w:val="5"/>
        <w:bidi w:val="0"/>
        <w:rPr>
          <w:rFonts w:hint="default"/>
        </w:rPr>
      </w:pPr>
      <w:bookmarkStart w:id="379" w:name="5.2.5.4对野生动物的影响分析"/>
      <w:bookmarkEnd w:id="379"/>
      <w:bookmarkStart w:id="380" w:name="_Toc12844"/>
      <w:r>
        <w:rPr>
          <w:rFonts w:hint="default"/>
        </w:rPr>
        <w:t>对野生动物的影响分析</w:t>
      </w:r>
      <w:bookmarkEnd w:id="380"/>
    </w:p>
    <w:p w14:paraId="28BBC4F1">
      <w:pPr>
        <w:spacing w:line="360" w:lineRule="auto"/>
        <w:ind w:firstLine="480"/>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4"/>
          <w:szCs w:val="24"/>
          <w:highlight w:val="none"/>
          <w:lang w:val="en-US" w:eastAsia="zh-CN"/>
        </w:rPr>
        <w:t>经调查，</w:t>
      </w:r>
      <w:r>
        <w:rPr>
          <w:rFonts w:hint="default" w:ascii="Times New Roman" w:hAnsi="Times New Roman" w:eastAsia="宋体" w:cs="Times New Roman"/>
          <w:color w:val="auto"/>
          <w:sz w:val="24"/>
          <w:szCs w:val="24"/>
          <w:highlight w:val="none"/>
          <w:lang w:val="en-US" w:eastAsia="zh-CN"/>
        </w:rPr>
        <w:t>区域生产繁衍的野生动物很少，</w:t>
      </w:r>
      <w:r>
        <w:rPr>
          <w:rFonts w:hint="default" w:ascii="Times New Roman" w:hAnsi="Times New Roman" w:eastAsia="宋体" w:cs="Times New Roman"/>
          <w:color w:val="auto"/>
          <w:kern w:val="0"/>
          <w:sz w:val="24"/>
          <w:szCs w:val="24"/>
          <w:highlight w:val="none"/>
          <w:lang w:val="en-US" w:eastAsia="zh-CN" w:bidi="ar"/>
        </w:rPr>
        <w:t>现有的野生动物多为一些常见的鸟类、</w:t>
      </w:r>
      <w:r>
        <w:rPr>
          <w:rFonts w:hint="default" w:ascii="Times New Roman" w:hAnsi="Times New Roman" w:cs="Times New Roman"/>
          <w:color w:val="auto"/>
          <w:kern w:val="0"/>
          <w:sz w:val="24"/>
          <w:szCs w:val="24"/>
          <w:highlight w:val="none"/>
          <w:lang w:val="en-US" w:eastAsia="zh-CN" w:bidi="ar"/>
        </w:rPr>
        <w:t>啮齿</w:t>
      </w:r>
      <w:r>
        <w:rPr>
          <w:rFonts w:hint="default" w:ascii="Times New Roman" w:hAnsi="Times New Roman" w:eastAsia="宋体" w:cs="Times New Roman"/>
          <w:color w:val="auto"/>
          <w:kern w:val="0"/>
          <w:sz w:val="24"/>
          <w:szCs w:val="24"/>
          <w:highlight w:val="none"/>
          <w:lang w:val="en-US" w:eastAsia="zh-CN" w:bidi="ar"/>
        </w:rPr>
        <w:t>类</w:t>
      </w:r>
      <w:r>
        <w:rPr>
          <w:rFonts w:hint="default" w:ascii="Times New Roman" w:hAnsi="Times New Roman" w:cs="Times New Roman"/>
          <w:color w:val="auto"/>
          <w:kern w:val="0"/>
          <w:sz w:val="24"/>
          <w:szCs w:val="24"/>
          <w:highlight w:val="none"/>
          <w:lang w:val="en-US" w:eastAsia="zh-CN" w:bidi="ar"/>
        </w:rPr>
        <w:t>、爬行类</w:t>
      </w:r>
      <w:r>
        <w:rPr>
          <w:rFonts w:hint="default" w:ascii="Times New Roman" w:hAnsi="Times New Roman" w:eastAsia="宋体" w:cs="Times New Roman"/>
          <w:color w:val="auto"/>
          <w:kern w:val="0"/>
          <w:sz w:val="24"/>
          <w:szCs w:val="24"/>
          <w:highlight w:val="none"/>
          <w:lang w:val="en-US" w:eastAsia="zh-CN" w:bidi="ar"/>
        </w:rPr>
        <w:t>和昆虫等</w:t>
      </w:r>
      <w:r>
        <w:rPr>
          <w:rFonts w:hint="eastAsia" w:cs="Times New Roman"/>
          <w:color w:val="auto"/>
          <w:kern w:val="0"/>
          <w:sz w:val="24"/>
          <w:szCs w:val="24"/>
          <w:highlight w:val="none"/>
          <w:lang w:val="en-US" w:eastAsia="zh-CN" w:bidi="ar"/>
        </w:rPr>
        <w:t>，无国家保护类哺乳动物，鸟类中苍鹰为</w:t>
      </w:r>
      <w:r>
        <w:rPr>
          <w:rFonts w:hint="eastAsia" w:ascii="Times New Roman" w:hAnsi="Times New Roman" w:eastAsia="宋体" w:cs="Times New Roman"/>
          <w:color w:val="auto"/>
          <w:sz w:val="21"/>
          <w:szCs w:val="21"/>
          <w:highlight w:val="none"/>
          <w:lang w:eastAsia="zh-CN"/>
        </w:rPr>
        <w:t>国家Ⅱ级保护动物</w:t>
      </w:r>
      <w:r>
        <w:rPr>
          <w:rFonts w:hint="default" w:ascii="Times New Roman" w:hAnsi="Times New Roman" w:eastAsia="宋体" w:cs="Times New Roman"/>
          <w:color w:val="auto"/>
          <w:kern w:val="0"/>
          <w:sz w:val="24"/>
          <w:szCs w:val="24"/>
          <w:highlight w:val="none"/>
          <w:lang w:val="en-US" w:eastAsia="zh-CN" w:bidi="ar"/>
        </w:rPr>
        <w:t>。</w:t>
      </w:r>
      <w:r>
        <w:rPr>
          <w:rFonts w:hint="default" w:ascii="Times New Roman" w:hAnsi="Times New Roman" w:cs="Times New Roman"/>
          <w:color w:val="auto"/>
          <w:kern w:val="0"/>
          <w:sz w:val="24"/>
          <w:szCs w:val="24"/>
          <w:highlight w:val="none"/>
          <w:lang w:val="en-US" w:eastAsia="zh-CN" w:bidi="ar"/>
        </w:rPr>
        <w:t>矿区开采范围内未发现重点保护野生动物的踪迹（包括足印、粪便、体毛、爪印、食痕、睡窝、洞穴）。</w:t>
      </w:r>
    </w:p>
    <w:p w14:paraId="0ACF5D1E">
      <w:pPr>
        <w:ind w:firstLine="480"/>
        <w:jc w:val="left"/>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sz w:val="24"/>
          <w:szCs w:val="24"/>
          <w:highlight w:val="none"/>
          <w:lang w:val="en-US" w:eastAsia="zh-CN"/>
        </w:rPr>
        <w:t>项目</w:t>
      </w:r>
      <w:r>
        <w:rPr>
          <w:rFonts w:hint="default" w:ascii="Times New Roman" w:hAnsi="Times New Roman" w:cs="Times New Roman"/>
          <w:color w:val="auto"/>
          <w:sz w:val="24"/>
          <w:szCs w:val="24"/>
          <w:highlight w:val="none"/>
          <w:lang w:val="en-US" w:eastAsia="zh-CN"/>
        </w:rPr>
        <w:t>应设</w:t>
      </w:r>
      <w:r>
        <w:rPr>
          <w:rFonts w:hint="default" w:ascii="Times New Roman" w:hAnsi="Times New Roman" w:eastAsia="宋体" w:cs="Times New Roman"/>
          <w:color w:val="auto"/>
          <w:sz w:val="24"/>
          <w:szCs w:val="24"/>
          <w:highlight w:val="none"/>
          <w:lang w:val="en-US" w:eastAsia="zh-CN"/>
        </w:rPr>
        <w:t>厂界围栏对外环境野生动物进行了隔离，避免了外界野生动物进入而造成影响。项目区各种机械</w:t>
      </w:r>
      <w:r>
        <w:rPr>
          <w:rFonts w:hint="default" w:ascii="Times New Roman" w:hAnsi="Times New Roman" w:cs="Times New Roman"/>
          <w:color w:val="auto"/>
          <w:sz w:val="24"/>
          <w:szCs w:val="24"/>
          <w:highlight w:val="none"/>
          <w:lang w:val="en-US" w:eastAsia="zh-CN"/>
        </w:rPr>
        <w:t>产生</w:t>
      </w:r>
      <w:r>
        <w:rPr>
          <w:rFonts w:hint="default" w:ascii="Times New Roman" w:hAnsi="Times New Roman" w:eastAsia="宋体" w:cs="Times New Roman"/>
          <w:color w:val="auto"/>
          <w:sz w:val="24"/>
          <w:szCs w:val="24"/>
          <w:highlight w:val="none"/>
          <w:lang w:val="en-US" w:eastAsia="zh-CN"/>
        </w:rPr>
        <w:t>的噪声和人员活动对外环境动物造成干扰，大型野生动物很少出现，仅有少量小型爬行类动物出没。</w:t>
      </w:r>
    </w:p>
    <w:p w14:paraId="502790C8">
      <w:pPr>
        <w:bidi w:val="0"/>
        <w:rPr>
          <w:rFonts w:hint="default" w:ascii="Times New Roman" w:hAnsi="Times New Roman" w:cs="Times New Roman"/>
          <w:color w:val="auto"/>
          <w:highlight w:val="none"/>
          <w:lang w:val="en-US" w:eastAsia="zh-CN"/>
        </w:rPr>
      </w:pPr>
      <w:bookmarkStart w:id="381" w:name="_Toc28209"/>
      <w:bookmarkStart w:id="382" w:name="_Toc29676"/>
      <w:bookmarkStart w:id="383" w:name="_Toc31931"/>
      <w:bookmarkStart w:id="384" w:name="_Toc2267"/>
      <w:r>
        <w:rPr>
          <w:rFonts w:hint="default" w:ascii="Times New Roman" w:hAnsi="Times New Roman" w:cs="Times New Roman"/>
          <w:color w:val="auto"/>
          <w:highlight w:val="none"/>
          <w:lang w:val="en-US" w:eastAsia="zh-CN"/>
        </w:rPr>
        <w:t>（1）永久、临时占地对动物生境的影响</w:t>
      </w:r>
      <w:bookmarkEnd w:id="381"/>
      <w:bookmarkEnd w:id="382"/>
      <w:bookmarkEnd w:id="383"/>
      <w:bookmarkEnd w:id="384"/>
    </w:p>
    <w:p w14:paraId="42D7D6A7">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本次工程露天采矿场、工业广场、排土场、生活区等</w:t>
      </w:r>
      <w:r>
        <w:rPr>
          <w:rFonts w:hint="default" w:ascii="Times New Roman" w:hAnsi="Times New Roman" w:cs="Times New Roman"/>
          <w:color w:val="auto"/>
          <w:highlight w:val="none"/>
        </w:rPr>
        <w:t>在项目的建设过程</w:t>
      </w:r>
      <w:r>
        <w:rPr>
          <w:rFonts w:hint="default" w:ascii="Times New Roman" w:hAnsi="Times New Roman" w:cs="Times New Roman"/>
          <w:color w:val="auto"/>
          <w:highlight w:val="none"/>
          <w:lang w:eastAsia="zh-CN"/>
        </w:rPr>
        <w:t>中</w:t>
      </w:r>
      <w:r>
        <w:rPr>
          <w:rFonts w:hint="default" w:ascii="Times New Roman" w:hAnsi="Times New Roman" w:cs="Times New Roman"/>
          <w:color w:val="auto"/>
          <w:highlight w:val="none"/>
        </w:rPr>
        <w:t>，会破坏</w:t>
      </w:r>
      <w:r>
        <w:rPr>
          <w:rFonts w:hint="default" w:ascii="Times New Roman" w:hAnsi="Times New Roman" w:cs="Times New Roman"/>
          <w:color w:val="auto"/>
          <w:highlight w:val="none"/>
          <w:lang w:val="en-US" w:eastAsia="zh-CN"/>
        </w:rPr>
        <w:t>啮齿类，如沙鼠、野兔</w:t>
      </w:r>
      <w:r>
        <w:rPr>
          <w:rFonts w:hint="default" w:ascii="Times New Roman" w:hAnsi="Times New Roman" w:cs="Times New Roman"/>
          <w:color w:val="auto"/>
          <w:highlight w:val="none"/>
        </w:rPr>
        <w:t>的洞穴</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导致部分</w:t>
      </w:r>
      <w:r>
        <w:rPr>
          <w:rFonts w:hint="default" w:ascii="Times New Roman" w:hAnsi="Times New Roman" w:cs="Times New Roman"/>
          <w:color w:val="auto"/>
          <w:highlight w:val="none"/>
          <w:lang w:val="en-US" w:eastAsia="zh-CN"/>
        </w:rPr>
        <w:t>穴栖动物</w:t>
      </w:r>
      <w:r>
        <w:rPr>
          <w:rFonts w:hint="default" w:ascii="Times New Roman" w:hAnsi="Times New Roman" w:cs="Times New Roman"/>
          <w:color w:val="auto"/>
          <w:highlight w:val="none"/>
        </w:rPr>
        <w:t>死亡，对飞翔的鸟类，项目建设有驱赶作用。</w:t>
      </w:r>
    </w:p>
    <w:p w14:paraId="5372583F">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对爬行动物及昆虫，其影响与对鼠类的影响近似，由于该区域</w:t>
      </w:r>
      <w:r>
        <w:rPr>
          <w:rFonts w:hint="default" w:ascii="Times New Roman" w:hAnsi="Times New Roman" w:cs="Times New Roman"/>
          <w:color w:val="auto"/>
          <w:highlight w:val="none"/>
          <w:lang w:eastAsia="zh-CN"/>
        </w:rPr>
        <w:t>野生</w:t>
      </w:r>
      <w:r>
        <w:rPr>
          <w:rFonts w:hint="default" w:ascii="Times New Roman" w:hAnsi="Times New Roman" w:cs="Times New Roman"/>
          <w:color w:val="auto"/>
          <w:highlight w:val="none"/>
        </w:rPr>
        <w:t>动物密度较低，总体上影响较小。</w:t>
      </w:r>
      <w:r>
        <w:rPr>
          <w:rFonts w:hint="default" w:ascii="Times New Roman" w:hAnsi="Times New Roman" w:cs="Times New Roman"/>
          <w:color w:val="auto"/>
          <w:highlight w:val="none"/>
          <w:lang w:val="en-US" w:eastAsia="zh-CN"/>
        </w:rPr>
        <w:t>在项目建设过程中，保护尽可能多的物种及其生境，使评价区内的生态系统得以有效恢复，使恢复后的生态系统趋于稳定。</w:t>
      </w:r>
    </w:p>
    <w:p w14:paraId="6B623DA2">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工程建设区虽不属于野生保护动物的主要栖息地，但对野生动物，尤其是保护动物在该区域的出没会带来一定的影响。矿区外围为自然荒漠，人类活动较少，一些动物在矿区外围自由活动基本不受影响。</w:t>
      </w:r>
    </w:p>
    <w:p w14:paraId="36C3BD7A">
      <w:pPr>
        <w:bidi w:val="0"/>
        <w:rPr>
          <w:rFonts w:hint="default" w:ascii="Times New Roman" w:hAnsi="Times New Roman" w:cs="Times New Roman"/>
          <w:color w:val="auto"/>
          <w:highlight w:val="none"/>
          <w:lang w:val="en-US" w:eastAsia="zh-CN"/>
        </w:rPr>
      </w:pPr>
      <w:bookmarkStart w:id="385" w:name="_Toc12501"/>
      <w:bookmarkStart w:id="386" w:name="_Toc21284"/>
      <w:bookmarkStart w:id="387" w:name="_Toc7736"/>
      <w:bookmarkStart w:id="388" w:name="_Toc15576"/>
      <w:r>
        <w:rPr>
          <w:rFonts w:hint="default" w:ascii="Times New Roman" w:hAnsi="Times New Roman" w:cs="Times New Roman"/>
          <w:color w:val="auto"/>
          <w:highlight w:val="none"/>
          <w:lang w:val="en-US" w:eastAsia="zh-CN"/>
        </w:rPr>
        <w:t>（2）噪声对动物分布和活动范围的影响</w:t>
      </w:r>
      <w:bookmarkEnd w:id="385"/>
      <w:bookmarkEnd w:id="386"/>
      <w:bookmarkEnd w:id="387"/>
      <w:bookmarkEnd w:id="388"/>
    </w:p>
    <w:p w14:paraId="34D48426">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矿山开采对野生动物的影响主要表现在开采过程中车辆、设备等噪声对野生动物的惊吓，尤其是鸟类和穴居类动物。对项目所在区域的开发建设、频繁的人员活动、土地的占用、机械设备噪声、运输车辆的行驶等将对区域野生动物产生一定的影响，对区域范围内的野生动物产生哄赶，从而使其在评价区内的数量会有所下降。由于矿区范围较大，人类活动范围有限，对区域野生动物影响不显著。</w:t>
      </w:r>
    </w:p>
    <w:p w14:paraId="6996492A">
      <w:pPr>
        <w:pStyle w:val="5"/>
        <w:bidi w:val="0"/>
        <w:rPr>
          <w:rFonts w:hint="default"/>
        </w:rPr>
      </w:pPr>
      <w:bookmarkStart w:id="389" w:name="5.2.5.5对生物多样性的影响分析"/>
      <w:bookmarkEnd w:id="389"/>
      <w:bookmarkStart w:id="390" w:name="_Toc5606"/>
      <w:r>
        <w:rPr>
          <w:rFonts w:hint="default"/>
        </w:rPr>
        <w:t>对生物多样性的影响分析</w:t>
      </w:r>
      <w:bookmarkEnd w:id="390"/>
    </w:p>
    <w:p w14:paraId="3F3E2892">
      <w:pPr>
        <w:pStyle w:val="14"/>
        <w:keepNext w:val="0"/>
        <w:keepLines w:val="0"/>
        <w:pageBreakBefore w:val="0"/>
        <w:kinsoku/>
        <w:wordWrap/>
        <w:overflowPunct/>
        <w:topLinePunct w:val="0"/>
        <w:autoSpaceDE/>
        <w:autoSpaceDN/>
        <w:bidi w:val="0"/>
        <w:adjustRightInd/>
        <w:snapToGrid/>
        <w:spacing w:after="0"/>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bookmarkStart w:id="391" w:name="5.2.5.6对自然景观的影响分析"/>
      <w:bookmarkEnd w:id="391"/>
      <w:r>
        <w:rPr>
          <w:rFonts w:hint="default" w:ascii="Times New Roman" w:hAnsi="Times New Roman" w:eastAsia="宋体" w:cs="Times New Roman"/>
          <w:color w:val="auto"/>
          <w:sz w:val="24"/>
          <w:szCs w:val="24"/>
          <w:highlight w:val="none"/>
          <w:lang w:val="en-US" w:eastAsia="zh-CN"/>
        </w:rPr>
        <w:t>生物多样性是生物</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动物、植物、微生物</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与环境形成的生态复合体以及与此相关的各种生态过程的总和，包括生态系统、物种和基因三个层次。</w:t>
      </w:r>
    </w:p>
    <w:p w14:paraId="3EEEE6AC">
      <w:pPr>
        <w:pStyle w:val="14"/>
        <w:keepNext w:val="0"/>
        <w:keepLines w:val="0"/>
        <w:pageBreakBefore w:val="0"/>
        <w:kinsoku/>
        <w:wordWrap/>
        <w:overflowPunct/>
        <w:topLinePunct w:val="0"/>
        <w:autoSpaceDE/>
        <w:autoSpaceDN/>
        <w:bidi w:val="0"/>
        <w:adjustRightInd/>
        <w:snapToGrid/>
        <w:spacing w:after="0"/>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生态系统多样性指生态系统的多样化程度，包括生态系统的类型、结构、组成、功能和生态过程的多样性等。物种多样性指物种水平的多样化程度，包括物种丰富度和物种多度。基因多样性</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或遗传多样性</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指一个物种的基因组成中遗传特征的多样性，包括种内不同种群之间或同一种群内不同个体的遗传变异性。</w:t>
      </w:r>
    </w:p>
    <w:p w14:paraId="22D0ADE9">
      <w:pPr>
        <w:pStyle w:val="14"/>
        <w:keepNext w:val="0"/>
        <w:keepLines w:val="0"/>
        <w:pageBreakBefore w:val="0"/>
        <w:kinsoku/>
        <w:wordWrap/>
        <w:overflowPunct/>
        <w:topLinePunct w:val="0"/>
        <w:autoSpaceDE/>
        <w:autoSpaceDN/>
        <w:bidi w:val="0"/>
        <w:adjustRightInd/>
        <w:snapToGrid/>
        <w:spacing w:after="0" w:line="480" w:lineRule="exact"/>
        <w:ind w:lef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物种多样性指数是指生物群落中种类与个体数的比值，其常用的测度方法通常有3种：物种丰富度指数、优势度指数和香农-维纳指数。本次采用香农-</w:t>
      </w:r>
      <w:r>
        <w:rPr>
          <w:rFonts w:hint="default" w:ascii="Times New Roman" w:hAnsi="Times New Roman" w:cs="Times New Roman"/>
          <w:color w:val="auto"/>
          <w:spacing w:val="0"/>
          <w:sz w:val="24"/>
          <w:szCs w:val="24"/>
          <w:highlight w:val="none"/>
          <w:lang w:val="en-US" w:eastAsia="zh-CN"/>
        </w:rPr>
        <w:t>威</w:t>
      </w:r>
      <w:r>
        <w:rPr>
          <w:rFonts w:hint="default" w:ascii="Times New Roman" w:hAnsi="Times New Roman" w:eastAsia="宋体" w:cs="Times New Roman"/>
          <w:color w:val="auto"/>
          <w:sz w:val="24"/>
          <w:szCs w:val="24"/>
          <w:highlight w:val="none"/>
          <w:lang w:val="en-US" w:eastAsia="zh-CN"/>
        </w:rPr>
        <w:t>纳指数判断物种多样性。香农-</w:t>
      </w:r>
      <w:r>
        <w:rPr>
          <w:rFonts w:hint="default" w:ascii="Times New Roman" w:hAnsi="Times New Roman" w:cs="Times New Roman"/>
          <w:color w:val="auto"/>
          <w:spacing w:val="0"/>
          <w:sz w:val="24"/>
          <w:szCs w:val="24"/>
          <w:highlight w:val="none"/>
          <w:lang w:val="en-US" w:eastAsia="zh-CN"/>
        </w:rPr>
        <w:t>威</w:t>
      </w:r>
      <w:r>
        <w:rPr>
          <w:rFonts w:hint="default" w:ascii="Times New Roman" w:hAnsi="Times New Roman" w:eastAsia="宋体" w:cs="Times New Roman"/>
          <w:color w:val="auto"/>
          <w:sz w:val="24"/>
          <w:szCs w:val="24"/>
          <w:highlight w:val="none"/>
          <w:lang w:val="en-US" w:eastAsia="zh-CN"/>
        </w:rPr>
        <w:t>纳指数</w:t>
      </w:r>
      <w:r>
        <w:rPr>
          <w:rFonts w:hint="default" w:ascii="Times New Roman" w:hAnsi="Times New Roman" w:cs="Times New Roman"/>
          <w:color w:val="auto"/>
          <w:sz w:val="24"/>
          <w:szCs w:val="24"/>
          <w:highlight w:val="none"/>
          <w:lang w:val="en-US" w:eastAsia="zh-CN"/>
        </w:rPr>
        <w:t>越高，生物多样性越好。</w:t>
      </w:r>
    </w:p>
    <w:p w14:paraId="5796539C">
      <w:pPr>
        <w:keepNext w:val="0"/>
        <w:keepLines w:val="0"/>
        <w:pageBreakBefore w:val="0"/>
        <w:kinsoku/>
        <w:wordWrap/>
        <w:overflowPunct/>
        <w:topLinePunct w:val="0"/>
        <w:autoSpaceDE/>
        <w:autoSpaceDN/>
        <w:bidi w:val="0"/>
        <w:adjustRightInd/>
        <w:snapToGrid/>
        <w:spacing w:line="480" w:lineRule="exact"/>
        <w:ind w:left="0"/>
        <w:textAlignment w:val="auto"/>
        <w:rPr>
          <w:rFonts w:hint="default" w:ascii="Times New Roman" w:hAnsi="Times New Roman" w:eastAsia="宋体" w:cs="Times New Roman"/>
          <w:color w:val="auto"/>
          <w:spacing w:val="0"/>
          <w:sz w:val="24"/>
          <w:szCs w:val="24"/>
          <w:highlight w:val="none"/>
          <w:lang w:eastAsia="zh-CN"/>
        </w:rPr>
      </w:pPr>
      <w:r>
        <w:rPr>
          <w:rFonts w:hint="default" w:ascii="Times New Roman" w:hAnsi="Times New Roman" w:eastAsia="宋体" w:cs="Times New Roman"/>
          <w:color w:val="auto"/>
          <w:spacing w:val="0"/>
          <w:sz w:val="24"/>
          <w:szCs w:val="24"/>
          <w:highlight w:val="none"/>
        </w:rPr>
        <w:t>香农-</w:t>
      </w:r>
      <w:r>
        <w:rPr>
          <w:rFonts w:hint="default" w:ascii="Times New Roman" w:hAnsi="Times New Roman" w:cs="Times New Roman"/>
          <w:color w:val="auto"/>
          <w:spacing w:val="0"/>
          <w:sz w:val="24"/>
          <w:szCs w:val="24"/>
          <w:highlight w:val="none"/>
          <w:lang w:val="en-US" w:eastAsia="zh-CN"/>
        </w:rPr>
        <w:t>威</w:t>
      </w:r>
      <w:r>
        <w:rPr>
          <w:rFonts w:hint="default" w:ascii="Times New Roman" w:hAnsi="Times New Roman" w:eastAsia="宋体" w:cs="Times New Roman"/>
          <w:color w:val="auto"/>
          <w:spacing w:val="0"/>
          <w:sz w:val="24"/>
          <w:szCs w:val="24"/>
          <w:highlight w:val="none"/>
        </w:rPr>
        <w:t>纳指数</w:t>
      </w:r>
      <w:r>
        <w:rPr>
          <w:rFonts w:hint="default" w:ascii="Times New Roman" w:hAnsi="Times New Roman"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rPr>
        <w:t>Shannon-Wiener</w:t>
      </w:r>
      <w:r>
        <w:rPr>
          <w:rFonts w:hint="default" w:ascii="Times New Roman" w:hAnsi="Times New Roman"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rPr>
        <w:t>指数计算公式</w:t>
      </w:r>
      <w:r>
        <w:rPr>
          <w:rFonts w:hint="default" w:ascii="Times New Roman" w:hAnsi="Times New Roman" w:eastAsia="宋体" w:cs="Times New Roman"/>
          <w:color w:val="auto"/>
          <w:spacing w:val="0"/>
          <w:sz w:val="24"/>
          <w:szCs w:val="24"/>
          <w:highlight w:val="none"/>
          <w:lang w:eastAsia="zh-CN"/>
        </w:rPr>
        <w:t>：</w:t>
      </w:r>
    </w:p>
    <w:p w14:paraId="0CA2933B">
      <w:pPr>
        <w:pStyle w:val="14"/>
        <w:keepNext w:val="0"/>
        <w:keepLines w:val="0"/>
        <w:pageBreakBefore w:val="0"/>
        <w:kinsoku/>
        <w:wordWrap/>
        <w:overflowPunct/>
        <w:topLinePunct w:val="0"/>
        <w:autoSpaceDE/>
        <w:autoSpaceDN/>
        <w:bidi w:val="0"/>
        <w:adjustRightInd/>
        <w:snapToGrid/>
        <w:spacing w:after="0" w:line="240" w:lineRule="auto"/>
        <w:ind w:left="0" w:firstLine="480" w:firstLineChars="200"/>
        <w:jc w:val="center"/>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drawing>
          <wp:inline distT="0" distB="0" distL="114300" distR="114300">
            <wp:extent cx="1263650" cy="571500"/>
            <wp:effectExtent l="0" t="0" r="6350" b="0"/>
            <wp:docPr id="46" name="图片 4"/>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picid" s:val="{7f709396-cf32-467e-a367-4c46104367fa}"/>
                  </s:tag>
                </a:ext>
              </a:extLst>
            </wp:cNvGraphicFramePr>
            <a:graphic xmlns:a="http://schemas.openxmlformats.org/drawingml/2006/main">
              <a:graphicData uri="http://schemas.openxmlformats.org/drawingml/2006/picture">
                <pic:pic xmlns:pic="http://schemas.openxmlformats.org/drawingml/2006/picture">
                  <pic:nvPicPr>
                    <pic:cNvPr id="46" name="图片 4"/>
                    <pic:cNvPicPr>
                      <a:picLocks noChangeAspect="1"/>
                    </pic:cNvPicPr>
                  </pic:nvPicPr>
                  <pic:blipFill>
                    <a:blip r:embed="rId46"/>
                    <a:stretch>
                      <a:fillRect/>
                    </a:stretch>
                  </pic:blipFill>
                  <pic:spPr>
                    <a:xfrm>
                      <a:off x="0" y="0"/>
                      <a:ext cx="1263650" cy="571500"/>
                    </a:xfrm>
                    <a:prstGeom prst="rect">
                      <a:avLst/>
                    </a:prstGeom>
                    <a:noFill/>
                    <a:ln>
                      <a:noFill/>
                    </a:ln>
                  </pic:spPr>
                </pic:pic>
              </a:graphicData>
            </a:graphic>
          </wp:inline>
        </w:drawing>
      </w:r>
    </w:p>
    <w:p w14:paraId="4BD801B8">
      <w:pPr>
        <w:keepNext w:val="0"/>
        <w:keepLines w:val="0"/>
        <w:pageBreakBefore w:val="0"/>
        <w:kinsoku/>
        <w:wordWrap/>
        <w:overflowPunct/>
        <w:topLinePunct w:val="0"/>
        <w:autoSpaceDE/>
        <w:autoSpaceDN/>
        <w:bidi w:val="0"/>
        <w:adjustRightInd/>
        <w:snapToGrid/>
        <w:spacing w:line="480" w:lineRule="exact"/>
        <w:ind w:left="0"/>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式中：</w:t>
      </w:r>
    </w:p>
    <w:p w14:paraId="3EF6E9E7">
      <w:pPr>
        <w:keepNext w:val="0"/>
        <w:keepLines w:val="0"/>
        <w:pageBreakBefore w:val="0"/>
        <w:kinsoku/>
        <w:wordWrap/>
        <w:overflowPunct/>
        <w:topLinePunct w:val="0"/>
        <w:autoSpaceDE/>
        <w:autoSpaceDN/>
        <w:bidi w:val="0"/>
        <w:adjustRightInd/>
        <w:snapToGrid/>
        <w:spacing w:line="480" w:lineRule="exact"/>
        <w:ind w:left="0"/>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H—多样性指标；</w:t>
      </w:r>
    </w:p>
    <w:p w14:paraId="64B9F798">
      <w:pPr>
        <w:keepNext w:val="0"/>
        <w:keepLines w:val="0"/>
        <w:pageBreakBefore w:val="0"/>
        <w:kinsoku/>
        <w:wordWrap/>
        <w:overflowPunct/>
        <w:topLinePunct w:val="0"/>
        <w:autoSpaceDE/>
        <w:autoSpaceDN/>
        <w:bidi w:val="0"/>
        <w:adjustRightInd/>
        <w:snapToGrid/>
        <w:spacing w:line="480" w:lineRule="exact"/>
        <w:ind w:left="0"/>
        <w:textAlignment w:val="auto"/>
        <w:rPr>
          <w:rFonts w:hint="default" w:ascii="Times New Roman" w:hAnsi="Times New Roman" w:eastAsia="宋体" w:cs="Times New Roman"/>
          <w:color w:val="auto"/>
          <w:spacing w:val="0"/>
          <w:sz w:val="24"/>
          <w:szCs w:val="24"/>
          <w:highlight w:val="none"/>
          <w:lang w:eastAsia="zh-CN"/>
        </w:rPr>
      </w:pPr>
      <w:r>
        <w:rPr>
          <w:rFonts w:hint="default" w:ascii="Times New Roman" w:hAnsi="Times New Roman" w:eastAsia="宋体" w:cs="Times New Roman"/>
          <w:color w:val="auto"/>
          <w:spacing w:val="0"/>
          <w:sz w:val="24"/>
          <w:szCs w:val="24"/>
          <w:highlight w:val="none"/>
        </w:rPr>
        <w:t>S—调查区域内物种种类总数</w:t>
      </w:r>
      <w:r>
        <w:rPr>
          <w:rFonts w:hint="default" w:ascii="Times New Roman" w:hAnsi="Times New Roman" w:eastAsia="宋体" w:cs="Times New Roman"/>
          <w:color w:val="auto"/>
          <w:spacing w:val="0"/>
          <w:sz w:val="24"/>
          <w:szCs w:val="24"/>
          <w:highlight w:val="none"/>
          <w:lang w:eastAsia="zh-CN"/>
        </w:rPr>
        <w:t>；</w:t>
      </w:r>
    </w:p>
    <w:p w14:paraId="12EE25A3">
      <w:pPr>
        <w:keepNext w:val="0"/>
        <w:keepLines w:val="0"/>
        <w:pageBreakBefore w:val="0"/>
        <w:kinsoku/>
        <w:wordWrap/>
        <w:overflowPunct/>
        <w:topLinePunct w:val="0"/>
        <w:autoSpaceDE/>
        <w:autoSpaceDN/>
        <w:bidi w:val="0"/>
        <w:adjustRightInd/>
        <w:snapToGrid/>
        <w:spacing w:line="480" w:lineRule="exact"/>
        <w:ind w:left="0"/>
        <w:textAlignment w:val="auto"/>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eastAsia="宋体" w:cs="Times New Roman"/>
          <w:color w:val="auto"/>
          <w:spacing w:val="0"/>
          <w:sz w:val="24"/>
          <w:szCs w:val="24"/>
          <w:highlight w:val="none"/>
        </w:rPr>
        <w:t>Pi—代表第i种个体数ni占总个体数N的比例，即Pi=ni/N。</w:t>
      </w:r>
    </w:p>
    <w:p w14:paraId="640FB44D">
      <w:pPr>
        <w:keepNext w:val="0"/>
        <w:keepLines w:val="0"/>
        <w:pageBreakBefore w:val="0"/>
        <w:kinsoku/>
        <w:wordWrap/>
        <w:overflowPunct/>
        <w:topLinePunct w:val="0"/>
        <w:autoSpaceDE/>
        <w:autoSpaceDN/>
        <w:bidi w:val="0"/>
        <w:adjustRightInd/>
        <w:snapToGrid/>
        <w:spacing w:line="480" w:lineRule="exact"/>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Pielou均匀度指数是反映调查区域各物种个体数目分配均匀程度的指数，计算公式为：</w:t>
      </w:r>
    </w:p>
    <w:p w14:paraId="543C35FB">
      <w:pPr>
        <w:pStyle w:val="4"/>
        <w:numPr>
          <w:ilvl w:val="2"/>
          <w:numId w:val="0"/>
        </w:numPr>
        <w:ind w:left="-25" w:lef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1395730" cy="492125"/>
            <wp:effectExtent l="0" t="0" r="1270" b="3175"/>
            <wp:docPr id="47" name="图片 5" descr="7b0a202020202266696c746572223a202239220a7d0a"/>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picid" s:val="{03e2ac11-8b63-4870-8cf2-9b804985efe8}"/>
                  </s:tag>
                </a:ext>
              </a:extLst>
            </wp:cNvGraphicFramePr>
            <a:graphic xmlns:a="http://schemas.openxmlformats.org/drawingml/2006/main">
              <a:graphicData uri="http://schemas.openxmlformats.org/drawingml/2006/picture">
                <pic:pic xmlns:pic="http://schemas.openxmlformats.org/drawingml/2006/picture">
                  <pic:nvPicPr>
                    <pic:cNvPr id="47" name="图片 5" descr="7b0a202020202266696c746572223a202239220a7d0a"/>
                    <pic:cNvPicPr>
                      <a:picLocks noChangeAspect="1"/>
                    </pic:cNvPicPr>
                  </pic:nvPicPr>
                  <pic:blipFill>
                    <a:blip r:embed="rId47">
                      <a:clrChange>
                        <a:clrFrom>
                          <a:srgbClr val="80F0A5">
                            <a:alpha val="100000"/>
                          </a:srgbClr>
                        </a:clrFrom>
                        <a:clrTo>
                          <a:srgbClr val="80F0A5">
                            <a:alpha val="100000"/>
                            <a:alpha val="0"/>
                          </a:srgbClr>
                        </a:clrTo>
                      </a:clrChange>
                    </a:blip>
                    <a:stretch>
                      <a:fillRect/>
                    </a:stretch>
                  </pic:blipFill>
                  <pic:spPr>
                    <a:xfrm>
                      <a:off x="0" y="0"/>
                      <a:ext cx="1395730" cy="492125"/>
                    </a:xfrm>
                    <a:prstGeom prst="rect">
                      <a:avLst/>
                    </a:prstGeom>
                    <a:noFill/>
                    <a:ln>
                      <a:noFill/>
                    </a:ln>
                  </pic:spPr>
                </pic:pic>
              </a:graphicData>
            </a:graphic>
          </wp:inline>
        </w:drawing>
      </w:r>
    </w:p>
    <w:p w14:paraId="13C53115">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式中：</w:t>
      </w:r>
    </w:p>
    <w:p w14:paraId="7A35963B">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J—Pielou均匀度指数；</w:t>
      </w:r>
    </w:p>
    <w:p w14:paraId="40B5F1A7">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S—调查区域内物种种类总数；</w:t>
      </w:r>
    </w:p>
    <w:p w14:paraId="762FD971">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Pi—调查区域内属于第i种的个体比例。</w:t>
      </w:r>
    </w:p>
    <w:p w14:paraId="2682C4C7">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Simpson优势度指数与均匀度指数相对应，计算公式为：</w:t>
      </w:r>
    </w:p>
    <w:p w14:paraId="43C97E4F">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838200" cy="482600"/>
            <wp:effectExtent l="0" t="0" r="0" b="0"/>
            <wp:docPr id="4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7"/>
                    <pic:cNvPicPr>
                      <a:picLocks noChangeAspect="1"/>
                    </pic:cNvPicPr>
                  </pic:nvPicPr>
                  <pic:blipFill>
                    <a:blip r:embed="rId48"/>
                    <a:stretch>
                      <a:fillRect/>
                    </a:stretch>
                  </pic:blipFill>
                  <pic:spPr>
                    <a:xfrm>
                      <a:off x="0" y="0"/>
                      <a:ext cx="838200" cy="482600"/>
                    </a:xfrm>
                    <a:prstGeom prst="rect">
                      <a:avLst/>
                    </a:prstGeom>
                    <a:noFill/>
                    <a:ln>
                      <a:noFill/>
                    </a:ln>
                  </pic:spPr>
                </pic:pic>
              </a:graphicData>
            </a:graphic>
          </wp:inline>
        </w:drawing>
      </w:r>
    </w:p>
    <w:p w14:paraId="71D48B8D">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式中：</w:t>
      </w:r>
    </w:p>
    <w:p w14:paraId="272FE993">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D—Simpson优势度指数；</w:t>
      </w:r>
    </w:p>
    <w:p w14:paraId="09E8C4D3">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S—调查区域内物种种类总数；</w:t>
      </w:r>
    </w:p>
    <w:p w14:paraId="2F06E51B">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Pi—调查区域内属于第i种的个体比例。</w:t>
      </w:r>
    </w:p>
    <w:p w14:paraId="3C13556F">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各指数计算结果见表5.2-38。</w:t>
      </w:r>
    </w:p>
    <w:p w14:paraId="671BA774">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从计算结果来看，评价区整体物种丰富度不高，调查样方包含植物4种。自然状态下针茅、冰草、冷蒿是评价区主要的优势物种，群落结构不够均匀。香农-威纳指数、均匀度指数、优势度指数计算见下表：</w:t>
      </w:r>
    </w:p>
    <w:p w14:paraId="0F960639">
      <w:pPr>
        <w:pStyle w:val="14"/>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bCs/>
          <w:color w:val="auto"/>
          <w:highlight w:val="none"/>
          <w:lang w:val="en-US" w:eastAsia="zh-CN"/>
        </w:rPr>
        <w:t>表5.2-</w:t>
      </w:r>
      <w:r>
        <w:rPr>
          <w:rFonts w:hint="default" w:ascii="Times New Roman" w:hAnsi="Times New Roman" w:cs="Times New Roman"/>
          <w:b/>
          <w:bCs/>
          <w:color w:val="auto"/>
          <w:highlight w:val="none"/>
          <w:lang w:val="en-US" w:eastAsia="zh-CN"/>
        </w:rPr>
        <w:t>2</w:t>
      </w:r>
      <w:r>
        <w:rPr>
          <w:rFonts w:hint="eastAsia" w:ascii="Times New Roman" w:hAnsi="Times New Roman" w:cs="Times New Roman"/>
          <w:b/>
          <w:bCs/>
          <w:color w:val="auto"/>
          <w:highlight w:val="none"/>
          <w:lang w:val="en-US" w:eastAsia="zh-CN"/>
        </w:rPr>
        <w:t xml:space="preserve">8 </w:t>
      </w:r>
      <w:r>
        <w:rPr>
          <w:rFonts w:hint="default" w:ascii="Times New Roman" w:hAnsi="Times New Roman" w:eastAsia="宋体" w:cs="Times New Roman"/>
          <w:b/>
          <w:bCs/>
          <w:color w:val="auto"/>
          <w:highlight w:val="none"/>
          <w:lang w:val="en-US" w:eastAsia="zh-CN"/>
        </w:rPr>
        <w:t xml:space="preserve">   各指数计算结果表</w:t>
      </w:r>
    </w:p>
    <w:tbl>
      <w:tblPr>
        <w:tblStyle w:val="56"/>
        <w:tblW w:w="501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656"/>
        <w:gridCol w:w="2185"/>
        <w:gridCol w:w="2174"/>
        <w:gridCol w:w="2171"/>
      </w:tblGrid>
      <w:tr w14:paraId="1595A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blHeader/>
          <w:jc w:val="center"/>
        </w:trPr>
        <w:tc>
          <w:tcPr>
            <w:tcW w:w="1445" w:type="pct"/>
            <w:tcBorders>
              <w:tl2br w:val="nil"/>
              <w:tr2bl w:val="nil"/>
            </w:tcBorders>
            <w:vAlign w:val="center"/>
          </w:tcPr>
          <w:p w14:paraId="59527D2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物种类别</w:t>
            </w:r>
          </w:p>
        </w:tc>
        <w:tc>
          <w:tcPr>
            <w:tcW w:w="1189" w:type="pct"/>
            <w:tcBorders>
              <w:tl2br w:val="nil"/>
              <w:tr2bl w:val="nil"/>
            </w:tcBorders>
            <w:vAlign w:val="center"/>
          </w:tcPr>
          <w:p w14:paraId="5178718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样方1</w:t>
            </w:r>
          </w:p>
        </w:tc>
        <w:tc>
          <w:tcPr>
            <w:tcW w:w="1183" w:type="pct"/>
            <w:tcBorders>
              <w:tl2br w:val="nil"/>
              <w:tr2bl w:val="nil"/>
            </w:tcBorders>
            <w:vAlign w:val="center"/>
          </w:tcPr>
          <w:p w14:paraId="47181E1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样方2</w:t>
            </w:r>
          </w:p>
        </w:tc>
        <w:tc>
          <w:tcPr>
            <w:tcW w:w="1181" w:type="pct"/>
            <w:tcBorders>
              <w:tl2br w:val="nil"/>
              <w:tr2bl w:val="nil"/>
            </w:tcBorders>
            <w:vAlign w:val="center"/>
          </w:tcPr>
          <w:p w14:paraId="28B4F3D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样方3</w:t>
            </w:r>
          </w:p>
        </w:tc>
      </w:tr>
      <w:tr w14:paraId="1F509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blHeader/>
          <w:jc w:val="center"/>
        </w:trPr>
        <w:tc>
          <w:tcPr>
            <w:tcW w:w="1445" w:type="pct"/>
            <w:tcBorders>
              <w:tl2br w:val="nil"/>
              <w:tr2bl w:val="nil"/>
            </w:tcBorders>
            <w:vAlign w:val="center"/>
          </w:tcPr>
          <w:p w14:paraId="3299EC7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膜果麻黄</w:t>
            </w:r>
          </w:p>
        </w:tc>
        <w:tc>
          <w:tcPr>
            <w:tcW w:w="1189" w:type="pct"/>
            <w:tcBorders>
              <w:tl2br w:val="nil"/>
              <w:tr2bl w:val="nil"/>
            </w:tcBorders>
            <w:vAlign w:val="center"/>
          </w:tcPr>
          <w:p w14:paraId="40EC248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bidi="ar-SA"/>
              </w:rPr>
              <w:t>1</w:t>
            </w:r>
          </w:p>
        </w:tc>
        <w:tc>
          <w:tcPr>
            <w:tcW w:w="1183" w:type="pct"/>
            <w:tcBorders>
              <w:tl2br w:val="nil"/>
              <w:tr2bl w:val="nil"/>
            </w:tcBorders>
            <w:vAlign w:val="center"/>
          </w:tcPr>
          <w:p w14:paraId="53A19E3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p>
        </w:tc>
        <w:tc>
          <w:tcPr>
            <w:tcW w:w="1181" w:type="pct"/>
            <w:tcBorders>
              <w:tl2br w:val="nil"/>
              <w:tr2bl w:val="nil"/>
            </w:tcBorders>
            <w:vAlign w:val="center"/>
          </w:tcPr>
          <w:p w14:paraId="4F5A8DA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p>
        </w:tc>
      </w:tr>
      <w:tr w14:paraId="25AE6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blHeader/>
          <w:jc w:val="center"/>
        </w:trPr>
        <w:tc>
          <w:tcPr>
            <w:tcW w:w="1445" w:type="pct"/>
            <w:tcBorders>
              <w:tl2br w:val="nil"/>
              <w:tr2bl w:val="nil"/>
            </w:tcBorders>
            <w:vAlign w:val="center"/>
          </w:tcPr>
          <w:p w14:paraId="2E483F2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白梭梭</w:t>
            </w:r>
          </w:p>
        </w:tc>
        <w:tc>
          <w:tcPr>
            <w:tcW w:w="1189" w:type="pct"/>
            <w:tcBorders>
              <w:tl2br w:val="nil"/>
              <w:tr2bl w:val="nil"/>
            </w:tcBorders>
            <w:vAlign w:val="center"/>
          </w:tcPr>
          <w:p w14:paraId="06AEC16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p>
        </w:tc>
        <w:tc>
          <w:tcPr>
            <w:tcW w:w="1183" w:type="pct"/>
            <w:tcBorders>
              <w:tl2br w:val="nil"/>
              <w:tr2bl w:val="nil"/>
            </w:tcBorders>
            <w:vAlign w:val="center"/>
          </w:tcPr>
          <w:p w14:paraId="62AED79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bidi="ar-SA"/>
              </w:rPr>
              <w:t>1</w:t>
            </w:r>
          </w:p>
        </w:tc>
        <w:tc>
          <w:tcPr>
            <w:tcW w:w="1181" w:type="pct"/>
            <w:tcBorders>
              <w:tl2br w:val="nil"/>
              <w:tr2bl w:val="nil"/>
            </w:tcBorders>
            <w:vAlign w:val="center"/>
          </w:tcPr>
          <w:p w14:paraId="46021FF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p>
        </w:tc>
      </w:tr>
      <w:tr w14:paraId="24596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blHeader/>
          <w:jc w:val="center"/>
        </w:trPr>
        <w:tc>
          <w:tcPr>
            <w:tcW w:w="1445" w:type="pct"/>
            <w:tcBorders>
              <w:tl2br w:val="nil"/>
              <w:tr2bl w:val="nil"/>
            </w:tcBorders>
            <w:vAlign w:val="center"/>
          </w:tcPr>
          <w:p w14:paraId="18959CA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异翅独尾草</w:t>
            </w:r>
          </w:p>
        </w:tc>
        <w:tc>
          <w:tcPr>
            <w:tcW w:w="1189" w:type="pct"/>
            <w:tcBorders>
              <w:tl2br w:val="nil"/>
              <w:tr2bl w:val="nil"/>
            </w:tcBorders>
            <w:vAlign w:val="center"/>
          </w:tcPr>
          <w:p w14:paraId="5717466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p>
        </w:tc>
        <w:tc>
          <w:tcPr>
            <w:tcW w:w="1183" w:type="pct"/>
            <w:tcBorders>
              <w:tl2br w:val="nil"/>
              <w:tr2bl w:val="nil"/>
            </w:tcBorders>
            <w:vAlign w:val="center"/>
          </w:tcPr>
          <w:p w14:paraId="3D6F5A7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p>
        </w:tc>
        <w:tc>
          <w:tcPr>
            <w:tcW w:w="1181" w:type="pct"/>
            <w:tcBorders>
              <w:tl2br w:val="nil"/>
              <w:tr2bl w:val="nil"/>
            </w:tcBorders>
            <w:vAlign w:val="center"/>
          </w:tcPr>
          <w:p w14:paraId="31AEEF7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bidi="ar-SA"/>
              </w:rPr>
              <w:t>1</w:t>
            </w:r>
          </w:p>
        </w:tc>
      </w:tr>
      <w:tr w14:paraId="0A66B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blHeader/>
          <w:jc w:val="center"/>
        </w:trPr>
        <w:tc>
          <w:tcPr>
            <w:tcW w:w="1445" w:type="pct"/>
            <w:tcBorders>
              <w:tl2br w:val="nil"/>
              <w:tr2bl w:val="nil"/>
            </w:tcBorders>
            <w:vAlign w:val="center"/>
          </w:tcPr>
          <w:p w14:paraId="4D2B565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翅鹤虱</w:t>
            </w:r>
          </w:p>
        </w:tc>
        <w:tc>
          <w:tcPr>
            <w:tcW w:w="1189" w:type="pct"/>
            <w:tcBorders>
              <w:tl2br w:val="nil"/>
              <w:tr2bl w:val="nil"/>
            </w:tcBorders>
            <w:vAlign w:val="center"/>
          </w:tcPr>
          <w:p w14:paraId="0F9F085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p>
        </w:tc>
        <w:tc>
          <w:tcPr>
            <w:tcW w:w="1183" w:type="pct"/>
            <w:tcBorders>
              <w:tl2br w:val="nil"/>
              <w:tr2bl w:val="nil"/>
            </w:tcBorders>
            <w:vAlign w:val="center"/>
          </w:tcPr>
          <w:p w14:paraId="52A2FDC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p>
        </w:tc>
        <w:tc>
          <w:tcPr>
            <w:tcW w:w="1181" w:type="pct"/>
            <w:tcBorders>
              <w:tl2br w:val="nil"/>
              <w:tr2bl w:val="nil"/>
            </w:tcBorders>
            <w:vAlign w:val="center"/>
          </w:tcPr>
          <w:p w14:paraId="1A36B6C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bidi="ar-SA"/>
              </w:rPr>
              <w:t>1</w:t>
            </w:r>
          </w:p>
        </w:tc>
      </w:tr>
      <w:tr w14:paraId="653CC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445" w:type="pct"/>
            <w:tcBorders>
              <w:tl2br w:val="nil"/>
              <w:tr2bl w:val="nil"/>
            </w:tcBorders>
            <w:vAlign w:val="center"/>
          </w:tcPr>
          <w:p w14:paraId="666E153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香农-威纳指数</w:t>
            </w:r>
          </w:p>
        </w:tc>
        <w:tc>
          <w:tcPr>
            <w:tcW w:w="1189" w:type="pct"/>
            <w:tcBorders>
              <w:tl2br w:val="nil"/>
              <w:tr2bl w:val="nil"/>
            </w:tcBorders>
            <w:vAlign w:val="center"/>
          </w:tcPr>
          <w:p w14:paraId="74FD500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w:t>
            </w:r>
            <w:r>
              <w:rPr>
                <w:rFonts w:hint="default" w:ascii="Times New Roman" w:hAnsi="Times New Roman" w:cs="Times New Roman"/>
                <w:color w:val="auto"/>
                <w:sz w:val="21"/>
                <w:szCs w:val="21"/>
                <w:highlight w:val="none"/>
                <w:lang w:val="en-US" w:eastAsia="zh-CN" w:bidi="ar-SA"/>
              </w:rPr>
              <w:t>35</w:t>
            </w:r>
          </w:p>
        </w:tc>
        <w:tc>
          <w:tcPr>
            <w:tcW w:w="1183" w:type="pct"/>
            <w:tcBorders>
              <w:tl2br w:val="nil"/>
              <w:tr2bl w:val="nil"/>
            </w:tcBorders>
            <w:vAlign w:val="center"/>
          </w:tcPr>
          <w:p w14:paraId="254BCC1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w:t>
            </w:r>
            <w:r>
              <w:rPr>
                <w:rFonts w:hint="default" w:ascii="Times New Roman" w:hAnsi="Times New Roman" w:cs="Times New Roman"/>
                <w:color w:val="auto"/>
                <w:sz w:val="21"/>
                <w:szCs w:val="21"/>
                <w:highlight w:val="none"/>
                <w:lang w:val="en-US" w:eastAsia="zh-CN" w:bidi="ar-SA"/>
              </w:rPr>
              <w:t>37</w:t>
            </w:r>
          </w:p>
        </w:tc>
        <w:tc>
          <w:tcPr>
            <w:tcW w:w="1181" w:type="pct"/>
            <w:tcBorders>
              <w:tl2br w:val="nil"/>
              <w:tr2bl w:val="nil"/>
            </w:tcBorders>
            <w:vAlign w:val="center"/>
          </w:tcPr>
          <w:p w14:paraId="63263A8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w:t>
            </w:r>
            <w:r>
              <w:rPr>
                <w:rFonts w:hint="default" w:ascii="Times New Roman" w:hAnsi="Times New Roman" w:cs="Times New Roman"/>
                <w:color w:val="auto"/>
                <w:sz w:val="21"/>
                <w:szCs w:val="21"/>
                <w:highlight w:val="none"/>
                <w:lang w:val="en-US" w:eastAsia="zh-CN" w:bidi="ar-SA"/>
              </w:rPr>
              <w:t>35</w:t>
            </w:r>
          </w:p>
        </w:tc>
      </w:tr>
      <w:tr w14:paraId="6B2D1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445" w:type="pct"/>
            <w:tcBorders>
              <w:tl2br w:val="nil"/>
              <w:tr2bl w:val="nil"/>
            </w:tcBorders>
            <w:vAlign w:val="center"/>
          </w:tcPr>
          <w:p w14:paraId="352DD23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均匀度指数</w:t>
            </w:r>
          </w:p>
        </w:tc>
        <w:tc>
          <w:tcPr>
            <w:tcW w:w="1189" w:type="pct"/>
            <w:tcBorders>
              <w:tl2br w:val="nil"/>
              <w:tr2bl w:val="nil"/>
            </w:tcBorders>
            <w:vAlign w:val="center"/>
          </w:tcPr>
          <w:p w14:paraId="02BE8FC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w:t>
            </w:r>
            <w:r>
              <w:rPr>
                <w:rFonts w:hint="default" w:ascii="Times New Roman" w:hAnsi="Times New Roman" w:cs="Times New Roman"/>
                <w:color w:val="auto"/>
                <w:sz w:val="21"/>
                <w:szCs w:val="21"/>
                <w:highlight w:val="none"/>
                <w:lang w:val="en-US" w:eastAsia="zh-CN" w:bidi="ar-SA"/>
              </w:rPr>
              <w:t>50</w:t>
            </w:r>
          </w:p>
        </w:tc>
        <w:tc>
          <w:tcPr>
            <w:tcW w:w="1183" w:type="pct"/>
            <w:tcBorders>
              <w:tl2br w:val="nil"/>
              <w:tr2bl w:val="nil"/>
            </w:tcBorders>
            <w:vAlign w:val="center"/>
          </w:tcPr>
          <w:p w14:paraId="0624CE6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w:t>
            </w:r>
            <w:r>
              <w:rPr>
                <w:rFonts w:hint="default" w:ascii="Times New Roman" w:hAnsi="Times New Roman" w:cs="Times New Roman"/>
                <w:color w:val="auto"/>
                <w:sz w:val="21"/>
                <w:szCs w:val="21"/>
                <w:highlight w:val="none"/>
                <w:lang w:val="en-US" w:eastAsia="zh-CN" w:bidi="ar-SA"/>
              </w:rPr>
              <w:t>53</w:t>
            </w:r>
          </w:p>
        </w:tc>
        <w:tc>
          <w:tcPr>
            <w:tcW w:w="1181" w:type="pct"/>
            <w:tcBorders>
              <w:tl2br w:val="nil"/>
              <w:tr2bl w:val="nil"/>
            </w:tcBorders>
            <w:vAlign w:val="center"/>
          </w:tcPr>
          <w:p w14:paraId="5D4032E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w:t>
            </w:r>
            <w:r>
              <w:rPr>
                <w:rFonts w:hint="default" w:ascii="Times New Roman" w:hAnsi="Times New Roman" w:cs="Times New Roman"/>
                <w:color w:val="auto"/>
                <w:sz w:val="21"/>
                <w:szCs w:val="21"/>
                <w:highlight w:val="none"/>
                <w:lang w:val="en-US" w:eastAsia="zh-CN" w:bidi="ar-SA"/>
              </w:rPr>
              <w:t>50</w:t>
            </w:r>
          </w:p>
        </w:tc>
      </w:tr>
      <w:tr w14:paraId="4AD6A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445" w:type="pct"/>
            <w:tcBorders>
              <w:tl2br w:val="nil"/>
              <w:tr2bl w:val="nil"/>
            </w:tcBorders>
            <w:vAlign w:val="center"/>
          </w:tcPr>
          <w:p w14:paraId="6AFF2C8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优势度指数</w:t>
            </w:r>
          </w:p>
        </w:tc>
        <w:tc>
          <w:tcPr>
            <w:tcW w:w="1189" w:type="pct"/>
            <w:tcBorders>
              <w:tl2br w:val="nil"/>
              <w:tr2bl w:val="nil"/>
            </w:tcBorders>
            <w:vAlign w:val="center"/>
          </w:tcPr>
          <w:p w14:paraId="424BC7D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0.963</w:t>
            </w:r>
          </w:p>
        </w:tc>
        <w:tc>
          <w:tcPr>
            <w:tcW w:w="1183" w:type="pct"/>
            <w:tcBorders>
              <w:tl2br w:val="nil"/>
              <w:tr2bl w:val="nil"/>
            </w:tcBorders>
            <w:vAlign w:val="center"/>
          </w:tcPr>
          <w:p w14:paraId="538C0BA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0.553</w:t>
            </w:r>
          </w:p>
        </w:tc>
        <w:tc>
          <w:tcPr>
            <w:tcW w:w="1181" w:type="pct"/>
            <w:tcBorders>
              <w:tl2br w:val="nil"/>
              <w:tr2bl w:val="nil"/>
            </w:tcBorders>
            <w:vAlign w:val="center"/>
          </w:tcPr>
          <w:p w14:paraId="2BF7A1E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0.076</w:t>
            </w:r>
          </w:p>
        </w:tc>
      </w:tr>
    </w:tbl>
    <w:p w14:paraId="41D8E8C2">
      <w:pPr>
        <w:pStyle w:val="5"/>
        <w:bidi w:val="0"/>
        <w:rPr>
          <w:rFonts w:hint="default"/>
        </w:rPr>
      </w:pPr>
      <w:bookmarkStart w:id="392" w:name="_Toc11288"/>
      <w:r>
        <w:rPr>
          <w:rFonts w:hint="default"/>
        </w:rPr>
        <w:t>对自然景观的影响分析</w:t>
      </w:r>
      <w:bookmarkEnd w:id="392"/>
    </w:p>
    <w:p w14:paraId="41FD043C">
      <w:pPr>
        <w:bidi w:val="0"/>
        <w:rPr>
          <w:rFonts w:hint="default" w:ascii="Times New Roman" w:hAnsi="Times New Roman" w:cs="Times New Roman"/>
          <w:color w:val="auto"/>
          <w:highlight w:val="none"/>
          <w:lang w:val="en-US" w:eastAsia="zh-CN"/>
        </w:rPr>
      </w:pPr>
      <w:bookmarkStart w:id="393" w:name="5.2.5.7生态环境影响综合性分析"/>
      <w:bookmarkEnd w:id="393"/>
      <w:r>
        <w:rPr>
          <w:rFonts w:hint="default" w:ascii="Times New Roman" w:hAnsi="Times New Roman" w:cs="Times New Roman"/>
          <w:color w:val="auto"/>
          <w:highlight w:val="none"/>
          <w:lang w:val="en-US" w:eastAsia="zh-CN"/>
        </w:rPr>
        <w:t>整个评价区属于荒漠草原景观。本工程开始运行后，工业广场、排土场等建成后，区域人工景观增加，景观生态系统结构在一定程度上有所改变。项目开发过程中，工程建设将使本区植物受到一定损失，加上工业场地和道路建设，都会使本区景观生态体系负面组分优势度有所上升、草原的优势度有所下降，从而对评价区内景观生态体系质量有所降低。露天开采将使生态防护功能变得趋于脆弱。采掘场区内的植被随着地表剥离而消亡，且在相当一段时间内难以恢复原状。植被破坏后，土壤表层外露，水分蒸发增大，表土有机质分解加速，土壤理化性质恶化，降低或破坏草地的水源涵养作用，也会造成一定程度的水土流失，景观生态体系质量下降。</w:t>
      </w:r>
    </w:p>
    <w:p w14:paraId="1A3550A2">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根据生态环境现状调查可知，本工程位于低矮沙丘，由于各主要工程建设场地是依照所处位置的地形地貌及项目要求进行了较为合理的布局，因此，本次项目建设将原有的草地景观改变为工矿用地景观，对于周边相邻区域景观格局和功能不会带来明显改变。生态环境恢复重建时，矿区在建设和生产中能充分重视矿区生态保护工作，努力做好所占土地上的植被恢复和土地综合整治，则可以保持评价区域内生态系统平衡。工程在运行过程中对评价区景观生态体系的质量影响较大，但通过生态环境恢复重建工作，可逐渐使评价区景观生态体系的质量向好的方向发展，因此必须大力加强生态恢复重建工作。</w:t>
      </w:r>
    </w:p>
    <w:p w14:paraId="646DA3E6">
      <w:pPr>
        <w:pStyle w:val="5"/>
        <w:bidi w:val="0"/>
        <w:rPr>
          <w:rFonts w:hint="default" w:ascii="宋体" w:hAnsi="宋体" w:eastAsia="宋体" w:cs="Times New Roman"/>
        </w:rPr>
      </w:pPr>
      <w:bookmarkStart w:id="394" w:name="_Toc16273"/>
      <w:r>
        <w:rPr>
          <w:rFonts w:hint="default" w:ascii="宋体" w:hAnsi="宋体" w:eastAsia="宋体" w:cs="Times New Roman"/>
        </w:rPr>
        <w:t>生态系统完整性影响评价</w:t>
      </w:r>
    </w:p>
    <w:p w14:paraId="4571AA64">
      <w:pPr>
        <w:bidi w:val="0"/>
        <w:rPr>
          <w:rFonts w:hint="default" w:ascii="Times New Roman" w:hAnsi="Times New Roman" w:eastAsia="宋体" w:cs="Times New Roman"/>
          <w:color w:val="FF0000"/>
          <w:highlight w:val="none"/>
          <w:lang w:val="en-US" w:eastAsia="zh-CN"/>
        </w:rPr>
      </w:pPr>
      <w:r>
        <w:rPr>
          <w:rFonts w:hint="default" w:ascii="Times New Roman" w:hAnsi="Times New Roman" w:eastAsia="宋体" w:cs="Times New Roman"/>
          <w:color w:val="FF0000"/>
          <w:highlight w:val="none"/>
          <w:lang w:val="en-US" w:eastAsia="zh-CN"/>
        </w:rPr>
        <w:t>露天采矿区域作为核心扰动区，直接清除沙生植被，导致“沙丘-植被斑块”结构断裂，局部植被覆盖率从5%降至0，风蚀强度增加2-3倍，沙丘年移动速度大幅提升，机械碾压还造成土壤板结、种子库流失，形成永久性生态脆弱点；工业广场硬化地面取代原有地貌，割裂植被斑块连通性，阻断雨水下渗并抑制周边植物萌发，车辆往来也可能引发沙丘活化；排土场弃渣堆放形成人工堆积体，改变沙丘链走向和风沙流路径，原生植被可能被掩埋，若弃渣未分层碾压易坍塌，扬尘会使周边100m内灌木光合效率下降50% 以上，松散弃渣还可能成为新沙源；表土堆场清除地表植被导致堆放区及周边内植被覆盖率下降，堆放坡度超15°还可能引发水土流失，覆盖周边植被进而抑制其生长。</w:t>
      </w:r>
    </w:p>
    <w:p w14:paraId="761940E3">
      <w:pPr>
        <w:pStyle w:val="5"/>
        <w:bidi w:val="0"/>
        <w:rPr>
          <w:rFonts w:hint="default"/>
        </w:rPr>
      </w:pPr>
      <w:r>
        <w:rPr>
          <w:rFonts w:hint="default"/>
        </w:rPr>
        <w:t>生态环境影响综合性分析</w:t>
      </w:r>
      <w:bookmarkEnd w:id="394"/>
    </w:p>
    <w:p w14:paraId="3793DBC5">
      <w:pPr>
        <w:numPr>
          <w:ilvl w:val="0"/>
          <w:numId w:val="40"/>
        </w:numPr>
        <w:spacing w:beforeLines="0" w:afterLines="0"/>
        <w:ind w:firstLine="5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生态系统稳定性及完整性分析</w:t>
      </w:r>
    </w:p>
    <w:p w14:paraId="3211F5BC">
      <w:pPr>
        <w:numPr>
          <w:ilvl w:val="0"/>
          <w:numId w:val="0"/>
        </w:numPr>
        <w:spacing w:beforeLines="0" w:afterLines="0"/>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占地对土壤环境的影响主要是堆积、挖掘、碾压、践踏等开发活动对土壤结构的影响，这些活动将严重破坏土壤的表层结构，造成地表裸露，表土温度变幅增大，对土壤的理化性质有不利影响，并且有机质分解强烈，使表土内有机质含量大幅度降低，并且使土壤的富集过程受阻，土壤生产力会进一步下降，厂区道路对动物将造成一定阻隔影响，对动物的栖息地造成分割、破坏，对动物生境造成干扰，导致区域动物数量相对减少。砂石矿开采活动的开展导致区域地质结构发生变化，地表形态、地质结构将发生一定变化，所有这些影响都将改变局部区域原有的生态系统，使局部地区生态系统稳定性受到影响，改变局部地带生态系统的完整性，本项目开采活动范围有限，总体上扰动范围不大，对生态系统的稳定性和完整性造成的影响有限。</w:t>
      </w:r>
    </w:p>
    <w:p w14:paraId="335AC44A">
      <w:pPr>
        <w:numPr>
          <w:ilvl w:val="0"/>
          <w:numId w:val="40"/>
        </w:numPr>
        <w:spacing w:beforeLines="0" w:afterLines="0"/>
        <w:ind w:left="0" w:leftChars="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生态系统异质性影响分析</w:t>
      </w:r>
    </w:p>
    <w:p w14:paraId="3F82F213">
      <w:pPr>
        <w:numPr>
          <w:ilvl w:val="0"/>
          <w:numId w:val="0"/>
        </w:numPr>
        <w:spacing w:beforeLines="0" w:afterLines="0"/>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生态系统异质性是指一个生态系统区域内对一个种或者更高级生物组织的存在起决定作用的资源在空间或时间上的变异程度，由于异质性组分具有不同的生态位，给动物物种和植物物种的栖息、移动以及抵御内外干扰提供了复杂和微妙的相应利用关系。</w:t>
      </w:r>
    </w:p>
    <w:p w14:paraId="7378A274">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开发建设对局部自然生态环境造成一定的破坏，但对整个评价区域自然体系的稳定性不会造成明显影响，局部区域动物迁徒、水土流失侵蚀度增加，使局部生物量减少，局部自然生态环境遭到一定破坏；但由于影响面积不大，对评价区域内自然生态体系的稳定性和对外界环境干扰的阻抗和恢复功能影响不大，对整个评价范围内区域自然体系恢复稳定性不会产生明显的影响。本项目工程建设占地区域地表植被稀疏，动物活动稀少，在整体物种种类上基本不会造成影响。因此项目运行对区域自然体系中生态环境自身的异质化程度影响不大。</w:t>
      </w:r>
    </w:p>
    <w:p w14:paraId="7DC82E11">
      <w:pPr>
        <w:numPr>
          <w:ilvl w:val="0"/>
          <w:numId w:val="40"/>
        </w:numPr>
        <w:spacing w:beforeLines="0" w:afterLines="0"/>
        <w:ind w:left="0" w:leftChars="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 xml:space="preserve">生态环境影响评价结论 </w:t>
      </w:r>
    </w:p>
    <w:p w14:paraId="6F408715">
      <w:pPr>
        <w:numPr>
          <w:ilvl w:val="0"/>
          <w:numId w:val="0"/>
        </w:numPr>
        <w:spacing w:beforeLines="0" w:afterLines="0"/>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综上所述，就整个评价区域来看，由于人为活动的影响和改造，使生态系统结构的稳定性和生态系统的完整性发生了一定的变化，但在项目后期的生态恢复过程中，对被占用的土地及被改变的景观和地貌进行恢复，一定程度上可增加生态系统的异质性和物种多样性，整体来看，本工程对生态环境的影响能够控制在可接收范围之内。</w:t>
      </w:r>
    </w:p>
    <w:p w14:paraId="0255E7F2">
      <w:pPr>
        <w:keepNext w:val="0"/>
        <w:keepLines w:val="0"/>
        <w:pageBreakBefore w:val="0"/>
        <w:widowControl/>
        <w:kinsoku/>
        <w:wordWrap/>
        <w:overflowPunct/>
        <w:topLinePunct w:val="0"/>
        <w:autoSpaceDE/>
        <w:autoSpaceDN/>
        <w:bidi w:val="0"/>
        <w:adjustRightInd/>
        <w:snapToGrid w:val="0"/>
        <w:spacing w:line="240" w:lineRule="auto"/>
        <w:ind w:firstLine="482"/>
        <w:jc w:val="center"/>
        <w:textAlignment w:val="auto"/>
        <w:rPr>
          <w:rFonts w:hint="default" w:ascii="Times New Roman" w:hAnsi="Times New Roman" w:eastAsia="宋体" w:cs="Times New Roman"/>
          <w:b/>
          <w:bCs/>
          <w:caps w:val="0"/>
          <w:color w:val="auto"/>
          <w:spacing w:val="0"/>
          <w:position w:val="0"/>
          <w:highlight w:val="none"/>
          <w:lang w:val="zh-CN" w:eastAsia="zh-CN"/>
        </w:rPr>
      </w:pPr>
    </w:p>
    <w:p w14:paraId="0C3F5A71">
      <w:pPr>
        <w:keepNext w:val="0"/>
        <w:keepLines w:val="0"/>
        <w:pageBreakBefore w:val="0"/>
        <w:widowControl/>
        <w:kinsoku/>
        <w:wordWrap/>
        <w:overflowPunct/>
        <w:topLinePunct w:val="0"/>
        <w:autoSpaceDE/>
        <w:autoSpaceDN/>
        <w:bidi w:val="0"/>
        <w:adjustRightInd/>
        <w:snapToGrid w:val="0"/>
        <w:spacing w:line="240" w:lineRule="auto"/>
        <w:ind w:firstLine="482"/>
        <w:jc w:val="center"/>
        <w:textAlignment w:val="auto"/>
        <w:rPr>
          <w:rFonts w:hint="default" w:ascii="Times New Roman" w:hAnsi="Times New Roman" w:eastAsia="宋体" w:cs="Times New Roman"/>
          <w:b/>
          <w:bCs/>
          <w:caps w:val="0"/>
          <w:color w:val="FF0000"/>
          <w:spacing w:val="0"/>
          <w:position w:val="0"/>
          <w:highlight w:val="none"/>
          <w:lang w:val="zh-CN" w:eastAsia="zh-CN"/>
        </w:rPr>
      </w:pPr>
      <w:r>
        <w:rPr>
          <w:rFonts w:hint="default" w:ascii="Times New Roman" w:hAnsi="Times New Roman" w:eastAsia="宋体" w:cs="Times New Roman"/>
          <w:b/>
          <w:bCs/>
          <w:caps w:val="0"/>
          <w:color w:val="FF0000"/>
          <w:spacing w:val="0"/>
          <w:position w:val="0"/>
          <w:highlight w:val="none"/>
          <w:lang w:val="zh-CN" w:eastAsia="zh-CN"/>
        </w:rPr>
        <w:t>表</w:t>
      </w:r>
      <w:r>
        <w:rPr>
          <w:rFonts w:hint="default" w:ascii="Times New Roman" w:hAnsi="Times New Roman" w:eastAsia="宋体" w:cs="Times New Roman"/>
          <w:b/>
          <w:bCs/>
          <w:caps w:val="0"/>
          <w:color w:val="FF0000"/>
          <w:spacing w:val="0"/>
          <w:position w:val="0"/>
          <w:highlight w:val="none"/>
          <w:lang w:val="en-US" w:eastAsia="zh-CN"/>
        </w:rPr>
        <w:t>5</w:t>
      </w:r>
      <w:r>
        <w:rPr>
          <w:rFonts w:hint="eastAsia" w:ascii="Times New Roman" w:hAnsi="Times New Roman" w:eastAsia="宋体" w:cs="Times New Roman"/>
          <w:b/>
          <w:bCs/>
          <w:caps w:val="0"/>
          <w:color w:val="FF0000"/>
          <w:spacing w:val="0"/>
          <w:position w:val="0"/>
          <w:highlight w:val="none"/>
          <w:lang w:val="en-US" w:eastAsia="zh-CN"/>
        </w:rPr>
        <w:t>.2</w:t>
      </w:r>
      <w:r>
        <w:rPr>
          <w:rFonts w:hint="default" w:ascii="Times New Roman" w:hAnsi="Times New Roman" w:eastAsia="宋体" w:cs="Times New Roman"/>
          <w:b/>
          <w:bCs/>
          <w:caps w:val="0"/>
          <w:color w:val="FF0000"/>
          <w:spacing w:val="0"/>
          <w:position w:val="0"/>
          <w:highlight w:val="none"/>
          <w:lang w:val="en-US" w:eastAsia="zh-CN"/>
        </w:rPr>
        <w:t>-</w:t>
      </w:r>
      <w:r>
        <w:rPr>
          <w:rFonts w:hint="eastAsia" w:ascii="Times New Roman" w:hAnsi="Times New Roman" w:eastAsia="宋体" w:cs="Times New Roman"/>
          <w:b/>
          <w:bCs/>
          <w:caps w:val="0"/>
          <w:color w:val="FF0000"/>
          <w:spacing w:val="0"/>
          <w:position w:val="0"/>
          <w:highlight w:val="none"/>
          <w:lang w:val="en-US" w:eastAsia="zh-CN"/>
        </w:rPr>
        <w:t>2</w:t>
      </w:r>
      <w:r>
        <w:rPr>
          <w:rFonts w:hint="eastAsia" w:cs="Times New Roman"/>
          <w:b/>
          <w:bCs/>
          <w:caps w:val="0"/>
          <w:color w:val="FF0000"/>
          <w:spacing w:val="0"/>
          <w:position w:val="0"/>
          <w:highlight w:val="none"/>
          <w:lang w:val="en-US" w:eastAsia="zh-CN"/>
        </w:rPr>
        <w:t>9</w:t>
      </w:r>
      <w:r>
        <w:rPr>
          <w:rFonts w:hint="default" w:ascii="Times New Roman" w:hAnsi="Times New Roman" w:eastAsia="宋体" w:cs="Times New Roman"/>
          <w:b/>
          <w:bCs/>
          <w:caps w:val="0"/>
          <w:color w:val="FF0000"/>
          <w:spacing w:val="0"/>
          <w:position w:val="0"/>
          <w:highlight w:val="none"/>
          <w:lang w:val="en-US" w:eastAsia="zh-CN"/>
        </w:rPr>
        <w:t xml:space="preserve">  </w:t>
      </w:r>
      <w:r>
        <w:rPr>
          <w:rFonts w:hint="eastAsia" w:ascii="Times New Roman" w:hAnsi="Times New Roman" w:eastAsia="宋体" w:cs="Times New Roman"/>
          <w:b/>
          <w:bCs/>
          <w:caps w:val="0"/>
          <w:color w:val="FF0000"/>
          <w:spacing w:val="0"/>
          <w:position w:val="0"/>
          <w:highlight w:val="none"/>
          <w:lang w:val="en-US" w:eastAsia="zh-CN"/>
        </w:rPr>
        <w:t xml:space="preserve"> </w:t>
      </w:r>
      <w:r>
        <w:rPr>
          <w:rFonts w:hint="default" w:ascii="Times New Roman" w:hAnsi="Times New Roman" w:eastAsia="宋体" w:cs="Times New Roman"/>
          <w:b/>
          <w:bCs/>
          <w:caps w:val="0"/>
          <w:color w:val="FF0000"/>
          <w:spacing w:val="0"/>
          <w:position w:val="0"/>
          <w:highlight w:val="none"/>
          <w:lang w:val="en-US" w:eastAsia="zh-CN"/>
        </w:rPr>
        <w:t>生态</w:t>
      </w:r>
      <w:r>
        <w:rPr>
          <w:rFonts w:hint="default" w:ascii="Times New Roman" w:hAnsi="Times New Roman" w:eastAsia="宋体" w:cs="Times New Roman"/>
          <w:b/>
          <w:bCs/>
          <w:caps w:val="0"/>
          <w:color w:val="FF0000"/>
          <w:spacing w:val="0"/>
          <w:position w:val="0"/>
          <w:highlight w:val="none"/>
          <w:lang w:val="zh-CN" w:eastAsia="zh-CN"/>
        </w:rPr>
        <w:t>环境影响评价自查表</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281"/>
        <w:gridCol w:w="1583"/>
        <w:gridCol w:w="6148"/>
      </w:tblGrid>
      <w:tr w14:paraId="7C95B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0" w:hRule="atLeast"/>
        </w:trPr>
        <w:tc>
          <w:tcPr>
            <w:tcW w:w="2864" w:type="dxa"/>
            <w:gridSpan w:val="2"/>
            <w:tcBorders>
              <w:tl2br w:val="nil"/>
              <w:tr2bl w:val="nil"/>
            </w:tcBorders>
            <w:noWrap w:val="0"/>
            <w:vAlign w:val="center"/>
          </w:tcPr>
          <w:p w14:paraId="65317E74">
            <w:pPr>
              <w:pStyle w:val="42"/>
              <w:bidi w:val="0"/>
              <w:rPr>
                <w:rFonts w:hint="default" w:ascii="Times New Roman" w:hAnsi="Times New Roman" w:cs="Times New Roman"/>
                <w:caps w:val="0"/>
                <w:color w:val="FF0000"/>
                <w:spacing w:val="0"/>
                <w:position w:val="0"/>
                <w:highlight w:val="none"/>
              </w:rPr>
            </w:pPr>
            <w:r>
              <w:rPr>
                <w:rFonts w:hint="default" w:ascii="Times New Roman" w:hAnsi="Times New Roman" w:cs="Times New Roman"/>
                <w:caps w:val="0"/>
                <w:color w:val="FF0000"/>
                <w:spacing w:val="0"/>
                <w:position w:val="0"/>
                <w:highlight w:val="none"/>
              </w:rPr>
              <w:t>工作内容</w:t>
            </w:r>
          </w:p>
        </w:tc>
        <w:tc>
          <w:tcPr>
            <w:tcW w:w="6148" w:type="dxa"/>
            <w:tcBorders>
              <w:tl2br w:val="nil"/>
              <w:tr2bl w:val="nil"/>
            </w:tcBorders>
            <w:noWrap w:val="0"/>
            <w:vAlign w:val="center"/>
          </w:tcPr>
          <w:p w14:paraId="362381A1">
            <w:pPr>
              <w:pStyle w:val="42"/>
              <w:bidi w:val="0"/>
              <w:rPr>
                <w:rFonts w:hint="default" w:ascii="Times New Roman" w:hAnsi="Times New Roman" w:cs="Times New Roman"/>
                <w:caps w:val="0"/>
                <w:color w:val="FF0000"/>
                <w:spacing w:val="0"/>
                <w:position w:val="0"/>
                <w:highlight w:val="none"/>
                <w:lang w:val="en-US" w:eastAsia="zh-CN"/>
              </w:rPr>
            </w:pPr>
            <w:r>
              <w:rPr>
                <w:rFonts w:hint="default" w:ascii="Times New Roman" w:hAnsi="Times New Roman" w:cs="Times New Roman"/>
                <w:caps w:val="0"/>
                <w:color w:val="FF0000"/>
                <w:spacing w:val="0"/>
                <w:position w:val="0"/>
                <w:highlight w:val="none"/>
                <w:lang w:val="en-US" w:eastAsia="zh-CN"/>
              </w:rPr>
              <w:t>自查项目</w:t>
            </w:r>
          </w:p>
        </w:tc>
      </w:tr>
      <w:tr w14:paraId="1A729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59" w:hRule="atLeast"/>
        </w:trPr>
        <w:tc>
          <w:tcPr>
            <w:tcW w:w="1281" w:type="dxa"/>
            <w:vMerge w:val="restart"/>
            <w:tcBorders>
              <w:tl2br w:val="nil"/>
              <w:tr2bl w:val="nil"/>
            </w:tcBorders>
            <w:noWrap w:val="0"/>
            <w:vAlign w:val="center"/>
          </w:tcPr>
          <w:p w14:paraId="5B625DCE">
            <w:pPr>
              <w:pStyle w:val="42"/>
              <w:bidi w:val="0"/>
              <w:rPr>
                <w:rFonts w:hint="default" w:ascii="Times New Roman" w:hAnsi="Times New Roman" w:cs="Times New Roman"/>
                <w:caps w:val="0"/>
                <w:color w:val="FF0000"/>
                <w:spacing w:val="0"/>
                <w:position w:val="0"/>
                <w:highlight w:val="none"/>
              </w:rPr>
            </w:pPr>
            <w:r>
              <w:rPr>
                <w:rFonts w:hint="default" w:ascii="Times New Roman" w:hAnsi="Times New Roman" w:cs="Times New Roman"/>
                <w:caps w:val="0"/>
                <w:color w:val="FF0000"/>
                <w:spacing w:val="0"/>
                <w:position w:val="0"/>
                <w:highlight w:val="none"/>
                <w:lang w:val="en-US" w:eastAsia="zh-CN"/>
              </w:rPr>
              <w:t>生态</w:t>
            </w:r>
            <w:r>
              <w:rPr>
                <w:rFonts w:hint="default" w:ascii="Times New Roman" w:hAnsi="Times New Roman" w:cs="Times New Roman"/>
                <w:caps w:val="0"/>
                <w:color w:val="FF0000"/>
                <w:spacing w:val="0"/>
                <w:position w:val="0"/>
                <w:highlight w:val="none"/>
              </w:rPr>
              <w:t>影响识别</w:t>
            </w:r>
          </w:p>
        </w:tc>
        <w:tc>
          <w:tcPr>
            <w:tcW w:w="1583" w:type="dxa"/>
            <w:tcBorders>
              <w:tl2br w:val="nil"/>
              <w:tr2bl w:val="nil"/>
            </w:tcBorders>
            <w:noWrap w:val="0"/>
            <w:vAlign w:val="center"/>
          </w:tcPr>
          <w:p w14:paraId="7CAD8581">
            <w:pPr>
              <w:pStyle w:val="42"/>
              <w:bidi w:val="0"/>
              <w:rPr>
                <w:rFonts w:hint="default" w:ascii="Times New Roman" w:hAnsi="Times New Roman" w:cs="Times New Roman"/>
                <w:caps w:val="0"/>
                <w:color w:val="FF0000"/>
                <w:spacing w:val="0"/>
                <w:position w:val="0"/>
                <w:highlight w:val="none"/>
                <w:lang w:val="en-US" w:eastAsia="zh-CN"/>
              </w:rPr>
            </w:pPr>
            <w:r>
              <w:rPr>
                <w:rFonts w:hint="default" w:ascii="Times New Roman" w:hAnsi="Times New Roman" w:cs="Times New Roman"/>
                <w:caps w:val="0"/>
                <w:color w:val="FF0000"/>
                <w:spacing w:val="0"/>
                <w:position w:val="0"/>
                <w:highlight w:val="none"/>
                <w:lang w:val="en-US" w:eastAsia="zh-CN"/>
              </w:rPr>
              <w:t>生态保护目标</w:t>
            </w:r>
          </w:p>
        </w:tc>
        <w:tc>
          <w:tcPr>
            <w:tcW w:w="6148" w:type="dxa"/>
            <w:tcBorders>
              <w:tl2br w:val="nil"/>
              <w:tr2bl w:val="nil"/>
            </w:tcBorders>
            <w:noWrap w:val="0"/>
            <w:vAlign w:val="center"/>
          </w:tcPr>
          <w:p w14:paraId="1A1C8C4C">
            <w:pPr>
              <w:pStyle w:val="42"/>
              <w:bidi w:val="0"/>
              <w:rPr>
                <w:rFonts w:hint="default" w:ascii="Times New Roman" w:hAnsi="Times New Roman" w:cs="Times New Roman"/>
                <w:caps w:val="0"/>
                <w:color w:val="FF0000"/>
                <w:spacing w:val="0"/>
                <w:position w:val="0"/>
                <w:highlight w:val="none"/>
              </w:rPr>
            </w:pPr>
            <w:r>
              <w:rPr>
                <w:rFonts w:hint="default" w:ascii="Times New Roman" w:hAnsi="Times New Roman" w:cs="Times New Roman"/>
                <w:caps w:val="0"/>
                <w:color w:val="FF0000"/>
                <w:spacing w:val="0"/>
                <w:position w:val="0"/>
                <w:highlight w:val="none"/>
                <w:lang w:val="en-US" w:eastAsia="zh-CN"/>
              </w:rPr>
              <w:t>重要物种</w:t>
            </w:r>
            <w:r>
              <w:rPr>
                <w:rFonts w:hint="default" w:ascii="Times New Roman" w:hAnsi="Times New Roman" w:cs="Times New Roman"/>
                <w:caps w:val="0"/>
                <w:color w:val="FF0000"/>
                <w:spacing w:val="0"/>
                <w:position w:val="0"/>
                <w:highlight w:val="none"/>
                <w:lang w:eastAsia="zh-CN"/>
              </w:rPr>
              <w:t>□</w:t>
            </w:r>
            <w:r>
              <w:rPr>
                <w:rFonts w:hint="default" w:ascii="Times New Roman" w:hAnsi="Times New Roman" w:cs="Times New Roman"/>
                <w:caps w:val="0"/>
                <w:color w:val="FF0000"/>
                <w:spacing w:val="0"/>
                <w:position w:val="0"/>
                <w:highlight w:val="none"/>
              </w:rPr>
              <w:t>；</w:t>
            </w:r>
            <w:r>
              <w:rPr>
                <w:rFonts w:hint="default" w:ascii="Times New Roman" w:hAnsi="Times New Roman" w:cs="Times New Roman"/>
                <w:caps w:val="0"/>
                <w:color w:val="FF0000"/>
                <w:spacing w:val="0"/>
                <w:position w:val="0"/>
                <w:highlight w:val="none"/>
                <w:lang w:val="en-US" w:eastAsia="zh-CN"/>
              </w:rPr>
              <w:t>国家公园</w:t>
            </w:r>
            <w:r>
              <w:rPr>
                <w:rFonts w:hint="default" w:ascii="Times New Roman" w:hAnsi="Times New Roman" w:cs="Times New Roman"/>
                <w:caps w:val="0"/>
                <w:color w:val="FF0000"/>
                <w:spacing w:val="0"/>
                <w:position w:val="0"/>
                <w:highlight w:val="none"/>
                <w:lang w:eastAsia="zh-CN"/>
              </w:rPr>
              <w:t>□</w:t>
            </w:r>
            <w:r>
              <w:rPr>
                <w:rFonts w:hint="default" w:ascii="Times New Roman" w:hAnsi="Times New Roman" w:cs="Times New Roman"/>
                <w:caps w:val="0"/>
                <w:color w:val="FF0000"/>
                <w:spacing w:val="0"/>
                <w:position w:val="0"/>
                <w:highlight w:val="none"/>
              </w:rPr>
              <w:t>；</w:t>
            </w:r>
            <w:r>
              <w:rPr>
                <w:rFonts w:hint="default" w:ascii="Times New Roman" w:hAnsi="Times New Roman" w:cs="Times New Roman"/>
                <w:caps w:val="0"/>
                <w:color w:val="FF0000"/>
                <w:spacing w:val="0"/>
                <w:position w:val="0"/>
                <w:highlight w:val="none"/>
                <w:lang w:val="en-US" w:eastAsia="zh-CN"/>
              </w:rPr>
              <w:t>自然保护区</w:t>
            </w:r>
            <w:r>
              <w:rPr>
                <w:rFonts w:hint="default" w:ascii="Times New Roman" w:hAnsi="Times New Roman" w:cs="Times New Roman"/>
                <w:caps w:val="0"/>
                <w:color w:val="FF0000"/>
                <w:spacing w:val="0"/>
                <w:position w:val="0"/>
                <w:highlight w:val="none"/>
                <w:lang w:eastAsia="zh-CN"/>
              </w:rPr>
              <w:t>□；</w:t>
            </w:r>
            <w:r>
              <w:rPr>
                <w:rFonts w:hint="default" w:ascii="Times New Roman" w:hAnsi="Times New Roman" w:cs="Times New Roman"/>
                <w:caps w:val="0"/>
                <w:color w:val="FF0000"/>
                <w:spacing w:val="0"/>
                <w:position w:val="0"/>
                <w:highlight w:val="none"/>
                <w:lang w:val="en-US" w:eastAsia="zh-CN"/>
              </w:rPr>
              <w:t>自然公园</w:t>
            </w:r>
            <w:r>
              <w:rPr>
                <w:rFonts w:hint="default" w:ascii="Times New Roman" w:hAnsi="Times New Roman" w:cs="Times New Roman"/>
                <w:caps w:val="0"/>
                <w:color w:val="FF0000"/>
                <w:spacing w:val="0"/>
                <w:position w:val="0"/>
                <w:highlight w:val="none"/>
                <w:lang w:eastAsia="zh-CN"/>
              </w:rPr>
              <w:t>□</w:t>
            </w:r>
            <w:r>
              <w:rPr>
                <w:rFonts w:hint="default" w:ascii="Times New Roman" w:hAnsi="Times New Roman" w:cs="Times New Roman"/>
                <w:caps w:val="0"/>
                <w:color w:val="FF0000"/>
                <w:spacing w:val="0"/>
                <w:position w:val="0"/>
                <w:highlight w:val="none"/>
              </w:rPr>
              <w:t>；</w:t>
            </w:r>
            <w:r>
              <w:rPr>
                <w:rFonts w:hint="default" w:ascii="Times New Roman" w:hAnsi="Times New Roman" w:cs="Times New Roman"/>
                <w:caps w:val="0"/>
                <w:color w:val="FF0000"/>
                <w:spacing w:val="0"/>
                <w:position w:val="0"/>
                <w:highlight w:val="none"/>
                <w:lang w:val="en-US" w:eastAsia="zh-CN"/>
              </w:rPr>
              <w:t>世界自然遗产</w:t>
            </w:r>
            <w:r>
              <w:rPr>
                <w:rFonts w:hint="default" w:ascii="Times New Roman" w:hAnsi="Times New Roman" w:cs="Times New Roman"/>
                <w:caps w:val="0"/>
                <w:color w:val="FF0000"/>
                <w:spacing w:val="0"/>
                <w:position w:val="0"/>
                <w:highlight w:val="none"/>
                <w:lang w:eastAsia="zh-CN"/>
              </w:rPr>
              <w:t>□</w:t>
            </w:r>
            <w:r>
              <w:rPr>
                <w:rFonts w:hint="default" w:ascii="Times New Roman" w:hAnsi="Times New Roman" w:cs="Times New Roman"/>
                <w:caps w:val="0"/>
                <w:color w:val="FF0000"/>
                <w:spacing w:val="0"/>
                <w:position w:val="0"/>
                <w:highlight w:val="none"/>
              </w:rPr>
              <w:t>；</w:t>
            </w:r>
            <w:r>
              <w:rPr>
                <w:rFonts w:hint="default" w:ascii="Times New Roman" w:hAnsi="Times New Roman" w:cs="Times New Roman"/>
                <w:caps w:val="0"/>
                <w:color w:val="FF0000"/>
                <w:spacing w:val="0"/>
                <w:position w:val="0"/>
                <w:highlight w:val="none"/>
                <w:lang w:val="en-US" w:eastAsia="zh-CN"/>
              </w:rPr>
              <w:t>生态保护红线</w:t>
            </w:r>
            <w:r>
              <w:rPr>
                <w:rFonts w:hint="default" w:ascii="Times New Roman" w:hAnsi="Times New Roman" w:cs="Times New Roman"/>
                <w:caps w:val="0"/>
                <w:color w:val="FF0000"/>
                <w:spacing w:val="0"/>
                <w:position w:val="0"/>
                <w:highlight w:val="none"/>
                <w:lang w:eastAsia="zh-CN"/>
              </w:rPr>
              <w:t>□；</w:t>
            </w:r>
            <w:r>
              <w:rPr>
                <w:rFonts w:hint="default" w:ascii="Times New Roman" w:hAnsi="Times New Roman" w:cs="Times New Roman"/>
                <w:caps w:val="0"/>
                <w:color w:val="FF0000"/>
                <w:spacing w:val="0"/>
                <w:position w:val="0"/>
                <w:highlight w:val="none"/>
                <w:lang w:val="en-US" w:eastAsia="zh-CN"/>
              </w:rPr>
              <w:t>重要生境</w:t>
            </w:r>
            <w:r>
              <w:rPr>
                <w:rFonts w:hint="default" w:ascii="Times New Roman" w:hAnsi="Times New Roman" w:cs="Times New Roman"/>
                <w:caps w:val="0"/>
                <w:color w:val="FF0000"/>
                <w:spacing w:val="0"/>
                <w:position w:val="0"/>
                <w:highlight w:val="none"/>
                <w:lang w:eastAsia="zh-CN"/>
              </w:rPr>
              <w:t>□</w:t>
            </w:r>
            <w:r>
              <w:rPr>
                <w:rFonts w:hint="default" w:ascii="Times New Roman" w:hAnsi="Times New Roman" w:cs="Times New Roman"/>
                <w:caps w:val="0"/>
                <w:color w:val="FF0000"/>
                <w:spacing w:val="0"/>
                <w:position w:val="0"/>
                <w:highlight w:val="none"/>
              </w:rPr>
              <w:t>；</w:t>
            </w:r>
            <w:r>
              <w:rPr>
                <w:rFonts w:hint="default" w:ascii="Times New Roman" w:hAnsi="Times New Roman" w:cs="Times New Roman"/>
                <w:caps w:val="0"/>
                <w:color w:val="FF0000"/>
                <w:spacing w:val="0"/>
                <w:position w:val="0"/>
                <w:highlight w:val="none"/>
                <w:lang w:val="en-US" w:eastAsia="zh-CN"/>
              </w:rPr>
              <w:t>其他具有重要生态功能、对保护生物多样性具有重要意义的区域</w:t>
            </w:r>
            <w:r>
              <w:rPr>
                <w:rFonts w:hint="default" w:ascii="Times New Roman" w:hAnsi="Times New Roman" w:cs="Times New Roman"/>
                <w:caps w:val="0"/>
                <w:color w:val="FF0000"/>
                <w:spacing w:val="0"/>
                <w:position w:val="0"/>
                <w:highlight w:val="none"/>
                <w:lang w:eastAsia="zh-CN"/>
              </w:rPr>
              <w:t>□</w:t>
            </w:r>
            <w:r>
              <w:rPr>
                <w:rFonts w:hint="default" w:ascii="Times New Roman" w:hAnsi="Times New Roman" w:cs="Times New Roman"/>
                <w:caps w:val="0"/>
                <w:color w:val="FF0000"/>
                <w:spacing w:val="0"/>
                <w:position w:val="0"/>
                <w:highlight w:val="none"/>
              </w:rPr>
              <w:t>；</w:t>
            </w:r>
            <w:r>
              <w:rPr>
                <w:rFonts w:hint="default" w:ascii="Times New Roman" w:hAnsi="Times New Roman" w:cs="Times New Roman"/>
                <w:caps w:val="0"/>
                <w:color w:val="FF0000"/>
                <w:spacing w:val="0"/>
                <w:position w:val="0"/>
                <w:highlight w:val="none"/>
                <w:lang w:val="en-US" w:eastAsia="zh-CN"/>
              </w:rPr>
              <w:t>其他</w:t>
            </w:r>
            <w:r>
              <w:rPr>
                <w:rFonts w:hint="eastAsia" w:ascii="Times New Roman" w:hAnsi="Times New Roman" w:cs="Times New Roman"/>
                <w:caps w:val="0"/>
                <w:color w:val="FF0000"/>
                <w:spacing w:val="0"/>
                <w:position w:val="0"/>
                <w:highlight w:val="none"/>
                <w:lang w:eastAsia="zh-CN"/>
              </w:rPr>
              <w:t>☑</w:t>
            </w:r>
            <w:r>
              <w:rPr>
                <w:rFonts w:hint="default" w:ascii="Times New Roman" w:hAnsi="Times New Roman" w:cs="Times New Roman"/>
                <w:caps w:val="0"/>
                <w:color w:val="FF0000"/>
                <w:spacing w:val="0"/>
                <w:position w:val="0"/>
                <w:highlight w:val="none"/>
                <w:lang w:eastAsia="zh-CN"/>
              </w:rPr>
              <w:t>；</w:t>
            </w:r>
          </w:p>
        </w:tc>
      </w:tr>
      <w:tr w14:paraId="09FEC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59" w:hRule="atLeast"/>
        </w:trPr>
        <w:tc>
          <w:tcPr>
            <w:tcW w:w="1281" w:type="dxa"/>
            <w:vMerge w:val="continue"/>
            <w:tcBorders>
              <w:tl2br w:val="nil"/>
              <w:tr2bl w:val="nil"/>
            </w:tcBorders>
            <w:noWrap w:val="0"/>
            <w:vAlign w:val="center"/>
          </w:tcPr>
          <w:p w14:paraId="7FB2FA10">
            <w:pPr>
              <w:pStyle w:val="42"/>
              <w:bidi w:val="0"/>
              <w:rPr>
                <w:rFonts w:hint="default" w:ascii="Times New Roman" w:hAnsi="Times New Roman" w:cs="Times New Roman"/>
                <w:caps w:val="0"/>
                <w:color w:val="FF0000"/>
                <w:spacing w:val="0"/>
                <w:position w:val="0"/>
                <w:highlight w:val="none"/>
              </w:rPr>
            </w:pPr>
          </w:p>
        </w:tc>
        <w:tc>
          <w:tcPr>
            <w:tcW w:w="1583" w:type="dxa"/>
            <w:tcBorders>
              <w:tl2br w:val="nil"/>
              <w:tr2bl w:val="nil"/>
            </w:tcBorders>
            <w:noWrap w:val="0"/>
            <w:vAlign w:val="center"/>
          </w:tcPr>
          <w:p w14:paraId="12123FD6">
            <w:pPr>
              <w:pStyle w:val="42"/>
              <w:bidi w:val="0"/>
              <w:rPr>
                <w:rFonts w:hint="default" w:ascii="Times New Roman" w:hAnsi="Times New Roman" w:cs="Times New Roman"/>
                <w:caps w:val="0"/>
                <w:color w:val="FF0000"/>
                <w:spacing w:val="0"/>
                <w:position w:val="0"/>
                <w:highlight w:val="none"/>
                <w:lang w:val="en-US" w:eastAsia="zh-CN"/>
              </w:rPr>
            </w:pPr>
            <w:r>
              <w:rPr>
                <w:rFonts w:hint="default" w:ascii="Times New Roman" w:hAnsi="Times New Roman" w:cs="Times New Roman"/>
                <w:caps w:val="0"/>
                <w:color w:val="FF0000"/>
                <w:spacing w:val="0"/>
                <w:position w:val="0"/>
                <w:highlight w:val="none"/>
                <w:lang w:val="en-US" w:eastAsia="zh-CN"/>
              </w:rPr>
              <w:t>影响方式</w:t>
            </w:r>
          </w:p>
        </w:tc>
        <w:tc>
          <w:tcPr>
            <w:tcW w:w="6148" w:type="dxa"/>
            <w:tcBorders>
              <w:tl2br w:val="nil"/>
              <w:tr2bl w:val="nil"/>
            </w:tcBorders>
            <w:noWrap w:val="0"/>
            <w:vAlign w:val="center"/>
          </w:tcPr>
          <w:p w14:paraId="2B9DEC3C">
            <w:pPr>
              <w:pStyle w:val="42"/>
              <w:bidi w:val="0"/>
              <w:rPr>
                <w:rFonts w:hint="default" w:ascii="Times New Roman" w:hAnsi="Times New Roman" w:cs="Times New Roman"/>
                <w:caps w:val="0"/>
                <w:color w:val="FF0000"/>
                <w:spacing w:val="0"/>
                <w:position w:val="0"/>
                <w:highlight w:val="none"/>
              </w:rPr>
            </w:pPr>
            <w:r>
              <w:rPr>
                <w:rFonts w:hint="default" w:ascii="Times New Roman" w:hAnsi="Times New Roman" w:cs="Times New Roman"/>
                <w:caps w:val="0"/>
                <w:color w:val="FF0000"/>
                <w:spacing w:val="0"/>
                <w:position w:val="0"/>
                <w:highlight w:val="none"/>
                <w:lang w:val="en-US" w:eastAsia="zh-CN"/>
              </w:rPr>
              <w:t>工程占地</w:t>
            </w:r>
            <w:r>
              <w:rPr>
                <w:rFonts w:hint="default" w:ascii="Times New Roman" w:hAnsi="Times New Roman" w:cs="Times New Roman"/>
                <w:caps w:val="0"/>
                <w:color w:val="FF0000"/>
                <w:spacing w:val="0"/>
                <w:position w:val="0"/>
                <w:highlight w:val="none"/>
                <w:lang w:eastAsia="zh-CN"/>
              </w:rPr>
              <w:sym w:font="Wingdings 2" w:char="0052"/>
            </w:r>
            <w:r>
              <w:rPr>
                <w:rFonts w:hint="default" w:ascii="Times New Roman" w:hAnsi="Times New Roman" w:cs="Times New Roman"/>
                <w:caps w:val="0"/>
                <w:color w:val="FF0000"/>
                <w:spacing w:val="0"/>
                <w:position w:val="0"/>
                <w:highlight w:val="none"/>
              </w:rPr>
              <w:t>；</w:t>
            </w:r>
            <w:r>
              <w:rPr>
                <w:rFonts w:hint="default" w:ascii="Times New Roman" w:hAnsi="Times New Roman" w:cs="Times New Roman"/>
                <w:caps w:val="0"/>
                <w:color w:val="FF0000"/>
                <w:spacing w:val="0"/>
                <w:position w:val="0"/>
                <w:highlight w:val="none"/>
                <w:lang w:val="en-US" w:eastAsia="zh-CN"/>
              </w:rPr>
              <w:t>施工活动干扰</w:t>
            </w:r>
            <w:r>
              <w:rPr>
                <w:rFonts w:hint="default" w:ascii="Times New Roman" w:hAnsi="Times New Roman" w:cs="Times New Roman"/>
                <w:caps w:val="0"/>
                <w:color w:val="FF0000"/>
                <w:spacing w:val="0"/>
                <w:position w:val="0"/>
                <w:highlight w:val="none"/>
                <w:lang w:eastAsia="zh-CN"/>
              </w:rPr>
              <w:sym w:font="Wingdings 2" w:char="0052"/>
            </w:r>
            <w:r>
              <w:rPr>
                <w:rFonts w:hint="default" w:ascii="Times New Roman" w:hAnsi="Times New Roman" w:cs="Times New Roman"/>
                <w:caps w:val="0"/>
                <w:color w:val="FF0000"/>
                <w:spacing w:val="0"/>
                <w:position w:val="0"/>
                <w:highlight w:val="none"/>
              </w:rPr>
              <w:t>；</w:t>
            </w:r>
            <w:r>
              <w:rPr>
                <w:rFonts w:hint="default" w:ascii="Times New Roman" w:hAnsi="Times New Roman" w:cs="Times New Roman"/>
                <w:caps w:val="0"/>
                <w:color w:val="FF0000"/>
                <w:spacing w:val="0"/>
                <w:position w:val="0"/>
                <w:highlight w:val="none"/>
                <w:lang w:val="en-US" w:eastAsia="zh-CN"/>
              </w:rPr>
              <w:t>改变环境条件</w:t>
            </w:r>
            <w:r>
              <w:rPr>
                <w:rFonts w:hint="default" w:ascii="Times New Roman" w:hAnsi="Times New Roman" w:cs="Times New Roman"/>
                <w:caps w:val="0"/>
                <w:color w:val="FF0000"/>
                <w:spacing w:val="0"/>
                <w:position w:val="0"/>
                <w:highlight w:val="none"/>
                <w:lang w:eastAsia="zh-CN"/>
              </w:rPr>
              <w:sym w:font="Wingdings 2" w:char="00A3"/>
            </w:r>
            <w:r>
              <w:rPr>
                <w:rFonts w:hint="default" w:ascii="Times New Roman" w:hAnsi="Times New Roman" w:cs="Times New Roman"/>
                <w:caps w:val="0"/>
                <w:color w:val="FF0000"/>
                <w:spacing w:val="0"/>
                <w:position w:val="0"/>
                <w:highlight w:val="none"/>
                <w:lang w:eastAsia="zh-CN"/>
              </w:rPr>
              <w:t>；</w:t>
            </w:r>
            <w:r>
              <w:rPr>
                <w:rFonts w:hint="default" w:ascii="Times New Roman" w:hAnsi="Times New Roman" w:cs="Times New Roman"/>
                <w:caps w:val="0"/>
                <w:color w:val="FF0000"/>
                <w:spacing w:val="0"/>
                <w:position w:val="0"/>
                <w:highlight w:val="none"/>
                <w:lang w:val="en-US" w:eastAsia="zh-CN"/>
              </w:rPr>
              <w:t>其他</w:t>
            </w:r>
            <w:r>
              <w:rPr>
                <w:rFonts w:hint="default" w:ascii="Times New Roman" w:hAnsi="Times New Roman" w:cs="Times New Roman"/>
                <w:caps w:val="0"/>
                <w:color w:val="FF0000"/>
                <w:spacing w:val="0"/>
                <w:position w:val="0"/>
                <w:highlight w:val="none"/>
                <w:lang w:eastAsia="zh-CN"/>
              </w:rPr>
              <w:sym w:font="Wingdings 2" w:char="00A3"/>
            </w:r>
          </w:p>
        </w:tc>
      </w:tr>
      <w:tr w14:paraId="44AB4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0" w:hRule="atLeast"/>
        </w:trPr>
        <w:tc>
          <w:tcPr>
            <w:tcW w:w="1281" w:type="dxa"/>
            <w:vMerge w:val="continue"/>
            <w:tcBorders>
              <w:tl2br w:val="nil"/>
              <w:tr2bl w:val="nil"/>
            </w:tcBorders>
            <w:noWrap w:val="0"/>
            <w:vAlign w:val="center"/>
          </w:tcPr>
          <w:p w14:paraId="5ADF2BE0">
            <w:pPr>
              <w:pStyle w:val="42"/>
              <w:bidi w:val="0"/>
              <w:rPr>
                <w:rFonts w:hint="default" w:ascii="Times New Roman" w:hAnsi="Times New Roman" w:cs="Times New Roman"/>
                <w:caps w:val="0"/>
                <w:color w:val="FF0000"/>
                <w:spacing w:val="0"/>
                <w:position w:val="0"/>
                <w:highlight w:val="none"/>
              </w:rPr>
            </w:pPr>
          </w:p>
        </w:tc>
        <w:tc>
          <w:tcPr>
            <w:tcW w:w="1583" w:type="dxa"/>
            <w:tcBorders>
              <w:tl2br w:val="nil"/>
              <w:tr2bl w:val="nil"/>
            </w:tcBorders>
            <w:noWrap w:val="0"/>
            <w:vAlign w:val="center"/>
          </w:tcPr>
          <w:p w14:paraId="1CE71630">
            <w:pPr>
              <w:pStyle w:val="42"/>
              <w:bidi w:val="0"/>
              <w:rPr>
                <w:rFonts w:hint="default" w:ascii="Times New Roman" w:hAnsi="Times New Roman" w:cs="Times New Roman"/>
                <w:caps w:val="0"/>
                <w:color w:val="FF0000"/>
                <w:spacing w:val="0"/>
                <w:position w:val="0"/>
                <w:highlight w:val="none"/>
                <w:lang w:val="en-US" w:eastAsia="zh-CN"/>
              </w:rPr>
            </w:pPr>
            <w:r>
              <w:rPr>
                <w:rFonts w:hint="default" w:ascii="Times New Roman" w:hAnsi="Times New Roman" w:cs="Times New Roman"/>
                <w:caps w:val="0"/>
                <w:color w:val="FF0000"/>
                <w:spacing w:val="0"/>
                <w:position w:val="0"/>
                <w:highlight w:val="none"/>
                <w:lang w:val="en-US" w:eastAsia="zh-CN"/>
              </w:rPr>
              <w:t>评价因子</w:t>
            </w:r>
          </w:p>
        </w:tc>
        <w:tc>
          <w:tcPr>
            <w:tcW w:w="6148" w:type="dxa"/>
            <w:tcBorders>
              <w:tl2br w:val="nil"/>
              <w:tr2bl w:val="nil"/>
            </w:tcBorders>
            <w:noWrap w:val="0"/>
            <w:vAlign w:val="center"/>
          </w:tcPr>
          <w:p w14:paraId="0ADAAA89">
            <w:pPr>
              <w:pStyle w:val="42"/>
              <w:bidi w:val="0"/>
              <w:rPr>
                <w:rFonts w:hint="default" w:ascii="Times New Roman" w:hAnsi="Times New Roman" w:cs="Times New Roman"/>
                <w:caps w:val="0"/>
                <w:color w:val="FF0000"/>
                <w:spacing w:val="0"/>
                <w:position w:val="0"/>
                <w:highlight w:val="none"/>
                <w:lang w:val="en-US" w:eastAsia="zh-CN"/>
              </w:rPr>
            </w:pPr>
            <w:r>
              <w:rPr>
                <w:rFonts w:hint="default" w:ascii="Times New Roman" w:hAnsi="Times New Roman" w:cs="Times New Roman"/>
                <w:caps w:val="0"/>
                <w:color w:val="FF0000"/>
                <w:spacing w:val="0"/>
                <w:position w:val="0"/>
                <w:highlight w:val="none"/>
                <w:lang w:val="en-US" w:eastAsia="zh-CN"/>
              </w:rPr>
              <w:t>物种</w:t>
            </w:r>
            <w:r>
              <w:rPr>
                <w:rFonts w:hint="eastAsia" w:ascii="Times New Roman" w:hAnsi="Times New Roman" w:cs="Times New Roman"/>
                <w:caps w:val="0"/>
                <w:color w:val="FF0000"/>
                <w:spacing w:val="0"/>
                <w:position w:val="0"/>
                <w:highlight w:val="none"/>
                <w:lang w:eastAsia="zh-CN"/>
              </w:rPr>
              <w:t>☑</w:t>
            </w:r>
            <w:r>
              <w:rPr>
                <w:rFonts w:hint="default" w:ascii="Times New Roman" w:hAnsi="Times New Roman" w:cs="Times New Roman"/>
                <w:caps w:val="0"/>
                <w:color w:val="FF0000"/>
                <w:spacing w:val="0"/>
                <w:position w:val="0"/>
                <w:highlight w:val="none"/>
                <w:lang w:eastAsia="zh-CN"/>
              </w:rPr>
              <w:t>(</w:t>
            </w:r>
            <w:r>
              <w:rPr>
                <w:rFonts w:hint="default" w:ascii="Times New Roman" w:hAnsi="Times New Roman" w:cs="Times New Roman"/>
                <w:caps w:val="0"/>
                <w:color w:val="FF0000"/>
                <w:spacing w:val="0"/>
                <w:position w:val="0"/>
                <w:highlight w:val="none"/>
                <w:lang w:val="en-US" w:eastAsia="zh-CN"/>
              </w:rPr>
              <w:t xml:space="preserve">        </w:t>
            </w:r>
            <w:r>
              <w:rPr>
                <w:rFonts w:hint="default" w:ascii="Times New Roman" w:hAnsi="Times New Roman" w:cs="Times New Roman"/>
                <w:caps w:val="0"/>
                <w:color w:val="FF0000"/>
                <w:spacing w:val="0"/>
                <w:position w:val="0"/>
                <w:highlight w:val="none"/>
                <w:lang w:eastAsia="zh-CN"/>
              </w:rPr>
              <w:t>)</w:t>
            </w:r>
          </w:p>
          <w:p w14:paraId="0E25ACE1">
            <w:pPr>
              <w:pStyle w:val="42"/>
              <w:bidi w:val="0"/>
              <w:rPr>
                <w:rFonts w:hint="default" w:ascii="Times New Roman" w:hAnsi="Times New Roman" w:cs="Times New Roman"/>
                <w:caps w:val="0"/>
                <w:color w:val="FF0000"/>
                <w:spacing w:val="0"/>
                <w:position w:val="0"/>
                <w:highlight w:val="none"/>
                <w:lang w:val="en-US" w:eastAsia="zh-CN"/>
              </w:rPr>
            </w:pPr>
            <w:r>
              <w:rPr>
                <w:rFonts w:hint="default" w:ascii="Times New Roman" w:hAnsi="Times New Roman" w:cs="Times New Roman"/>
                <w:caps w:val="0"/>
                <w:color w:val="FF0000"/>
                <w:spacing w:val="0"/>
                <w:position w:val="0"/>
                <w:highlight w:val="none"/>
                <w:lang w:val="en-US" w:eastAsia="zh-CN"/>
              </w:rPr>
              <w:t>生境</w:t>
            </w:r>
            <w:r>
              <w:rPr>
                <w:rFonts w:hint="eastAsia" w:ascii="Times New Roman" w:hAnsi="Times New Roman" w:cs="Times New Roman"/>
                <w:caps w:val="0"/>
                <w:color w:val="FF0000"/>
                <w:spacing w:val="0"/>
                <w:position w:val="0"/>
                <w:highlight w:val="none"/>
                <w:lang w:eastAsia="zh-CN"/>
              </w:rPr>
              <w:t>☑</w:t>
            </w:r>
            <w:r>
              <w:rPr>
                <w:rFonts w:hint="default" w:ascii="Times New Roman" w:hAnsi="Times New Roman" w:cs="Times New Roman"/>
                <w:caps w:val="0"/>
                <w:color w:val="FF0000"/>
                <w:spacing w:val="0"/>
                <w:position w:val="0"/>
                <w:highlight w:val="none"/>
                <w:lang w:eastAsia="zh-CN"/>
              </w:rPr>
              <w:t>(</w:t>
            </w:r>
            <w:r>
              <w:rPr>
                <w:rFonts w:hint="default" w:ascii="Times New Roman" w:hAnsi="Times New Roman" w:cs="Times New Roman"/>
                <w:caps w:val="0"/>
                <w:color w:val="FF0000"/>
                <w:spacing w:val="0"/>
                <w:position w:val="0"/>
                <w:highlight w:val="none"/>
                <w:lang w:val="en-US" w:eastAsia="zh-CN"/>
              </w:rPr>
              <w:t xml:space="preserve">        </w:t>
            </w:r>
            <w:r>
              <w:rPr>
                <w:rFonts w:hint="default" w:ascii="Times New Roman" w:hAnsi="Times New Roman" w:cs="Times New Roman"/>
                <w:caps w:val="0"/>
                <w:color w:val="FF0000"/>
                <w:spacing w:val="0"/>
                <w:position w:val="0"/>
                <w:highlight w:val="none"/>
                <w:lang w:eastAsia="zh-CN"/>
              </w:rPr>
              <w:t>)</w:t>
            </w:r>
          </w:p>
          <w:p w14:paraId="5EE856DC">
            <w:pPr>
              <w:pStyle w:val="42"/>
              <w:bidi w:val="0"/>
              <w:rPr>
                <w:rFonts w:hint="default" w:ascii="Times New Roman" w:hAnsi="Times New Roman" w:cs="Times New Roman"/>
                <w:caps w:val="0"/>
                <w:color w:val="FF0000"/>
                <w:spacing w:val="0"/>
                <w:position w:val="0"/>
                <w:highlight w:val="none"/>
                <w:lang w:val="en-US" w:eastAsia="zh-CN"/>
              </w:rPr>
            </w:pPr>
            <w:r>
              <w:rPr>
                <w:rFonts w:hint="default" w:ascii="Times New Roman" w:hAnsi="Times New Roman" w:cs="Times New Roman"/>
                <w:caps w:val="0"/>
                <w:color w:val="FF0000"/>
                <w:spacing w:val="0"/>
                <w:position w:val="0"/>
                <w:highlight w:val="none"/>
                <w:lang w:val="en-US" w:eastAsia="zh-CN"/>
              </w:rPr>
              <w:t>生物群落</w:t>
            </w:r>
            <w:r>
              <w:rPr>
                <w:rFonts w:hint="default" w:ascii="Times New Roman" w:hAnsi="Times New Roman" w:cs="Times New Roman"/>
                <w:caps w:val="0"/>
                <w:color w:val="FF0000"/>
                <w:spacing w:val="0"/>
                <w:position w:val="0"/>
                <w:highlight w:val="none"/>
                <w:lang w:eastAsia="zh-CN"/>
              </w:rPr>
              <w:sym w:font="Wingdings 2" w:char="00A3"/>
            </w:r>
            <w:r>
              <w:rPr>
                <w:rFonts w:hint="default" w:ascii="Times New Roman" w:hAnsi="Times New Roman" w:cs="Times New Roman"/>
                <w:caps w:val="0"/>
                <w:color w:val="FF0000"/>
                <w:spacing w:val="0"/>
                <w:position w:val="0"/>
                <w:highlight w:val="none"/>
                <w:lang w:eastAsia="zh-CN"/>
              </w:rPr>
              <w:t>(</w:t>
            </w:r>
            <w:r>
              <w:rPr>
                <w:rFonts w:hint="default" w:ascii="Times New Roman" w:hAnsi="Times New Roman" w:cs="Times New Roman"/>
                <w:caps w:val="0"/>
                <w:color w:val="FF0000"/>
                <w:spacing w:val="0"/>
                <w:position w:val="0"/>
                <w:highlight w:val="none"/>
                <w:lang w:val="en-US" w:eastAsia="zh-CN"/>
              </w:rPr>
              <w:t xml:space="preserve">        </w:t>
            </w:r>
            <w:r>
              <w:rPr>
                <w:rFonts w:hint="default" w:ascii="Times New Roman" w:hAnsi="Times New Roman" w:cs="Times New Roman"/>
                <w:caps w:val="0"/>
                <w:color w:val="FF0000"/>
                <w:spacing w:val="0"/>
                <w:position w:val="0"/>
                <w:highlight w:val="none"/>
                <w:lang w:eastAsia="zh-CN"/>
              </w:rPr>
              <w:t>)</w:t>
            </w:r>
          </w:p>
          <w:p w14:paraId="20209FE1">
            <w:pPr>
              <w:pStyle w:val="42"/>
              <w:bidi w:val="0"/>
              <w:rPr>
                <w:rFonts w:hint="default" w:ascii="Times New Roman" w:hAnsi="Times New Roman" w:cs="Times New Roman"/>
                <w:caps w:val="0"/>
                <w:color w:val="FF0000"/>
                <w:spacing w:val="0"/>
                <w:position w:val="0"/>
                <w:highlight w:val="none"/>
                <w:lang w:val="en-US" w:eastAsia="zh-CN"/>
              </w:rPr>
            </w:pPr>
            <w:r>
              <w:rPr>
                <w:rFonts w:hint="default" w:ascii="Times New Roman" w:hAnsi="Times New Roman" w:cs="Times New Roman"/>
                <w:caps w:val="0"/>
                <w:color w:val="FF0000"/>
                <w:spacing w:val="0"/>
                <w:position w:val="0"/>
                <w:highlight w:val="none"/>
                <w:lang w:val="en-US" w:eastAsia="zh-CN"/>
              </w:rPr>
              <w:t>生态系统</w:t>
            </w:r>
            <w:r>
              <w:rPr>
                <w:rFonts w:hint="default" w:ascii="Times New Roman" w:hAnsi="Times New Roman" w:cs="Times New Roman"/>
                <w:caps w:val="0"/>
                <w:color w:val="FF0000"/>
                <w:spacing w:val="0"/>
                <w:position w:val="0"/>
                <w:highlight w:val="none"/>
                <w:lang w:eastAsia="zh-CN"/>
              </w:rPr>
              <w:sym w:font="Wingdings 2" w:char="0052"/>
            </w:r>
            <w:r>
              <w:rPr>
                <w:rFonts w:hint="default" w:ascii="Times New Roman" w:hAnsi="Times New Roman" w:cs="Times New Roman"/>
                <w:caps w:val="0"/>
                <w:color w:val="FF0000"/>
                <w:spacing w:val="0"/>
                <w:position w:val="0"/>
                <w:highlight w:val="none"/>
                <w:lang w:eastAsia="zh-CN"/>
              </w:rPr>
              <w:t>(</w:t>
            </w:r>
            <w:r>
              <w:rPr>
                <w:rFonts w:hint="default" w:ascii="Times New Roman" w:hAnsi="Times New Roman" w:cs="Times New Roman"/>
                <w:caps w:val="0"/>
                <w:color w:val="FF0000"/>
                <w:spacing w:val="0"/>
                <w:position w:val="0"/>
                <w:highlight w:val="none"/>
                <w:lang w:val="en-US" w:eastAsia="zh-CN"/>
              </w:rPr>
              <w:t xml:space="preserve">        </w:t>
            </w:r>
            <w:r>
              <w:rPr>
                <w:rFonts w:hint="default" w:ascii="Times New Roman" w:hAnsi="Times New Roman" w:cs="Times New Roman"/>
                <w:caps w:val="0"/>
                <w:color w:val="FF0000"/>
                <w:spacing w:val="0"/>
                <w:position w:val="0"/>
                <w:highlight w:val="none"/>
                <w:lang w:eastAsia="zh-CN"/>
              </w:rPr>
              <w:t>)</w:t>
            </w:r>
          </w:p>
          <w:p w14:paraId="04E52C7A">
            <w:pPr>
              <w:pStyle w:val="42"/>
              <w:bidi w:val="0"/>
              <w:rPr>
                <w:rFonts w:hint="default" w:ascii="Times New Roman" w:hAnsi="Times New Roman" w:cs="Times New Roman"/>
                <w:caps w:val="0"/>
                <w:color w:val="FF0000"/>
                <w:spacing w:val="0"/>
                <w:position w:val="0"/>
                <w:highlight w:val="none"/>
                <w:lang w:val="en-US" w:eastAsia="zh-CN"/>
              </w:rPr>
            </w:pPr>
            <w:r>
              <w:rPr>
                <w:rFonts w:hint="default" w:ascii="Times New Roman" w:hAnsi="Times New Roman" w:cs="Times New Roman"/>
                <w:caps w:val="0"/>
                <w:color w:val="FF0000"/>
                <w:spacing w:val="0"/>
                <w:position w:val="0"/>
                <w:highlight w:val="none"/>
                <w:lang w:val="en-US" w:eastAsia="zh-CN"/>
              </w:rPr>
              <w:t>生物多样性</w:t>
            </w:r>
            <w:r>
              <w:rPr>
                <w:rFonts w:hint="default" w:ascii="Times New Roman" w:hAnsi="Times New Roman" w:cs="Times New Roman"/>
                <w:caps w:val="0"/>
                <w:color w:val="FF0000"/>
                <w:spacing w:val="0"/>
                <w:position w:val="0"/>
                <w:highlight w:val="none"/>
                <w:lang w:eastAsia="zh-CN"/>
              </w:rPr>
              <w:sym w:font="Wingdings 2" w:char="0052"/>
            </w:r>
            <w:r>
              <w:rPr>
                <w:rFonts w:hint="default" w:ascii="Times New Roman" w:hAnsi="Times New Roman" w:cs="Times New Roman"/>
                <w:caps w:val="0"/>
                <w:color w:val="FF0000"/>
                <w:spacing w:val="0"/>
                <w:position w:val="0"/>
                <w:highlight w:val="none"/>
                <w:lang w:eastAsia="zh-CN"/>
              </w:rPr>
              <w:t>(</w:t>
            </w:r>
            <w:r>
              <w:rPr>
                <w:rFonts w:hint="default" w:ascii="Times New Roman" w:hAnsi="Times New Roman" w:cs="Times New Roman"/>
                <w:caps w:val="0"/>
                <w:color w:val="FF0000"/>
                <w:spacing w:val="0"/>
                <w:position w:val="0"/>
                <w:highlight w:val="none"/>
                <w:lang w:val="en-US" w:eastAsia="zh-CN"/>
              </w:rPr>
              <w:t xml:space="preserve">        </w:t>
            </w:r>
            <w:r>
              <w:rPr>
                <w:rFonts w:hint="default" w:ascii="Times New Roman" w:hAnsi="Times New Roman" w:cs="Times New Roman"/>
                <w:caps w:val="0"/>
                <w:color w:val="FF0000"/>
                <w:spacing w:val="0"/>
                <w:position w:val="0"/>
                <w:highlight w:val="none"/>
                <w:lang w:eastAsia="zh-CN"/>
              </w:rPr>
              <w:t>)</w:t>
            </w:r>
          </w:p>
          <w:p w14:paraId="60590464">
            <w:pPr>
              <w:pStyle w:val="42"/>
              <w:bidi w:val="0"/>
              <w:rPr>
                <w:rFonts w:hint="default" w:ascii="Times New Roman" w:hAnsi="Times New Roman" w:cs="Times New Roman"/>
                <w:caps w:val="0"/>
                <w:color w:val="FF0000"/>
                <w:spacing w:val="0"/>
                <w:position w:val="0"/>
                <w:highlight w:val="none"/>
                <w:lang w:val="en-US" w:eastAsia="zh-CN"/>
              </w:rPr>
            </w:pPr>
            <w:r>
              <w:rPr>
                <w:rFonts w:hint="default" w:ascii="Times New Roman" w:hAnsi="Times New Roman" w:cs="Times New Roman"/>
                <w:caps w:val="0"/>
                <w:color w:val="FF0000"/>
                <w:spacing w:val="0"/>
                <w:position w:val="0"/>
                <w:highlight w:val="none"/>
                <w:lang w:val="en-US" w:eastAsia="zh-CN"/>
              </w:rPr>
              <w:t>生态敏感区</w:t>
            </w:r>
            <w:r>
              <w:rPr>
                <w:rFonts w:hint="default" w:ascii="Times New Roman" w:hAnsi="Times New Roman" w:cs="Times New Roman"/>
                <w:caps w:val="0"/>
                <w:color w:val="FF0000"/>
                <w:spacing w:val="0"/>
                <w:position w:val="0"/>
                <w:highlight w:val="none"/>
                <w:lang w:eastAsia="zh-CN"/>
              </w:rPr>
              <w:sym w:font="Wingdings 2" w:char="0052"/>
            </w:r>
            <w:r>
              <w:rPr>
                <w:rFonts w:hint="default" w:ascii="Times New Roman" w:hAnsi="Times New Roman" w:cs="Times New Roman"/>
                <w:caps w:val="0"/>
                <w:color w:val="FF0000"/>
                <w:spacing w:val="0"/>
                <w:position w:val="0"/>
                <w:highlight w:val="none"/>
                <w:lang w:eastAsia="zh-CN"/>
              </w:rPr>
              <w:t>(</w:t>
            </w:r>
            <w:r>
              <w:rPr>
                <w:rFonts w:hint="default" w:ascii="Times New Roman" w:hAnsi="Times New Roman" w:cs="Times New Roman"/>
                <w:caps w:val="0"/>
                <w:color w:val="FF0000"/>
                <w:spacing w:val="0"/>
                <w:position w:val="0"/>
                <w:highlight w:val="none"/>
                <w:lang w:val="en-US" w:eastAsia="zh-CN"/>
              </w:rPr>
              <w:t xml:space="preserve">        </w:t>
            </w:r>
            <w:r>
              <w:rPr>
                <w:rFonts w:hint="default" w:ascii="Times New Roman" w:hAnsi="Times New Roman" w:cs="Times New Roman"/>
                <w:caps w:val="0"/>
                <w:color w:val="FF0000"/>
                <w:spacing w:val="0"/>
                <w:position w:val="0"/>
                <w:highlight w:val="none"/>
                <w:lang w:eastAsia="zh-CN"/>
              </w:rPr>
              <w:t>)</w:t>
            </w:r>
          </w:p>
          <w:p w14:paraId="1F80D760">
            <w:pPr>
              <w:pStyle w:val="42"/>
              <w:bidi w:val="0"/>
              <w:rPr>
                <w:rFonts w:hint="default" w:ascii="Times New Roman" w:hAnsi="Times New Roman" w:cs="Times New Roman"/>
                <w:caps w:val="0"/>
                <w:color w:val="FF0000"/>
                <w:spacing w:val="0"/>
                <w:position w:val="0"/>
                <w:highlight w:val="none"/>
                <w:lang w:val="en-US" w:eastAsia="zh-CN"/>
              </w:rPr>
            </w:pPr>
            <w:r>
              <w:rPr>
                <w:rFonts w:hint="default" w:ascii="Times New Roman" w:hAnsi="Times New Roman" w:cs="Times New Roman"/>
                <w:caps w:val="0"/>
                <w:color w:val="FF0000"/>
                <w:spacing w:val="0"/>
                <w:position w:val="0"/>
                <w:highlight w:val="none"/>
                <w:lang w:val="en-US" w:eastAsia="zh-CN"/>
              </w:rPr>
              <w:t>自然景观</w:t>
            </w:r>
            <w:r>
              <w:rPr>
                <w:rFonts w:hint="default" w:ascii="Times New Roman" w:hAnsi="Times New Roman" w:cs="Times New Roman"/>
                <w:caps w:val="0"/>
                <w:color w:val="FF0000"/>
                <w:spacing w:val="0"/>
                <w:position w:val="0"/>
                <w:highlight w:val="none"/>
                <w:lang w:eastAsia="zh-CN"/>
              </w:rPr>
              <w:t>☑(</w:t>
            </w:r>
            <w:r>
              <w:rPr>
                <w:rFonts w:hint="default" w:ascii="Times New Roman" w:hAnsi="Times New Roman" w:cs="Times New Roman"/>
                <w:caps w:val="0"/>
                <w:color w:val="FF0000"/>
                <w:spacing w:val="0"/>
                <w:position w:val="0"/>
                <w:highlight w:val="none"/>
                <w:lang w:val="en-US" w:eastAsia="zh-CN"/>
              </w:rPr>
              <w:t xml:space="preserve">        </w:t>
            </w:r>
            <w:r>
              <w:rPr>
                <w:rFonts w:hint="default" w:ascii="Times New Roman" w:hAnsi="Times New Roman" w:cs="Times New Roman"/>
                <w:caps w:val="0"/>
                <w:color w:val="FF0000"/>
                <w:spacing w:val="0"/>
                <w:position w:val="0"/>
                <w:highlight w:val="none"/>
                <w:lang w:eastAsia="zh-CN"/>
              </w:rPr>
              <w:t>)</w:t>
            </w:r>
          </w:p>
          <w:p w14:paraId="58ACCFE5">
            <w:pPr>
              <w:pStyle w:val="42"/>
              <w:bidi w:val="0"/>
              <w:rPr>
                <w:rFonts w:hint="default" w:ascii="Times New Roman" w:hAnsi="Times New Roman" w:cs="Times New Roman"/>
                <w:caps w:val="0"/>
                <w:color w:val="FF0000"/>
                <w:spacing w:val="0"/>
                <w:position w:val="0"/>
                <w:highlight w:val="none"/>
                <w:lang w:val="en-US" w:eastAsia="zh-CN"/>
              </w:rPr>
            </w:pPr>
            <w:r>
              <w:rPr>
                <w:rFonts w:hint="default" w:ascii="Times New Roman" w:hAnsi="Times New Roman" w:cs="Times New Roman"/>
                <w:caps w:val="0"/>
                <w:color w:val="FF0000"/>
                <w:spacing w:val="0"/>
                <w:position w:val="0"/>
                <w:highlight w:val="none"/>
                <w:lang w:val="en-US" w:eastAsia="zh-CN"/>
              </w:rPr>
              <w:t>自然遗迹</w:t>
            </w:r>
            <w:r>
              <w:rPr>
                <w:rFonts w:hint="default" w:ascii="Times New Roman" w:hAnsi="Times New Roman" w:cs="Times New Roman"/>
                <w:caps w:val="0"/>
                <w:color w:val="FF0000"/>
                <w:spacing w:val="0"/>
                <w:position w:val="0"/>
                <w:highlight w:val="none"/>
                <w:lang w:eastAsia="zh-CN"/>
              </w:rPr>
              <w:t>□(</w:t>
            </w:r>
            <w:r>
              <w:rPr>
                <w:rFonts w:hint="default" w:ascii="Times New Roman" w:hAnsi="Times New Roman" w:cs="Times New Roman"/>
                <w:caps w:val="0"/>
                <w:color w:val="FF0000"/>
                <w:spacing w:val="0"/>
                <w:position w:val="0"/>
                <w:highlight w:val="none"/>
                <w:lang w:val="en-US" w:eastAsia="zh-CN"/>
              </w:rPr>
              <w:t xml:space="preserve">        </w:t>
            </w:r>
            <w:r>
              <w:rPr>
                <w:rFonts w:hint="default" w:ascii="Times New Roman" w:hAnsi="Times New Roman" w:cs="Times New Roman"/>
                <w:caps w:val="0"/>
                <w:color w:val="FF0000"/>
                <w:spacing w:val="0"/>
                <w:position w:val="0"/>
                <w:highlight w:val="none"/>
                <w:lang w:eastAsia="zh-CN"/>
              </w:rPr>
              <w:t>)</w:t>
            </w:r>
          </w:p>
          <w:p w14:paraId="51621B87">
            <w:pPr>
              <w:pStyle w:val="42"/>
              <w:bidi w:val="0"/>
              <w:rPr>
                <w:rFonts w:hint="default" w:ascii="Times New Roman" w:hAnsi="Times New Roman" w:cs="Times New Roman"/>
                <w:caps w:val="0"/>
                <w:color w:val="FF0000"/>
                <w:spacing w:val="0"/>
                <w:position w:val="0"/>
                <w:highlight w:val="none"/>
              </w:rPr>
            </w:pPr>
            <w:r>
              <w:rPr>
                <w:rFonts w:hint="default" w:ascii="Times New Roman" w:hAnsi="Times New Roman" w:cs="Times New Roman"/>
                <w:caps w:val="0"/>
                <w:color w:val="FF0000"/>
                <w:spacing w:val="0"/>
                <w:position w:val="0"/>
                <w:highlight w:val="none"/>
                <w:lang w:val="en-US" w:eastAsia="zh-CN"/>
              </w:rPr>
              <w:t>其他</w:t>
            </w:r>
            <w:r>
              <w:rPr>
                <w:rFonts w:hint="default" w:ascii="Times New Roman" w:hAnsi="Times New Roman" w:cs="Times New Roman"/>
                <w:caps w:val="0"/>
                <w:color w:val="FF0000"/>
                <w:spacing w:val="0"/>
                <w:position w:val="0"/>
                <w:highlight w:val="none"/>
                <w:lang w:eastAsia="zh-CN"/>
              </w:rPr>
              <w:sym w:font="Wingdings 2" w:char="00A3"/>
            </w:r>
            <w:r>
              <w:rPr>
                <w:rFonts w:hint="default" w:ascii="Times New Roman" w:hAnsi="Times New Roman" w:cs="Times New Roman"/>
                <w:caps w:val="0"/>
                <w:color w:val="FF0000"/>
                <w:spacing w:val="0"/>
                <w:position w:val="0"/>
                <w:highlight w:val="none"/>
                <w:lang w:eastAsia="zh-CN"/>
              </w:rPr>
              <w:t>(</w:t>
            </w:r>
            <w:r>
              <w:rPr>
                <w:rFonts w:hint="default" w:ascii="Times New Roman" w:hAnsi="Times New Roman" w:cs="Times New Roman"/>
                <w:caps w:val="0"/>
                <w:color w:val="FF0000"/>
                <w:spacing w:val="0"/>
                <w:position w:val="0"/>
                <w:highlight w:val="none"/>
                <w:lang w:val="en-US" w:eastAsia="zh-CN"/>
              </w:rPr>
              <w:t xml:space="preserve">        </w:t>
            </w:r>
            <w:r>
              <w:rPr>
                <w:rFonts w:hint="default" w:ascii="Times New Roman" w:hAnsi="Times New Roman" w:cs="Times New Roman"/>
                <w:caps w:val="0"/>
                <w:color w:val="FF0000"/>
                <w:spacing w:val="0"/>
                <w:position w:val="0"/>
                <w:highlight w:val="none"/>
                <w:lang w:eastAsia="zh-CN"/>
              </w:rPr>
              <w:t>)</w:t>
            </w:r>
          </w:p>
        </w:tc>
      </w:tr>
      <w:tr w14:paraId="60499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5" w:hRule="atLeast"/>
        </w:trPr>
        <w:tc>
          <w:tcPr>
            <w:tcW w:w="2864" w:type="dxa"/>
            <w:gridSpan w:val="2"/>
            <w:tcBorders>
              <w:tl2br w:val="nil"/>
              <w:tr2bl w:val="nil"/>
            </w:tcBorders>
            <w:noWrap w:val="0"/>
            <w:vAlign w:val="center"/>
          </w:tcPr>
          <w:p w14:paraId="289AE323">
            <w:pPr>
              <w:pStyle w:val="42"/>
              <w:bidi w:val="0"/>
              <w:rPr>
                <w:rFonts w:hint="default" w:ascii="Times New Roman" w:hAnsi="Times New Roman" w:cs="Times New Roman"/>
                <w:caps w:val="0"/>
                <w:color w:val="FF0000"/>
                <w:spacing w:val="0"/>
                <w:position w:val="0"/>
                <w:highlight w:val="none"/>
                <w:lang w:val="en-US" w:eastAsia="zh-CN"/>
              </w:rPr>
            </w:pPr>
            <w:r>
              <w:rPr>
                <w:rFonts w:hint="default" w:ascii="Times New Roman" w:hAnsi="Times New Roman" w:cs="Times New Roman"/>
                <w:caps w:val="0"/>
                <w:color w:val="FF0000"/>
                <w:spacing w:val="0"/>
                <w:position w:val="0"/>
                <w:highlight w:val="none"/>
                <w:lang w:val="en-US" w:eastAsia="zh-CN"/>
              </w:rPr>
              <w:t>评价等级</w:t>
            </w:r>
          </w:p>
        </w:tc>
        <w:tc>
          <w:tcPr>
            <w:tcW w:w="6148" w:type="dxa"/>
            <w:tcBorders>
              <w:tl2br w:val="nil"/>
              <w:tr2bl w:val="nil"/>
            </w:tcBorders>
            <w:noWrap w:val="0"/>
            <w:vAlign w:val="center"/>
          </w:tcPr>
          <w:p w14:paraId="08F4E6C2">
            <w:pPr>
              <w:pStyle w:val="42"/>
              <w:bidi w:val="0"/>
              <w:rPr>
                <w:rFonts w:hint="default" w:ascii="Times New Roman" w:hAnsi="Times New Roman" w:cs="Times New Roman"/>
                <w:caps w:val="0"/>
                <w:color w:val="FF0000"/>
                <w:spacing w:val="0"/>
                <w:position w:val="0"/>
                <w:highlight w:val="none"/>
              </w:rPr>
            </w:pPr>
            <w:r>
              <w:rPr>
                <w:rFonts w:hint="default" w:ascii="Times New Roman" w:hAnsi="Times New Roman" w:cs="Times New Roman"/>
                <w:caps w:val="0"/>
                <w:color w:val="FF0000"/>
                <w:spacing w:val="0"/>
                <w:position w:val="0"/>
                <w:highlight w:val="none"/>
                <w:lang w:val="en-US" w:eastAsia="zh-CN"/>
              </w:rPr>
              <w:t>一级</w:t>
            </w:r>
            <w:r>
              <w:rPr>
                <w:rFonts w:hint="default" w:ascii="Times New Roman" w:hAnsi="Times New Roman" w:cs="Times New Roman"/>
                <w:caps w:val="0"/>
                <w:color w:val="FF0000"/>
                <w:spacing w:val="0"/>
                <w:position w:val="0"/>
                <w:highlight w:val="none"/>
                <w:lang w:eastAsia="zh-CN"/>
              </w:rPr>
              <w:t>□</w:t>
            </w:r>
            <w:r>
              <w:rPr>
                <w:rFonts w:hint="default" w:ascii="Times New Roman" w:hAnsi="Times New Roman" w:cs="Times New Roman"/>
                <w:caps w:val="0"/>
                <w:color w:val="FF0000"/>
                <w:spacing w:val="0"/>
                <w:position w:val="0"/>
                <w:highlight w:val="none"/>
              </w:rPr>
              <w:t>；</w:t>
            </w:r>
            <w:r>
              <w:rPr>
                <w:rFonts w:hint="default" w:ascii="Times New Roman" w:hAnsi="Times New Roman" w:cs="Times New Roman"/>
                <w:caps w:val="0"/>
                <w:color w:val="FF0000"/>
                <w:spacing w:val="0"/>
                <w:position w:val="0"/>
                <w:highlight w:val="none"/>
                <w:lang w:val="en-US" w:eastAsia="zh-CN"/>
              </w:rPr>
              <w:t>二级</w:t>
            </w:r>
            <w:r>
              <w:rPr>
                <w:rFonts w:hint="eastAsia" w:ascii="Times New Roman" w:hAnsi="Times New Roman" w:cs="Times New Roman"/>
                <w:caps w:val="0"/>
                <w:color w:val="FF0000"/>
                <w:spacing w:val="0"/>
                <w:position w:val="0"/>
                <w:highlight w:val="none"/>
                <w:lang w:eastAsia="zh-CN"/>
              </w:rPr>
              <w:t>☑</w:t>
            </w:r>
            <w:r>
              <w:rPr>
                <w:rFonts w:hint="default" w:ascii="Times New Roman" w:hAnsi="Times New Roman" w:cs="Times New Roman"/>
                <w:caps w:val="0"/>
                <w:color w:val="FF0000"/>
                <w:spacing w:val="0"/>
                <w:position w:val="0"/>
                <w:highlight w:val="none"/>
              </w:rPr>
              <w:t>；</w:t>
            </w:r>
            <w:r>
              <w:rPr>
                <w:rFonts w:hint="default" w:ascii="Times New Roman" w:hAnsi="Times New Roman" w:cs="Times New Roman"/>
                <w:caps w:val="0"/>
                <w:color w:val="FF0000"/>
                <w:spacing w:val="0"/>
                <w:position w:val="0"/>
                <w:highlight w:val="none"/>
                <w:lang w:val="en-US" w:eastAsia="zh-CN"/>
              </w:rPr>
              <w:t>三级</w:t>
            </w:r>
            <w:r>
              <w:rPr>
                <w:rFonts w:hint="default" w:ascii="Times New Roman" w:hAnsi="Times New Roman" w:cs="Times New Roman"/>
                <w:caps w:val="0"/>
                <w:color w:val="FF0000"/>
                <w:spacing w:val="0"/>
                <w:position w:val="0"/>
                <w:highlight w:val="none"/>
                <w:lang w:eastAsia="zh-CN"/>
              </w:rPr>
              <w:sym w:font="Wingdings 2" w:char="00A3"/>
            </w:r>
            <w:r>
              <w:rPr>
                <w:rFonts w:hint="default" w:ascii="Times New Roman" w:hAnsi="Times New Roman" w:cs="Times New Roman"/>
                <w:caps w:val="0"/>
                <w:color w:val="FF0000"/>
                <w:spacing w:val="0"/>
                <w:position w:val="0"/>
                <w:highlight w:val="none"/>
                <w:lang w:eastAsia="zh-CN"/>
              </w:rPr>
              <w:t>；</w:t>
            </w:r>
            <w:r>
              <w:rPr>
                <w:rFonts w:hint="default" w:ascii="Times New Roman" w:hAnsi="Times New Roman" w:cs="Times New Roman"/>
                <w:caps w:val="0"/>
                <w:color w:val="FF0000"/>
                <w:spacing w:val="0"/>
                <w:position w:val="0"/>
                <w:highlight w:val="none"/>
                <w:lang w:val="en-US" w:eastAsia="zh-CN"/>
              </w:rPr>
              <w:t>生态影响简单分析</w:t>
            </w:r>
            <w:r>
              <w:rPr>
                <w:rFonts w:hint="default" w:ascii="Times New Roman" w:hAnsi="Times New Roman" w:cs="Times New Roman"/>
                <w:caps w:val="0"/>
                <w:color w:val="FF0000"/>
                <w:spacing w:val="0"/>
                <w:position w:val="0"/>
                <w:highlight w:val="none"/>
                <w:lang w:eastAsia="zh-CN"/>
              </w:rPr>
              <w:sym w:font="Wingdings 2" w:char="00A3"/>
            </w:r>
          </w:p>
        </w:tc>
      </w:tr>
      <w:tr w14:paraId="52E34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5" w:hRule="atLeast"/>
        </w:trPr>
        <w:tc>
          <w:tcPr>
            <w:tcW w:w="2864" w:type="dxa"/>
            <w:gridSpan w:val="2"/>
            <w:tcBorders>
              <w:tl2br w:val="nil"/>
              <w:tr2bl w:val="nil"/>
            </w:tcBorders>
            <w:noWrap w:val="0"/>
            <w:vAlign w:val="center"/>
          </w:tcPr>
          <w:p w14:paraId="61A1920F">
            <w:pPr>
              <w:pStyle w:val="42"/>
              <w:bidi w:val="0"/>
              <w:rPr>
                <w:rFonts w:hint="default" w:ascii="Times New Roman" w:hAnsi="Times New Roman" w:cs="Times New Roman"/>
                <w:caps w:val="0"/>
                <w:color w:val="FF0000"/>
                <w:spacing w:val="0"/>
                <w:position w:val="0"/>
                <w:highlight w:val="none"/>
                <w:lang w:eastAsia="zh-CN"/>
              </w:rPr>
            </w:pPr>
            <w:r>
              <w:rPr>
                <w:rFonts w:hint="default" w:ascii="Times New Roman" w:hAnsi="Times New Roman" w:cs="Times New Roman"/>
                <w:caps w:val="0"/>
                <w:color w:val="FF0000"/>
                <w:spacing w:val="0"/>
                <w:position w:val="0"/>
                <w:highlight w:val="none"/>
                <w:lang w:val="en-US" w:eastAsia="zh-CN"/>
              </w:rPr>
              <w:t>评价范围</w:t>
            </w:r>
          </w:p>
        </w:tc>
        <w:tc>
          <w:tcPr>
            <w:tcW w:w="6148" w:type="dxa"/>
            <w:tcBorders>
              <w:tl2br w:val="nil"/>
              <w:tr2bl w:val="nil"/>
            </w:tcBorders>
            <w:noWrap w:val="0"/>
            <w:vAlign w:val="center"/>
          </w:tcPr>
          <w:p w14:paraId="6FABBE00">
            <w:pPr>
              <w:pStyle w:val="42"/>
              <w:bidi w:val="0"/>
              <w:rPr>
                <w:rFonts w:hint="default" w:ascii="Times New Roman" w:hAnsi="Times New Roman" w:cs="Times New Roman"/>
                <w:caps w:val="0"/>
                <w:color w:val="FF0000"/>
                <w:spacing w:val="0"/>
                <w:position w:val="0"/>
                <w:highlight w:val="none"/>
                <w:lang w:val="en-US" w:eastAsia="zh-CN"/>
              </w:rPr>
            </w:pPr>
            <w:r>
              <w:rPr>
                <w:rFonts w:hint="default" w:ascii="Times New Roman" w:hAnsi="Times New Roman" w:cs="Times New Roman"/>
                <w:caps w:val="0"/>
                <w:color w:val="FF0000"/>
                <w:spacing w:val="0"/>
                <w:position w:val="0"/>
                <w:highlight w:val="none"/>
                <w:lang w:val="en-US" w:eastAsia="zh-CN"/>
              </w:rPr>
              <w:t>陆域面积</w:t>
            </w:r>
            <w:r>
              <w:rPr>
                <w:rFonts w:hint="default" w:ascii="Times New Roman" w:hAnsi="Times New Roman" w:cs="Times New Roman"/>
                <w:caps w:val="0"/>
                <w:color w:val="FF0000"/>
                <w:spacing w:val="0"/>
                <w:position w:val="0"/>
                <w:highlight w:val="none"/>
                <w:lang w:eastAsia="zh-CN"/>
              </w:rPr>
              <w:t>(</w:t>
            </w:r>
            <w:r>
              <w:rPr>
                <w:rFonts w:hint="eastAsia" w:ascii="Times New Roman" w:hAnsi="Times New Roman" w:cs="Times New Roman"/>
                <w:caps w:val="0"/>
                <w:color w:val="FF0000"/>
                <w:spacing w:val="0"/>
                <w:position w:val="0"/>
                <w:highlight w:val="none"/>
                <w:lang w:val="en-US" w:eastAsia="zh-CN"/>
              </w:rPr>
              <w:t>1.0366</w:t>
            </w:r>
            <w:r>
              <w:rPr>
                <w:rFonts w:hint="default" w:ascii="Times New Roman" w:hAnsi="Times New Roman" w:cs="Times New Roman"/>
                <w:caps w:val="0"/>
                <w:color w:val="FF0000"/>
                <w:spacing w:val="0"/>
                <w:position w:val="0"/>
                <w:highlight w:val="none"/>
                <w:lang w:eastAsia="zh-CN"/>
              </w:rPr>
              <w:t>)</w:t>
            </w:r>
            <w:r>
              <w:rPr>
                <w:rFonts w:hint="default" w:ascii="Times New Roman" w:hAnsi="Times New Roman" w:cs="Times New Roman"/>
                <w:caps w:val="0"/>
                <w:color w:val="FF0000"/>
                <w:spacing w:val="0"/>
                <w:position w:val="0"/>
                <w:highlight w:val="none"/>
                <w:lang w:val="en-US" w:eastAsia="zh-CN"/>
              </w:rPr>
              <w:t>km</w:t>
            </w:r>
            <w:r>
              <w:rPr>
                <w:rFonts w:hint="default" w:ascii="Times New Roman" w:hAnsi="Times New Roman" w:cs="Times New Roman"/>
                <w:caps w:val="0"/>
                <w:color w:val="FF0000"/>
                <w:spacing w:val="0"/>
                <w:position w:val="0"/>
                <w:highlight w:val="none"/>
                <w:vertAlign w:val="superscript"/>
                <w:lang w:val="en-US" w:eastAsia="zh-CN"/>
              </w:rPr>
              <w:t>2</w:t>
            </w:r>
            <w:r>
              <w:rPr>
                <w:rFonts w:hint="default" w:ascii="Times New Roman" w:hAnsi="Times New Roman" w:cs="Times New Roman"/>
                <w:caps w:val="0"/>
                <w:color w:val="FF0000"/>
                <w:spacing w:val="0"/>
                <w:position w:val="0"/>
                <w:highlight w:val="none"/>
                <w:lang w:val="en-US" w:eastAsia="zh-CN"/>
              </w:rPr>
              <w:t>；水域面积：(    )km</w:t>
            </w:r>
            <w:r>
              <w:rPr>
                <w:rFonts w:hint="default" w:ascii="Times New Roman" w:hAnsi="Times New Roman" w:cs="Times New Roman"/>
                <w:caps w:val="0"/>
                <w:color w:val="FF0000"/>
                <w:spacing w:val="0"/>
                <w:position w:val="0"/>
                <w:highlight w:val="none"/>
                <w:vertAlign w:val="superscript"/>
                <w:lang w:val="en-US" w:eastAsia="zh-CN"/>
              </w:rPr>
              <w:t>2</w:t>
            </w:r>
          </w:p>
        </w:tc>
      </w:tr>
      <w:tr w14:paraId="75814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0" w:hRule="atLeast"/>
        </w:trPr>
        <w:tc>
          <w:tcPr>
            <w:tcW w:w="1281" w:type="dxa"/>
            <w:vMerge w:val="restart"/>
            <w:tcBorders>
              <w:tl2br w:val="nil"/>
              <w:tr2bl w:val="nil"/>
            </w:tcBorders>
            <w:noWrap w:val="0"/>
            <w:vAlign w:val="center"/>
          </w:tcPr>
          <w:p w14:paraId="495720A3">
            <w:pPr>
              <w:pStyle w:val="42"/>
              <w:bidi w:val="0"/>
              <w:rPr>
                <w:rFonts w:hint="default" w:ascii="Times New Roman" w:hAnsi="Times New Roman" w:cs="Times New Roman"/>
                <w:caps w:val="0"/>
                <w:color w:val="FF0000"/>
                <w:spacing w:val="0"/>
                <w:position w:val="0"/>
                <w:highlight w:val="none"/>
                <w:lang w:val="en-US" w:eastAsia="zh-CN"/>
              </w:rPr>
            </w:pPr>
            <w:r>
              <w:rPr>
                <w:rFonts w:hint="default" w:ascii="Times New Roman" w:hAnsi="Times New Roman" w:cs="Times New Roman"/>
                <w:caps w:val="0"/>
                <w:color w:val="FF0000"/>
                <w:spacing w:val="0"/>
                <w:position w:val="0"/>
                <w:highlight w:val="none"/>
                <w:lang w:val="en-US" w:eastAsia="zh-CN"/>
              </w:rPr>
              <w:t>生态现状调查与评价</w:t>
            </w:r>
          </w:p>
        </w:tc>
        <w:tc>
          <w:tcPr>
            <w:tcW w:w="1583" w:type="dxa"/>
            <w:tcBorders>
              <w:tl2br w:val="nil"/>
              <w:tr2bl w:val="nil"/>
            </w:tcBorders>
            <w:noWrap w:val="0"/>
            <w:vAlign w:val="center"/>
          </w:tcPr>
          <w:p w14:paraId="410DD900">
            <w:pPr>
              <w:pStyle w:val="42"/>
              <w:bidi w:val="0"/>
              <w:rPr>
                <w:rFonts w:hint="default" w:ascii="Times New Roman" w:hAnsi="Times New Roman" w:cs="Times New Roman"/>
                <w:caps w:val="0"/>
                <w:color w:val="FF0000"/>
                <w:spacing w:val="0"/>
                <w:position w:val="0"/>
                <w:highlight w:val="none"/>
                <w:lang w:val="en-US" w:eastAsia="zh-CN"/>
              </w:rPr>
            </w:pPr>
            <w:r>
              <w:rPr>
                <w:rFonts w:hint="default" w:ascii="Times New Roman" w:hAnsi="Times New Roman" w:cs="Times New Roman"/>
                <w:caps w:val="0"/>
                <w:color w:val="FF0000"/>
                <w:spacing w:val="0"/>
                <w:position w:val="0"/>
                <w:highlight w:val="none"/>
                <w:lang w:val="en-US" w:eastAsia="zh-CN"/>
              </w:rPr>
              <w:t>调查方法</w:t>
            </w:r>
          </w:p>
        </w:tc>
        <w:tc>
          <w:tcPr>
            <w:tcW w:w="6148" w:type="dxa"/>
            <w:tcBorders>
              <w:tl2br w:val="nil"/>
              <w:tr2bl w:val="nil"/>
            </w:tcBorders>
            <w:noWrap w:val="0"/>
            <w:vAlign w:val="center"/>
          </w:tcPr>
          <w:p w14:paraId="46467C59">
            <w:pPr>
              <w:pStyle w:val="42"/>
              <w:bidi w:val="0"/>
              <w:rPr>
                <w:rFonts w:hint="default" w:ascii="Times New Roman" w:hAnsi="Times New Roman" w:cs="Times New Roman"/>
                <w:caps w:val="0"/>
                <w:color w:val="FF0000"/>
                <w:spacing w:val="0"/>
                <w:position w:val="0"/>
                <w:highlight w:val="none"/>
                <w:lang w:eastAsia="zh-CN"/>
              </w:rPr>
            </w:pPr>
            <w:r>
              <w:rPr>
                <w:rFonts w:hint="default" w:ascii="Times New Roman" w:hAnsi="Times New Roman" w:cs="Times New Roman"/>
                <w:caps w:val="0"/>
                <w:color w:val="FF0000"/>
                <w:spacing w:val="0"/>
                <w:position w:val="0"/>
                <w:highlight w:val="none"/>
                <w:lang w:val="en-US" w:eastAsia="zh-CN"/>
              </w:rPr>
              <w:t>资料收集</w:t>
            </w:r>
            <w:r>
              <w:rPr>
                <w:rFonts w:hint="default" w:ascii="Times New Roman" w:hAnsi="Times New Roman" w:cs="Times New Roman"/>
                <w:caps w:val="0"/>
                <w:color w:val="FF0000"/>
                <w:spacing w:val="0"/>
                <w:position w:val="0"/>
                <w:highlight w:val="none"/>
                <w:lang w:eastAsia="zh-CN"/>
              </w:rPr>
              <w:sym w:font="Wingdings 2" w:char="0052"/>
            </w:r>
            <w:r>
              <w:rPr>
                <w:rFonts w:hint="default" w:ascii="Times New Roman" w:hAnsi="Times New Roman" w:cs="Times New Roman"/>
                <w:caps w:val="0"/>
                <w:color w:val="FF0000"/>
                <w:spacing w:val="0"/>
                <w:position w:val="0"/>
                <w:highlight w:val="none"/>
              </w:rPr>
              <w:t>；</w:t>
            </w:r>
            <w:r>
              <w:rPr>
                <w:rFonts w:hint="default" w:ascii="Times New Roman" w:hAnsi="Times New Roman" w:cs="Times New Roman"/>
                <w:caps w:val="0"/>
                <w:color w:val="FF0000"/>
                <w:spacing w:val="0"/>
                <w:position w:val="0"/>
                <w:highlight w:val="none"/>
                <w:lang w:val="en-US" w:eastAsia="zh-CN"/>
              </w:rPr>
              <w:t>遥感调查</w:t>
            </w:r>
            <w:r>
              <w:rPr>
                <w:rFonts w:hint="default" w:ascii="Times New Roman" w:hAnsi="Times New Roman" w:cs="Times New Roman"/>
                <w:caps w:val="0"/>
                <w:color w:val="FF0000"/>
                <w:spacing w:val="0"/>
                <w:position w:val="0"/>
                <w:highlight w:val="none"/>
                <w:lang w:eastAsia="zh-CN"/>
              </w:rPr>
              <w:sym w:font="Wingdings 2" w:char="00A3"/>
            </w:r>
            <w:r>
              <w:rPr>
                <w:rFonts w:hint="default" w:ascii="Times New Roman" w:hAnsi="Times New Roman" w:cs="Times New Roman"/>
                <w:caps w:val="0"/>
                <w:color w:val="FF0000"/>
                <w:spacing w:val="0"/>
                <w:position w:val="0"/>
                <w:highlight w:val="none"/>
              </w:rPr>
              <w:t>；</w:t>
            </w:r>
            <w:r>
              <w:rPr>
                <w:rFonts w:hint="default" w:ascii="Times New Roman" w:hAnsi="Times New Roman" w:cs="Times New Roman"/>
                <w:caps w:val="0"/>
                <w:color w:val="FF0000"/>
                <w:spacing w:val="0"/>
                <w:position w:val="0"/>
                <w:highlight w:val="none"/>
                <w:lang w:val="en-US" w:eastAsia="zh-CN"/>
              </w:rPr>
              <w:t>调查样方、样线</w:t>
            </w:r>
            <w:r>
              <w:rPr>
                <w:rFonts w:hint="default" w:ascii="Times New Roman" w:hAnsi="Times New Roman" w:cs="Times New Roman"/>
                <w:caps w:val="0"/>
                <w:color w:val="FF0000"/>
                <w:spacing w:val="0"/>
                <w:position w:val="0"/>
                <w:highlight w:val="none"/>
                <w:lang w:eastAsia="zh-CN"/>
              </w:rPr>
              <w:sym w:font="Wingdings 2" w:char="0052"/>
            </w:r>
            <w:r>
              <w:rPr>
                <w:rFonts w:hint="default" w:ascii="Times New Roman" w:hAnsi="Times New Roman" w:cs="Times New Roman"/>
                <w:caps w:val="0"/>
                <w:color w:val="FF0000"/>
                <w:spacing w:val="0"/>
                <w:position w:val="0"/>
                <w:highlight w:val="none"/>
                <w:lang w:eastAsia="zh-CN"/>
              </w:rPr>
              <w:t>；</w:t>
            </w:r>
            <w:r>
              <w:rPr>
                <w:rFonts w:hint="default" w:ascii="Times New Roman" w:hAnsi="Times New Roman" w:cs="Times New Roman"/>
                <w:caps w:val="0"/>
                <w:color w:val="FF0000"/>
                <w:spacing w:val="0"/>
                <w:position w:val="0"/>
                <w:highlight w:val="none"/>
                <w:lang w:val="en-US" w:eastAsia="zh-CN"/>
              </w:rPr>
              <w:t>调查点位、断面</w:t>
            </w:r>
            <w:r>
              <w:rPr>
                <w:rFonts w:hint="default" w:ascii="Times New Roman" w:hAnsi="Times New Roman" w:cs="Times New Roman"/>
                <w:caps w:val="0"/>
                <w:color w:val="FF0000"/>
                <w:spacing w:val="0"/>
                <w:position w:val="0"/>
                <w:highlight w:val="none"/>
                <w:lang w:eastAsia="zh-CN"/>
              </w:rPr>
              <w:sym w:font="Wingdings 2" w:char="00A3"/>
            </w:r>
            <w:r>
              <w:rPr>
                <w:rFonts w:hint="default" w:ascii="Times New Roman" w:hAnsi="Times New Roman" w:cs="Times New Roman"/>
                <w:caps w:val="0"/>
                <w:color w:val="FF0000"/>
                <w:spacing w:val="0"/>
                <w:position w:val="0"/>
                <w:highlight w:val="none"/>
                <w:lang w:eastAsia="zh-CN"/>
              </w:rPr>
              <w:t>；</w:t>
            </w:r>
            <w:r>
              <w:rPr>
                <w:rFonts w:hint="default" w:ascii="Times New Roman" w:hAnsi="Times New Roman" w:cs="Times New Roman"/>
                <w:caps w:val="0"/>
                <w:color w:val="FF0000"/>
                <w:spacing w:val="0"/>
                <w:position w:val="0"/>
                <w:highlight w:val="none"/>
                <w:lang w:val="en-US" w:eastAsia="zh-CN"/>
              </w:rPr>
              <w:t>专家和公众咨询法</w:t>
            </w:r>
            <w:r>
              <w:rPr>
                <w:rFonts w:hint="eastAsia" w:ascii="Times New Roman" w:hAnsi="Times New Roman" w:cs="Times New Roman"/>
                <w:caps w:val="0"/>
                <w:color w:val="FF0000"/>
                <w:spacing w:val="0"/>
                <w:position w:val="0"/>
                <w:highlight w:val="none"/>
                <w:lang w:eastAsia="zh-CN"/>
              </w:rPr>
              <w:t>□</w:t>
            </w:r>
            <w:r>
              <w:rPr>
                <w:rFonts w:hint="default" w:ascii="Times New Roman" w:hAnsi="Times New Roman" w:cs="Times New Roman"/>
                <w:caps w:val="0"/>
                <w:color w:val="FF0000"/>
                <w:spacing w:val="0"/>
                <w:position w:val="0"/>
                <w:highlight w:val="none"/>
              </w:rPr>
              <w:t>；</w:t>
            </w:r>
            <w:r>
              <w:rPr>
                <w:rFonts w:hint="default" w:ascii="Times New Roman" w:hAnsi="Times New Roman" w:cs="Times New Roman"/>
                <w:caps w:val="0"/>
                <w:color w:val="FF0000"/>
                <w:spacing w:val="0"/>
                <w:position w:val="0"/>
                <w:highlight w:val="none"/>
                <w:lang w:val="en-US" w:eastAsia="zh-CN"/>
              </w:rPr>
              <w:t>其他</w:t>
            </w:r>
            <w:r>
              <w:rPr>
                <w:rFonts w:hint="default" w:ascii="Times New Roman" w:hAnsi="Times New Roman" w:cs="Times New Roman"/>
                <w:caps w:val="0"/>
                <w:color w:val="FF0000"/>
                <w:spacing w:val="0"/>
                <w:position w:val="0"/>
                <w:highlight w:val="none"/>
                <w:lang w:eastAsia="zh-CN"/>
              </w:rPr>
              <w:sym w:font="Wingdings 2" w:char="00A3"/>
            </w:r>
          </w:p>
        </w:tc>
      </w:tr>
      <w:tr w14:paraId="6E65E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59" w:hRule="atLeast"/>
        </w:trPr>
        <w:tc>
          <w:tcPr>
            <w:tcW w:w="1281" w:type="dxa"/>
            <w:vMerge w:val="continue"/>
            <w:tcBorders>
              <w:tl2br w:val="nil"/>
              <w:tr2bl w:val="nil"/>
            </w:tcBorders>
            <w:noWrap w:val="0"/>
            <w:vAlign w:val="center"/>
          </w:tcPr>
          <w:p w14:paraId="101E4FBF">
            <w:pPr>
              <w:pStyle w:val="42"/>
              <w:bidi w:val="0"/>
              <w:rPr>
                <w:rFonts w:hint="default" w:ascii="Times New Roman" w:hAnsi="Times New Roman" w:cs="Times New Roman"/>
                <w:caps w:val="0"/>
                <w:color w:val="FF0000"/>
                <w:spacing w:val="0"/>
                <w:position w:val="0"/>
                <w:highlight w:val="none"/>
              </w:rPr>
            </w:pPr>
          </w:p>
        </w:tc>
        <w:tc>
          <w:tcPr>
            <w:tcW w:w="1583" w:type="dxa"/>
            <w:tcBorders>
              <w:tl2br w:val="nil"/>
              <w:tr2bl w:val="nil"/>
            </w:tcBorders>
            <w:noWrap w:val="0"/>
            <w:vAlign w:val="center"/>
          </w:tcPr>
          <w:p w14:paraId="0B6AF4CF">
            <w:pPr>
              <w:pStyle w:val="42"/>
              <w:bidi w:val="0"/>
              <w:rPr>
                <w:rFonts w:hint="default" w:ascii="Times New Roman" w:hAnsi="Times New Roman" w:cs="Times New Roman"/>
                <w:caps w:val="0"/>
                <w:color w:val="FF0000"/>
                <w:spacing w:val="0"/>
                <w:position w:val="0"/>
                <w:highlight w:val="none"/>
                <w:lang w:val="en-US" w:eastAsia="zh-CN"/>
              </w:rPr>
            </w:pPr>
            <w:r>
              <w:rPr>
                <w:rFonts w:hint="default" w:ascii="Times New Roman" w:hAnsi="Times New Roman" w:cs="Times New Roman"/>
                <w:caps w:val="0"/>
                <w:color w:val="FF0000"/>
                <w:spacing w:val="0"/>
                <w:position w:val="0"/>
                <w:highlight w:val="none"/>
                <w:lang w:val="en-US" w:eastAsia="zh-CN"/>
              </w:rPr>
              <w:t>调查时间</w:t>
            </w:r>
          </w:p>
        </w:tc>
        <w:tc>
          <w:tcPr>
            <w:tcW w:w="6148" w:type="dxa"/>
            <w:tcBorders>
              <w:tl2br w:val="nil"/>
              <w:tr2bl w:val="nil"/>
            </w:tcBorders>
            <w:noWrap w:val="0"/>
            <w:vAlign w:val="center"/>
          </w:tcPr>
          <w:p w14:paraId="235EBD0D">
            <w:pPr>
              <w:pStyle w:val="42"/>
              <w:bidi w:val="0"/>
              <w:rPr>
                <w:rFonts w:hint="default" w:ascii="Times New Roman" w:hAnsi="Times New Roman" w:cs="Times New Roman"/>
                <w:caps w:val="0"/>
                <w:color w:val="FF0000"/>
                <w:spacing w:val="0"/>
                <w:position w:val="0"/>
                <w:highlight w:val="none"/>
                <w:lang w:eastAsia="zh-CN"/>
              </w:rPr>
            </w:pPr>
            <w:r>
              <w:rPr>
                <w:rFonts w:hint="default" w:ascii="Times New Roman" w:hAnsi="Times New Roman" w:cs="Times New Roman"/>
                <w:caps w:val="0"/>
                <w:color w:val="FF0000"/>
                <w:spacing w:val="0"/>
                <w:position w:val="0"/>
                <w:highlight w:val="none"/>
                <w:lang w:val="en-US" w:eastAsia="zh-CN"/>
              </w:rPr>
              <w:t>春季</w:t>
            </w:r>
            <w:r>
              <w:rPr>
                <w:rFonts w:hint="default" w:ascii="Times New Roman" w:hAnsi="Times New Roman" w:cs="Times New Roman"/>
                <w:caps w:val="0"/>
                <w:color w:val="FF0000"/>
                <w:spacing w:val="0"/>
                <w:position w:val="0"/>
                <w:highlight w:val="none"/>
                <w:lang w:eastAsia="zh-CN"/>
              </w:rPr>
              <w:sym w:font="Wingdings 2" w:char="00A3"/>
            </w:r>
            <w:r>
              <w:rPr>
                <w:rFonts w:hint="default" w:ascii="Times New Roman" w:hAnsi="Times New Roman" w:cs="Times New Roman"/>
                <w:caps w:val="0"/>
                <w:color w:val="FF0000"/>
                <w:spacing w:val="0"/>
                <w:position w:val="0"/>
                <w:highlight w:val="none"/>
              </w:rPr>
              <w:t>；</w:t>
            </w:r>
            <w:r>
              <w:rPr>
                <w:rFonts w:hint="default" w:ascii="Times New Roman" w:hAnsi="Times New Roman" w:cs="Times New Roman"/>
                <w:caps w:val="0"/>
                <w:color w:val="FF0000"/>
                <w:spacing w:val="0"/>
                <w:position w:val="0"/>
                <w:highlight w:val="none"/>
                <w:lang w:val="en-US" w:eastAsia="zh-CN"/>
              </w:rPr>
              <w:t>夏季</w:t>
            </w:r>
            <w:r>
              <w:rPr>
                <w:rFonts w:hint="default" w:ascii="Times New Roman" w:hAnsi="Times New Roman" w:cs="Times New Roman"/>
                <w:caps w:val="0"/>
                <w:color w:val="FF0000"/>
                <w:spacing w:val="0"/>
                <w:position w:val="0"/>
                <w:highlight w:val="none"/>
                <w:lang w:eastAsia="zh-CN"/>
              </w:rPr>
              <w:sym w:font="Wingdings 2" w:char="0052"/>
            </w:r>
            <w:r>
              <w:rPr>
                <w:rFonts w:hint="default" w:ascii="Times New Roman" w:hAnsi="Times New Roman" w:cs="Times New Roman"/>
                <w:caps w:val="0"/>
                <w:color w:val="FF0000"/>
                <w:spacing w:val="0"/>
                <w:position w:val="0"/>
                <w:highlight w:val="none"/>
              </w:rPr>
              <w:t>；</w:t>
            </w:r>
            <w:r>
              <w:rPr>
                <w:rFonts w:hint="default" w:ascii="Times New Roman" w:hAnsi="Times New Roman" w:cs="Times New Roman"/>
                <w:caps w:val="0"/>
                <w:color w:val="FF0000"/>
                <w:spacing w:val="0"/>
                <w:position w:val="0"/>
                <w:highlight w:val="none"/>
                <w:lang w:val="en-US" w:eastAsia="zh-CN"/>
              </w:rPr>
              <w:t>秋季</w:t>
            </w:r>
            <w:r>
              <w:rPr>
                <w:rFonts w:hint="default" w:ascii="Times New Roman" w:hAnsi="Times New Roman" w:cs="Times New Roman"/>
                <w:caps w:val="0"/>
                <w:color w:val="FF0000"/>
                <w:spacing w:val="0"/>
                <w:position w:val="0"/>
                <w:highlight w:val="none"/>
                <w:lang w:eastAsia="zh-CN"/>
              </w:rPr>
              <w:sym w:font="Wingdings 2" w:char="00A3"/>
            </w:r>
            <w:r>
              <w:rPr>
                <w:rFonts w:hint="default" w:ascii="Times New Roman" w:hAnsi="Times New Roman" w:cs="Times New Roman"/>
                <w:caps w:val="0"/>
                <w:color w:val="FF0000"/>
                <w:spacing w:val="0"/>
                <w:position w:val="0"/>
                <w:highlight w:val="none"/>
                <w:lang w:eastAsia="zh-CN"/>
              </w:rPr>
              <w:t>；</w:t>
            </w:r>
            <w:r>
              <w:rPr>
                <w:rFonts w:hint="default" w:ascii="Times New Roman" w:hAnsi="Times New Roman" w:cs="Times New Roman"/>
                <w:caps w:val="0"/>
                <w:color w:val="FF0000"/>
                <w:spacing w:val="0"/>
                <w:position w:val="0"/>
                <w:highlight w:val="none"/>
                <w:lang w:val="en-US" w:eastAsia="zh-CN"/>
              </w:rPr>
              <w:t>冬季</w:t>
            </w:r>
            <w:r>
              <w:rPr>
                <w:rFonts w:hint="default" w:ascii="Times New Roman" w:hAnsi="Times New Roman" w:cs="Times New Roman"/>
                <w:caps w:val="0"/>
                <w:color w:val="FF0000"/>
                <w:spacing w:val="0"/>
                <w:position w:val="0"/>
                <w:highlight w:val="none"/>
                <w:lang w:eastAsia="zh-CN"/>
              </w:rPr>
              <w:sym w:font="Wingdings 2" w:char="00A3"/>
            </w:r>
            <w:r>
              <w:rPr>
                <w:rFonts w:hint="default" w:ascii="Times New Roman" w:hAnsi="Times New Roman" w:cs="Times New Roman"/>
                <w:caps w:val="0"/>
                <w:color w:val="FF0000"/>
                <w:spacing w:val="0"/>
                <w:position w:val="0"/>
                <w:highlight w:val="none"/>
                <w:lang w:eastAsia="zh-CN"/>
              </w:rPr>
              <w:t>；</w:t>
            </w:r>
          </w:p>
          <w:p w14:paraId="64576B5F">
            <w:pPr>
              <w:pStyle w:val="42"/>
              <w:bidi w:val="0"/>
              <w:rPr>
                <w:rFonts w:hint="default" w:ascii="Times New Roman" w:hAnsi="Times New Roman" w:cs="Times New Roman"/>
                <w:caps w:val="0"/>
                <w:color w:val="FF0000"/>
                <w:spacing w:val="0"/>
                <w:position w:val="0"/>
                <w:highlight w:val="none"/>
                <w:lang w:eastAsia="zh-CN"/>
              </w:rPr>
            </w:pPr>
            <w:r>
              <w:rPr>
                <w:rFonts w:hint="default" w:ascii="Times New Roman" w:hAnsi="Times New Roman" w:cs="Times New Roman"/>
                <w:caps w:val="0"/>
                <w:color w:val="FF0000"/>
                <w:spacing w:val="0"/>
                <w:position w:val="0"/>
                <w:highlight w:val="none"/>
                <w:lang w:val="en-US" w:eastAsia="zh-CN"/>
              </w:rPr>
              <w:t>丰水期</w:t>
            </w:r>
            <w:r>
              <w:rPr>
                <w:rFonts w:hint="default" w:ascii="Times New Roman" w:hAnsi="Times New Roman" w:cs="Times New Roman"/>
                <w:caps w:val="0"/>
                <w:color w:val="FF0000"/>
                <w:spacing w:val="0"/>
                <w:position w:val="0"/>
                <w:highlight w:val="none"/>
                <w:lang w:eastAsia="zh-CN"/>
              </w:rPr>
              <w:t>□；</w:t>
            </w:r>
            <w:r>
              <w:rPr>
                <w:rFonts w:hint="default" w:ascii="Times New Roman" w:hAnsi="Times New Roman" w:cs="Times New Roman"/>
                <w:caps w:val="0"/>
                <w:color w:val="FF0000"/>
                <w:spacing w:val="0"/>
                <w:position w:val="0"/>
                <w:highlight w:val="none"/>
                <w:lang w:val="en-US" w:eastAsia="zh-CN"/>
              </w:rPr>
              <w:t>枯水期</w:t>
            </w:r>
            <w:r>
              <w:rPr>
                <w:rFonts w:hint="default" w:ascii="Times New Roman" w:hAnsi="Times New Roman" w:cs="Times New Roman"/>
                <w:caps w:val="0"/>
                <w:color w:val="FF0000"/>
                <w:spacing w:val="0"/>
                <w:position w:val="0"/>
                <w:highlight w:val="none"/>
                <w:lang w:eastAsia="zh-CN"/>
              </w:rPr>
              <w:t>□；</w:t>
            </w:r>
            <w:r>
              <w:rPr>
                <w:rFonts w:hint="default" w:ascii="Times New Roman" w:hAnsi="Times New Roman" w:cs="Times New Roman"/>
                <w:caps w:val="0"/>
                <w:color w:val="FF0000"/>
                <w:spacing w:val="0"/>
                <w:position w:val="0"/>
                <w:highlight w:val="none"/>
                <w:lang w:val="en-US" w:eastAsia="zh-CN"/>
              </w:rPr>
              <w:t>平水期</w:t>
            </w:r>
            <w:r>
              <w:rPr>
                <w:rFonts w:hint="default" w:ascii="Times New Roman" w:hAnsi="Times New Roman" w:cs="Times New Roman"/>
                <w:caps w:val="0"/>
                <w:color w:val="FF0000"/>
                <w:spacing w:val="0"/>
                <w:position w:val="0"/>
                <w:highlight w:val="none"/>
                <w:lang w:eastAsia="zh-CN"/>
              </w:rPr>
              <w:t>□；</w:t>
            </w:r>
          </w:p>
        </w:tc>
      </w:tr>
      <w:tr w14:paraId="307D4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4" w:hRule="atLeast"/>
        </w:trPr>
        <w:tc>
          <w:tcPr>
            <w:tcW w:w="1281" w:type="dxa"/>
            <w:vMerge w:val="continue"/>
            <w:tcBorders>
              <w:tl2br w:val="nil"/>
              <w:tr2bl w:val="nil"/>
            </w:tcBorders>
            <w:noWrap w:val="0"/>
            <w:vAlign w:val="center"/>
          </w:tcPr>
          <w:p w14:paraId="51920CB7">
            <w:pPr>
              <w:pStyle w:val="42"/>
              <w:bidi w:val="0"/>
              <w:rPr>
                <w:rFonts w:hint="default" w:ascii="Times New Roman" w:hAnsi="Times New Roman" w:cs="Times New Roman"/>
                <w:caps w:val="0"/>
                <w:color w:val="FF0000"/>
                <w:spacing w:val="0"/>
                <w:position w:val="0"/>
                <w:highlight w:val="none"/>
              </w:rPr>
            </w:pPr>
          </w:p>
        </w:tc>
        <w:tc>
          <w:tcPr>
            <w:tcW w:w="1583" w:type="dxa"/>
            <w:tcBorders>
              <w:tl2br w:val="nil"/>
              <w:tr2bl w:val="nil"/>
            </w:tcBorders>
            <w:noWrap w:val="0"/>
            <w:vAlign w:val="center"/>
          </w:tcPr>
          <w:p w14:paraId="74A3EFED">
            <w:pPr>
              <w:pStyle w:val="42"/>
              <w:bidi w:val="0"/>
              <w:rPr>
                <w:rFonts w:hint="default" w:ascii="Times New Roman" w:hAnsi="Times New Roman" w:cs="Times New Roman"/>
                <w:caps w:val="0"/>
                <w:color w:val="FF0000"/>
                <w:spacing w:val="0"/>
                <w:position w:val="0"/>
                <w:highlight w:val="none"/>
                <w:lang w:val="en-US" w:eastAsia="zh-CN"/>
              </w:rPr>
            </w:pPr>
            <w:r>
              <w:rPr>
                <w:rFonts w:hint="default" w:ascii="Times New Roman" w:hAnsi="Times New Roman" w:cs="Times New Roman"/>
                <w:caps w:val="0"/>
                <w:color w:val="FF0000"/>
                <w:spacing w:val="0"/>
                <w:position w:val="0"/>
                <w:highlight w:val="none"/>
                <w:lang w:val="en-US" w:eastAsia="zh-CN"/>
              </w:rPr>
              <w:t>所在区域的生态问题</w:t>
            </w:r>
          </w:p>
        </w:tc>
        <w:tc>
          <w:tcPr>
            <w:tcW w:w="6148" w:type="dxa"/>
            <w:tcBorders>
              <w:tl2br w:val="nil"/>
              <w:tr2bl w:val="nil"/>
            </w:tcBorders>
            <w:noWrap w:val="0"/>
            <w:vAlign w:val="center"/>
          </w:tcPr>
          <w:p w14:paraId="7AFD22A0">
            <w:pPr>
              <w:pStyle w:val="42"/>
              <w:bidi w:val="0"/>
              <w:rPr>
                <w:rFonts w:hint="default" w:ascii="Times New Roman" w:hAnsi="Times New Roman" w:cs="Times New Roman"/>
                <w:caps w:val="0"/>
                <w:color w:val="FF0000"/>
                <w:spacing w:val="0"/>
                <w:position w:val="0"/>
                <w:highlight w:val="none"/>
                <w:lang w:eastAsia="zh-CN"/>
              </w:rPr>
            </w:pPr>
            <w:r>
              <w:rPr>
                <w:rFonts w:hint="default" w:ascii="Times New Roman" w:hAnsi="Times New Roman" w:cs="Times New Roman"/>
                <w:caps w:val="0"/>
                <w:color w:val="FF0000"/>
                <w:spacing w:val="0"/>
                <w:position w:val="0"/>
                <w:highlight w:val="none"/>
                <w:lang w:val="en-US" w:eastAsia="zh-CN"/>
              </w:rPr>
              <w:t>水土流失</w:t>
            </w:r>
            <w:r>
              <w:rPr>
                <w:rFonts w:hint="default" w:ascii="Times New Roman" w:hAnsi="Times New Roman" w:cs="Times New Roman"/>
                <w:caps w:val="0"/>
                <w:color w:val="FF0000"/>
                <w:spacing w:val="0"/>
                <w:position w:val="0"/>
                <w:highlight w:val="none"/>
                <w:lang w:eastAsia="zh-CN"/>
              </w:rPr>
              <w:sym w:font="Wingdings 2" w:char="0052"/>
            </w:r>
            <w:r>
              <w:rPr>
                <w:rFonts w:hint="default" w:ascii="Times New Roman" w:hAnsi="Times New Roman" w:cs="Times New Roman"/>
                <w:caps w:val="0"/>
                <w:color w:val="FF0000"/>
                <w:spacing w:val="0"/>
                <w:position w:val="0"/>
                <w:highlight w:val="none"/>
              </w:rPr>
              <w:t>；</w:t>
            </w:r>
            <w:r>
              <w:rPr>
                <w:rFonts w:hint="default" w:ascii="Times New Roman" w:hAnsi="Times New Roman" w:cs="Times New Roman"/>
                <w:caps w:val="0"/>
                <w:color w:val="FF0000"/>
                <w:spacing w:val="0"/>
                <w:position w:val="0"/>
                <w:highlight w:val="none"/>
                <w:lang w:val="en-US" w:eastAsia="zh-CN"/>
              </w:rPr>
              <w:t>沙漠化</w:t>
            </w:r>
            <w:r>
              <w:rPr>
                <w:rFonts w:hint="default" w:ascii="Times New Roman" w:hAnsi="Times New Roman" w:cs="Times New Roman"/>
                <w:caps w:val="0"/>
                <w:color w:val="FF0000"/>
                <w:spacing w:val="0"/>
                <w:position w:val="0"/>
                <w:highlight w:val="none"/>
                <w:lang w:eastAsia="zh-CN"/>
              </w:rPr>
              <w:sym w:font="Wingdings 2" w:char="00A3"/>
            </w:r>
            <w:r>
              <w:rPr>
                <w:rFonts w:hint="default" w:ascii="Times New Roman" w:hAnsi="Times New Roman" w:cs="Times New Roman"/>
                <w:caps w:val="0"/>
                <w:color w:val="FF0000"/>
                <w:spacing w:val="0"/>
                <w:position w:val="0"/>
                <w:highlight w:val="none"/>
              </w:rPr>
              <w:t>；</w:t>
            </w:r>
            <w:r>
              <w:rPr>
                <w:rFonts w:hint="default" w:ascii="Times New Roman" w:hAnsi="Times New Roman" w:cs="Times New Roman"/>
                <w:caps w:val="0"/>
                <w:color w:val="FF0000"/>
                <w:spacing w:val="0"/>
                <w:position w:val="0"/>
                <w:highlight w:val="none"/>
                <w:lang w:val="en-US" w:eastAsia="zh-CN"/>
              </w:rPr>
              <w:t>石漠化</w:t>
            </w:r>
            <w:r>
              <w:rPr>
                <w:rFonts w:hint="default" w:ascii="Times New Roman" w:hAnsi="Times New Roman" w:cs="Times New Roman"/>
                <w:caps w:val="0"/>
                <w:color w:val="FF0000"/>
                <w:spacing w:val="0"/>
                <w:position w:val="0"/>
                <w:highlight w:val="none"/>
                <w:lang w:eastAsia="zh-CN"/>
              </w:rPr>
              <w:sym w:font="Wingdings 2" w:char="00A3"/>
            </w:r>
            <w:r>
              <w:rPr>
                <w:rFonts w:hint="default" w:ascii="Times New Roman" w:hAnsi="Times New Roman" w:cs="Times New Roman"/>
                <w:caps w:val="0"/>
                <w:color w:val="FF0000"/>
                <w:spacing w:val="0"/>
                <w:position w:val="0"/>
                <w:highlight w:val="none"/>
                <w:lang w:eastAsia="zh-CN"/>
              </w:rPr>
              <w:t>；</w:t>
            </w:r>
            <w:r>
              <w:rPr>
                <w:rFonts w:hint="default" w:ascii="Times New Roman" w:hAnsi="Times New Roman" w:cs="Times New Roman"/>
                <w:caps w:val="0"/>
                <w:color w:val="FF0000"/>
                <w:spacing w:val="0"/>
                <w:position w:val="0"/>
                <w:highlight w:val="none"/>
                <w:lang w:val="en-US" w:eastAsia="zh-CN"/>
              </w:rPr>
              <w:t>盐渍化</w:t>
            </w:r>
            <w:r>
              <w:rPr>
                <w:rFonts w:hint="default" w:ascii="Times New Roman" w:hAnsi="Times New Roman" w:cs="Times New Roman"/>
                <w:caps w:val="0"/>
                <w:color w:val="FF0000"/>
                <w:spacing w:val="0"/>
                <w:position w:val="0"/>
                <w:highlight w:val="none"/>
                <w:lang w:eastAsia="zh-CN"/>
              </w:rPr>
              <w:sym w:font="Wingdings 2" w:char="00A3"/>
            </w:r>
            <w:r>
              <w:rPr>
                <w:rFonts w:hint="default" w:ascii="Times New Roman" w:hAnsi="Times New Roman" w:cs="Times New Roman"/>
                <w:caps w:val="0"/>
                <w:color w:val="FF0000"/>
                <w:spacing w:val="0"/>
                <w:position w:val="0"/>
                <w:highlight w:val="none"/>
                <w:lang w:eastAsia="zh-CN"/>
              </w:rPr>
              <w:t>；</w:t>
            </w:r>
          </w:p>
          <w:p w14:paraId="517AE4B2">
            <w:pPr>
              <w:pStyle w:val="42"/>
              <w:bidi w:val="0"/>
              <w:rPr>
                <w:rFonts w:hint="default" w:ascii="Times New Roman" w:hAnsi="Times New Roman" w:cs="Times New Roman"/>
                <w:caps w:val="0"/>
                <w:color w:val="FF0000"/>
                <w:spacing w:val="0"/>
                <w:position w:val="0"/>
                <w:highlight w:val="none"/>
              </w:rPr>
            </w:pPr>
            <w:r>
              <w:rPr>
                <w:rFonts w:hint="default" w:ascii="Times New Roman" w:hAnsi="Times New Roman" w:cs="Times New Roman"/>
                <w:caps w:val="0"/>
                <w:color w:val="FF0000"/>
                <w:spacing w:val="0"/>
                <w:position w:val="0"/>
                <w:highlight w:val="none"/>
                <w:lang w:val="en-US" w:eastAsia="zh-CN"/>
              </w:rPr>
              <w:t>生物入侵</w:t>
            </w:r>
            <w:r>
              <w:rPr>
                <w:rFonts w:hint="default" w:ascii="Times New Roman" w:hAnsi="Times New Roman" w:cs="Times New Roman"/>
                <w:caps w:val="0"/>
                <w:color w:val="FF0000"/>
                <w:spacing w:val="0"/>
                <w:position w:val="0"/>
                <w:highlight w:val="none"/>
                <w:lang w:eastAsia="zh-CN"/>
              </w:rPr>
              <w:t>□；</w:t>
            </w:r>
            <w:r>
              <w:rPr>
                <w:rFonts w:hint="default" w:ascii="Times New Roman" w:hAnsi="Times New Roman" w:cs="Times New Roman"/>
                <w:caps w:val="0"/>
                <w:color w:val="FF0000"/>
                <w:spacing w:val="0"/>
                <w:position w:val="0"/>
                <w:highlight w:val="none"/>
                <w:lang w:val="en-US" w:eastAsia="zh-CN"/>
              </w:rPr>
              <w:t>污染危害</w:t>
            </w:r>
            <w:r>
              <w:rPr>
                <w:rFonts w:hint="default" w:ascii="Times New Roman" w:hAnsi="Times New Roman" w:cs="Times New Roman"/>
                <w:caps w:val="0"/>
                <w:color w:val="FF0000"/>
                <w:spacing w:val="0"/>
                <w:position w:val="0"/>
                <w:highlight w:val="none"/>
                <w:lang w:eastAsia="zh-CN"/>
              </w:rPr>
              <w:sym w:font="Wingdings 2" w:char="0052"/>
            </w:r>
            <w:r>
              <w:rPr>
                <w:rFonts w:hint="default" w:ascii="Times New Roman" w:hAnsi="Times New Roman" w:cs="Times New Roman"/>
                <w:caps w:val="0"/>
                <w:color w:val="FF0000"/>
                <w:spacing w:val="0"/>
                <w:position w:val="0"/>
                <w:highlight w:val="none"/>
                <w:lang w:eastAsia="zh-CN"/>
              </w:rPr>
              <w:t>；</w:t>
            </w:r>
            <w:r>
              <w:rPr>
                <w:rFonts w:hint="default" w:ascii="Times New Roman" w:hAnsi="Times New Roman" w:cs="Times New Roman"/>
                <w:caps w:val="0"/>
                <w:color w:val="FF0000"/>
                <w:spacing w:val="0"/>
                <w:position w:val="0"/>
                <w:highlight w:val="none"/>
                <w:lang w:val="en-US" w:eastAsia="zh-CN"/>
              </w:rPr>
              <w:t>其他</w:t>
            </w:r>
            <w:r>
              <w:rPr>
                <w:rFonts w:hint="default" w:ascii="Times New Roman" w:hAnsi="Times New Roman" w:cs="Times New Roman"/>
                <w:caps w:val="0"/>
                <w:color w:val="FF0000"/>
                <w:spacing w:val="0"/>
                <w:position w:val="0"/>
                <w:highlight w:val="none"/>
                <w:lang w:eastAsia="zh-CN"/>
              </w:rPr>
              <w:t>□；</w:t>
            </w:r>
          </w:p>
        </w:tc>
      </w:tr>
      <w:tr w14:paraId="29673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0" w:hRule="atLeast"/>
        </w:trPr>
        <w:tc>
          <w:tcPr>
            <w:tcW w:w="1281" w:type="dxa"/>
            <w:vMerge w:val="continue"/>
            <w:tcBorders>
              <w:tl2br w:val="nil"/>
              <w:tr2bl w:val="nil"/>
            </w:tcBorders>
            <w:noWrap w:val="0"/>
            <w:vAlign w:val="center"/>
          </w:tcPr>
          <w:p w14:paraId="4842ACAB">
            <w:pPr>
              <w:pStyle w:val="42"/>
              <w:bidi w:val="0"/>
              <w:rPr>
                <w:rFonts w:hint="default" w:ascii="Times New Roman" w:hAnsi="Times New Roman" w:cs="Times New Roman"/>
                <w:caps w:val="0"/>
                <w:color w:val="FF0000"/>
                <w:spacing w:val="0"/>
                <w:position w:val="0"/>
                <w:highlight w:val="none"/>
              </w:rPr>
            </w:pPr>
          </w:p>
        </w:tc>
        <w:tc>
          <w:tcPr>
            <w:tcW w:w="1583" w:type="dxa"/>
            <w:tcBorders>
              <w:tl2br w:val="nil"/>
              <w:tr2bl w:val="nil"/>
            </w:tcBorders>
            <w:noWrap w:val="0"/>
            <w:vAlign w:val="center"/>
          </w:tcPr>
          <w:p w14:paraId="44001E42">
            <w:pPr>
              <w:pStyle w:val="42"/>
              <w:bidi w:val="0"/>
              <w:rPr>
                <w:rFonts w:hint="default" w:ascii="Times New Roman" w:hAnsi="Times New Roman" w:cs="Times New Roman"/>
                <w:caps w:val="0"/>
                <w:color w:val="FF0000"/>
                <w:spacing w:val="0"/>
                <w:position w:val="0"/>
                <w:highlight w:val="none"/>
                <w:lang w:val="en-US" w:eastAsia="zh-CN"/>
              </w:rPr>
            </w:pPr>
            <w:r>
              <w:rPr>
                <w:rFonts w:hint="default" w:ascii="Times New Roman" w:hAnsi="Times New Roman" w:cs="Times New Roman"/>
                <w:caps w:val="0"/>
                <w:color w:val="FF0000"/>
                <w:spacing w:val="0"/>
                <w:position w:val="0"/>
                <w:highlight w:val="none"/>
                <w:lang w:val="en-US" w:eastAsia="zh-CN"/>
              </w:rPr>
              <w:t>评价内容</w:t>
            </w:r>
          </w:p>
        </w:tc>
        <w:tc>
          <w:tcPr>
            <w:tcW w:w="6148" w:type="dxa"/>
            <w:tcBorders>
              <w:tl2br w:val="nil"/>
              <w:tr2bl w:val="nil"/>
            </w:tcBorders>
            <w:noWrap w:val="0"/>
            <w:vAlign w:val="center"/>
          </w:tcPr>
          <w:p w14:paraId="047E31F8">
            <w:pPr>
              <w:pStyle w:val="42"/>
              <w:bidi w:val="0"/>
              <w:rPr>
                <w:rFonts w:hint="default" w:ascii="Times New Roman" w:hAnsi="Times New Roman" w:cs="Times New Roman"/>
                <w:caps w:val="0"/>
                <w:color w:val="FF0000"/>
                <w:spacing w:val="0"/>
                <w:position w:val="0"/>
                <w:highlight w:val="none"/>
              </w:rPr>
            </w:pPr>
            <w:r>
              <w:rPr>
                <w:rFonts w:hint="default" w:ascii="Times New Roman" w:hAnsi="Times New Roman" w:cs="Times New Roman"/>
                <w:caps w:val="0"/>
                <w:color w:val="FF0000"/>
                <w:spacing w:val="0"/>
                <w:position w:val="0"/>
                <w:highlight w:val="none"/>
                <w:lang w:val="en-US" w:eastAsia="zh-CN"/>
              </w:rPr>
              <w:t>植被植物群落</w:t>
            </w:r>
            <w:r>
              <w:rPr>
                <w:rFonts w:hint="default" w:ascii="Times New Roman" w:hAnsi="Times New Roman" w:cs="Times New Roman"/>
                <w:caps w:val="0"/>
                <w:color w:val="FF0000"/>
                <w:spacing w:val="0"/>
                <w:position w:val="0"/>
                <w:highlight w:val="none"/>
                <w:lang w:eastAsia="zh-CN"/>
              </w:rPr>
              <w:sym w:font="Wingdings 2" w:char="00A3"/>
            </w:r>
            <w:r>
              <w:rPr>
                <w:rFonts w:hint="default" w:ascii="Times New Roman" w:hAnsi="Times New Roman" w:cs="Times New Roman"/>
                <w:caps w:val="0"/>
                <w:color w:val="FF0000"/>
                <w:spacing w:val="0"/>
                <w:position w:val="0"/>
                <w:highlight w:val="none"/>
              </w:rPr>
              <w:t>；</w:t>
            </w:r>
            <w:r>
              <w:rPr>
                <w:rFonts w:hint="default" w:ascii="Times New Roman" w:hAnsi="Times New Roman" w:cs="Times New Roman"/>
                <w:caps w:val="0"/>
                <w:color w:val="FF0000"/>
                <w:spacing w:val="0"/>
                <w:position w:val="0"/>
                <w:highlight w:val="none"/>
                <w:lang w:val="en-US" w:eastAsia="zh-CN"/>
              </w:rPr>
              <w:t>土地利用</w:t>
            </w:r>
            <w:r>
              <w:rPr>
                <w:rFonts w:hint="default" w:ascii="Times New Roman" w:hAnsi="Times New Roman" w:cs="Times New Roman"/>
                <w:caps w:val="0"/>
                <w:color w:val="FF0000"/>
                <w:spacing w:val="0"/>
                <w:position w:val="0"/>
                <w:highlight w:val="none"/>
                <w:lang w:eastAsia="zh-CN"/>
              </w:rPr>
              <w:sym w:font="Wingdings 2" w:char="0052"/>
            </w:r>
            <w:r>
              <w:rPr>
                <w:rFonts w:hint="default" w:ascii="Times New Roman" w:hAnsi="Times New Roman" w:cs="Times New Roman"/>
                <w:caps w:val="0"/>
                <w:color w:val="FF0000"/>
                <w:spacing w:val="0"/>
                <w:position w:val="0"/>
                <w:highlight w:val="none"/>
              </w:rPr>
              <w:t>；</w:t>
            </w:r>
            <w:r>
              <w:rPr>
                <w:rFonts w:hint="default" w:ascii="Times New Roman" w:hAnsi="Times New Roman" w:cs="Times New Roman"/>
                <w:caps w:val="0"/>
                <w:color w:val="FF0000"/>
                <w:spacing w:val="0"/>
                <w:position w:val="0"/>
                <w:highlight w:val="none"/>
                <w:lang w:val="en-US" w:eastAsia="zh-CN"/>
              </w:rPr>
              <w:t>生态系统</w:t>
            </w:r>
            <w:r>
              <w:rPr>
                <w:rFonts w:hint="default" w:ascii="Times New Roman" w:hAnsi="Times New Roman" w:cs="Times New Roman"/>
                <w:caps w:val="0"/>
                <w:color w:val="FF0000"/>
                <w:spacing w:val="0"/>
                <w:position w:val="0"/>
                <w:highlight w:val="none"/>
                <w:lang w:eastAsia="zh-CN"/>
              </w:rPr>
              <w:sym w:font="Wingdings 2" w:char="0052"/>
            </w:r>
            <w:r>
              <w:rPr>
                <w:rFonts w:hint="default" w:ascii="Times New Roman" w:hAnsi="Times New Roman" w:cs="Times New Roman"/>
                <w:caps w:val="0"/>
                <w:color w:val="FF0000"/>
                <w:spacing w:val="0"/>
                <w:position w:val="0"/>
                <w:highlight w:val="none"/>
                <w:lang w:eastAsia="zh-CN"/>
              </w:rPr>
              <w:t>；</w:t>
            </w:r>
            <w:r>
              <w:rPr>
                <w:rFonts w:hint="default" w:ascii="Times New Roman" w:hAnsi="Times New Roman" w:cs="Times New Roman"/>
                <w:caps w:val="0"/>
                <w:color w:val="FF0000"/>
                <w:spacing w:val="0"/>
                <w:position w:val="0"/>
                <w:highlight w:val="none"/>
                <w:lang w:val="en-US" w:eastAsia="zh-CN"/>
              </w:rPr>
              <w:t>生物多样性</w:t>
            </w:r>
            <w:r>
              <w:rPr>
                <w:rFonts w:hint="default" w:ascii="Times New Roman" w:hAnsi="Times New Roman" w:cs="Times New Roman"/>
                <w:caps w:val="0"/>
                <w:color w:val="FF0000"/>
                <w:spacing w:val="0"/>
                <w:position w:val="0"/>
                <w:highlight w:val="none"/>
                <w:lang w:eastAsia="zh-CN"/>
              </w:rPr>
              <w:sym w:font="Wingdings 2" w:char="00A3"/>
            </w:r>
            <w:r>
              <w:rPr>
                <w:rFonts w:hint="default" w:ascii="Times New Roman" w:hAnsi="Times New Roman" w:cs="Times New Roman"/>
                <w:caps w:val="0"/>
                <w:color w:val="FF0000"/>
                <w:spacing w:val="0"/>
                <w:position w:val="0"/>
                <w:highlight w:val="none"/>
                <w:lang w:eastAsia="zh-CN"/>
              </w:rPr>
              <w:t>；</w:t>
            </w:r>
            <w:r>
              <w:rPr>
                <w:rFonts w:hint="default" w:ascii="Times New Roman" w:hAnsi="Times New Roman" w:cs="Times New Roman"/>
                <w:caps w:val="0"/>
                <w:color w:val="FF0000"/>
                <w:spacing w:val="0"/>
                <w:position w:val="0"/>
                <w:highlight w:val="none"/>
                <w:lang w:val="en-US" w:eastAsia="zh-CN"/>
              </w:rPr>
              <w:t>重要物种</w:t>
            </w:r>
            <w:r>
              <w:rPr>
                <w:rFonts w:hint="default" w:ascii="Times New Roman" w:hAnsi="Times New Roman" w:cs="Times New Roman"/>
                <w:caps w:val="0"/>
                <w:color w:val="FF0000"/>
                <w:spacing w:val="0"/>
                <w:position w:val="0"/>
                <w:highlight w:val="none"/>
                <w:lang w:eastAsia="zh-CN"/>
              </w:rPr>
              <w:t>□；</w:t>
            </w:r>
            <w:r>
              <w:rPr>
                <w:rFonts w:hint="default" w:ascii="Times New Roman" w:hAnsi="Times New Roman" w:cs="Times New Roman"/>
                <w:caps w:val="0"/>
                <w:color w:val="FF0000"/>
                <w:spacing w:val="0"/>
                <w:position w:val="0"/>
                <w:highlight w:val="none"/>
                <w:lang w:val="en-US" w:eastAsia="zh-CN"/>
              </w:rPr>
              <w:t>生态敏感区</w:t>
            </w:r>
            <w:r>
              <w:rPr>
                <w:rFonts w:hint="default" w:ascii="Times New Roman" w:hAnsi="Times New Roman" w:cs="Times New Roman"/>
                <w:caps w:val="0"/>
                <w:color w:val="FF0000"/>
                <w:spacing w:val="0"/>
                <w:position w:val="0"/>
                <w:highlight w:val="none"/>
                <w:lang w:eastAsia="zh-CN"/>
              </w:rPr>
              <w:t>□；</w:t>
            </w:r>
            <w:r>
              <w:rPr>
                <w:rFonts w:hint="default" w:ascii="Times New Roman" w:hAnsi="Times New Roman" w:cs="Times New Roman"/>
                <w:caps w:val="0"/>
                <w:color w:val="FF0000"/>
                <w:spacing w:val="0"/>
                <w:position w:val="0"/>
                <w:highlight w:val="none"/>
                <w:lang w:val="en-US" w:eastAsia="zh-CN"/>
              </w:rPr>
              <w:t>其他</w:t>
            </w:r>
            <w:r>
              <w:rPr>
                <w:rFonts w:hint="default" w:ascii="Times New Roman" w:hAnsi="Times New Roman" w:cs="Times New Roman"/>
                <w:caps w:val="0"/>
                <w:color w:val="FF0000"/>
                <w:spacing w:val="0"/>
                <w:position w:val="0"/>
                <w:highlight w:val="none"/>
                <w:lang w:eastAsia="zh-CN"/>
              </w:rPr>
              <w:t>□；</w:t>
            </w:r>
          </w:p>
        </w:tc>
      </w:tr>
      <w:tr w14:paraId="7119F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30" w:hRule="atLeast"/>
        </w:trPr>
        <w:tc>
          <w:tcPr>
            <w:tcW w:w="1281" w:type="dxa"/>
            <w:vMerge w:val="restart"/>
            <w:tcBorders>
              <w:tl2br w:val="nil"/>
              <w:tr2bl w:val="nil"/>
            </w:tcBorders>
            <w:noWrap w:val="0"/>
            <w:vAlign w:val="center"/>
          </w:tcPr>
          <w:p w14:paraId="18A2DD0E">
            <w:pPr>
              <w:pStyle w:val="42"/>
              <w:bidi w:val="0"/>
              <w:rPr>
                <w:rFonts w:hint="default" w:ascii="Times New Roman" w:hAnsi="Times New Roman" w:cs="Times New Roman"/>
                <w:caps w:val="0"/>
                <w:color w:val="FF0000"/>
                <w:spacing w:val="0"/>
                <w:position w:val="0"/>
                <w:highlight w:val="none"/>
                <w:lang w:val="en-US" w:eastAsia="zh-CN"/>
              </w:rPr>
            </w:pPr>
            <w:r>
              <w:rPr>
                <w:rFonts w:hint="default" w:ascii="Times New Roman" w:hAnsi="Times New Roman" w:cs="Times New Roman"/>
                <w:caps w:val="0"/>
                <w:color w:val="FF0000"/>
                <w:spacing w:val="0"/>
                <w:position w:val="0"/>
                <w:highlight w:val="none"/>
                <w:lang w:val="en-US" w:eastAsia="zh-CN"/>
              </w:rPr>
              <w:t>生态影响预测与评价</w:t>
            </w:r>
          </w:p>
        </w:tc>
        <w:tc>
          <w:tcPr>
            <w:tcW w:w="1583" w:type="dxa"/>
            <w:tcBorders>
              <w:tl2br w:val="nil"/>
              <w:tr2bl w:val="nil"/>
            </w:tcBorders>
            <w:noWrap w:val="0"/>
            <w:vAlign w:val="center"/>
          </w:tcPr>
          <w:p w14:paraId="47B544F7">
            <w:pPr>
              <w:pStyle w:val="42"/>
              <w:bidi w:val="0"/>
              <w:rPr>
                <w:rFonts w:hint="default" w:ascii="Times New Roman" w:hAnsi="Times New Roman" w:cs="Times New Roman"/>
                <w:caps w:val="0"/>
                <w:color w:val="FF0000"/>
                <w:spacing w:val="0"/>
                <w:position w:val="0"/>
                <w:highlight w:val="none"/>
                <w:lang w:val="en-US" w:eastAsia="zh-CN"/>
              </w:rPr>
            </w:pPr>
            <w:r>
              <w:rPr>
                <w:rFonts w:hint="default" w:ascii="Times New Roman" w:hAnsi="Times New Roman" w:cs="Times New Roman"/>
                <w:caps w:val="0"/>
                <w:color w:val="FF0000"/>
                <w:spacing w:val="0"/>
                <w:position w:val="0"/>
                <w:highlight w:val="none"/>
                <w:lang w:val="en-US" w:eastAsia="zh-CN"/>
              </w:rPr>
              <w:t>评价方法</w:t>
            </w:r>
          </w:p>
        </w:tc>
        <w:tc>
          <w:tcPr>
            <w:tcW w:w="6148" w:type="dxa"/>
            <w:tcBorders>
              <w:tl2br w:val="nil"/>
              <w:tr2bl w:val="nil"/>
            </w:tcBorders>
            <w:noWrap w:val="0"/>
            <w:vAlign w:val="center"/>
          </w:tcPr>
          <w:p w14:paraId="151D4044">
            <w:pPr>
              <w:pStyle w:val="42"/>
              <w:bidi w:val="0"/>
              <w:rPr>
                <w:rFonts w:hint="default" w:ascii="Times New Roman" w:hAnsi="Times New Roman" w:cs="Times New Roman"/>
                <w:caps w:val="0"/>
                <w:color w:val="FF0000"/>
                <w:spacing w:val="0"/>
                <w:position w:val="0"/>
                <w:highlight w:val="none"/>
                <w:lang w:eastAsia="zh-CN"/>
              </w:rPr>
            </w:pPr>
            <w:r>
              <w:rPr>
                <w:rFonts w:hint="default" w:ascii="Times New Roman" w:hAnsi="Times New Roman" w:cs="Times New Roman"/>
                <w:caps w:val="0"/>
                <w:color w:val="FF0000"/>
                <w:spacing w:val="0"/>
                <w:position w:val="0"/>
                <w:highlight w:val="none"/>
                <w:lang w:val="en-US" w:eastAsia="zh-CN"/>
              </w:rPr>
              <w:t>定性</w:t>
            </w:r>
            <w:r>
              <w:rPr>
                <w:rFonts w:hint="default" w:ascii="Times New Roman" w:hAnsi="Times New Roman" w:cs="Times New Roman"/>
                <w:caps w:val="0"/>
                <w:color w:val="FF0000"/>
                <w:spacing w:val="0"/>
                <w:position w:val="0"/>
                <w:highlight w:val="none"/>
                <w:lang w:eastAsia="zh-CN"/>
              </w:rPr>
              <w:sym w:font="Wingdings 2" w:char="00A3"/>
            </w:r>
            <w:r>
              <w:rPr>
                <w:rFonts w:hint="default" w:ascii="Times New Roman" w:hAnsi="Times New Roman" w:cs="Times New Roman"/>
                <w:caps w:val="0"/>
                <w:color w:val="FF0000"/>
                <w:spacing w:val="0"/>
                <w:position w:val="0"/>
                <w:highlight w:val="none"/>
              </w:rPr>
              <w:t>；</w:t>
            </w:r>
            <w:r>
              <w:rPr>
                <w:rFonts w:hint="default" w:ascii="Times New Roman" w:hAnsi="Times New Roman" w:cs="Times New Roman"/>
                <w:caps w:val="0"/>
                <w:color w:val="FF0000"/>
                <w:spacing w:val="0"/>
                <w:position w:val="0"/>
                <w:highlight w:val="none"/>
                <w:lang w:val="en-US" w:eastAsia="zh-CN"/>
              </w:rPr>
              <w:t>定性和定量</w:t>
            </w:r>
            <w:r>
              <w:rPr>
                <w:rFonts w:hint="eastAsia" w:ascii="Times New Roman" w:hAnsi="Times New Roman" w:cs="Times New Roman"/>
                <w:caps w:val="0"/>
                <w:color w:val="FF0000"/>
                <w:spacing w:val="0"/>
                <w:position w:val="0"/>
                <w:highlight w:val="none"/>
                <w:lang w:eastAsia="zh-CN"/>
              </w:rPr>
              <w:t>☑</w:t>
            </w:r>
            <w:r>
              <w:rPr>
                <w:rFonts w:hint="default" w:ascii="Times New Roman" w:hAnsi="Times New Roman" w:cs="Times New Roman"/>
                <w:caps w:val="0"/>
                <w:color w:val="FF0000"/>
                <w:spacing w:val="0"/>
                <w:position w:val="0"/>
                <w:highlight w:val="none"/>
              </w:rPr>
              <w:t>；</w:t>
            </w:r>
          </w:p>
        </w:tc>
      </w:tr>
      <w:tr w14:paraId="736EE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42" w:hRule="atLeast"/>
        </w:trPr>
        <w:tc>
          <w:tcPr>
            <w:tcW w:w="1281" w:type="dxa"/>
            <w:vMerge w:val="continue"/>
            <w:tcBorders>
              <w:tl2br w:val="nil"/>
              <w:tr2bl w:val="nil"/>
            </w:tcBorders>
            <w:noWrap w:val="0"/>
            <w:vAlign w:val="center"/>
          </w:tcPr>
          <w:p w14:paraId="4EC5FB4D">
            <w:pPr>
              <w:pStyle w:val="42"/>
              <w:bidi w:val="0"/>
              <w:rPr>
                <w:rFonts w:hint="default" w:ascii="Times New Roman" w:hAnsi="Times New Roman" w:cs="Times New Roman"/>
                <w:caps w:val="0"/>
                <w:color w:val="FF0000"/>
                <w:spacing w:val="0"/>
                <w:position w:val="0"/>
                <w:highlight w:val="none"/>
              </w:rPr>
            </w:pPr>
          </w:p>
        </w:tc>
        <w:tc>
          <w:tcPr>
            <w:tcW w:w="1583" w:type="dxa"/>
            <w:tcBorders>
              <w:tl2br w:val="nil"/>
              <w:tr2bl w:val="nil"/>
            </w:tcBorders>
            <w:noWrap w:val="0"/>
            <w:vAlign w:val="center"/>
          </w:tcPr>
          <w:p w14:paraId="4D01F5E9">
            <w:pPr>
              <w:pStyle w:val="42"/>
              <w:bidi w:val="0"/>
              <w:rPr>
                <w:rFonts w:hint="default" w:ascii="Times New Roman" w:hAnsi="Times New Roman" w:cs="Times New Roman"/>
                <w:caps w:val="0"/>
                <w:color w:val="FF0000"/>
                <w:spacing w:val="0"/>
                <w:position w:val="0"/>
                <w:highlight w:val="none"/>
                <w:lang w:val="en-US" w:eastAsia="zh-CN"/>
              </w:rPr>
            </w:pPr>
            <w:r>
              <w:rPr>
                <w:rFonts w:hint="default" w:ascii="Times New Roman" w:hAnsi="Times New Roman" w:cs="Times New Roman"/>
                <w:caps w:val="0"/>
                <w:color w:val="FF0000"/>
                <w:spacing w:val="0"/>
                <w:position w:val="0"/>
                <w:highlight w:val="none"/>
                <w:lang w:val="en-US" w:eastAsia="zh-CN"/>
              </w:rPr>
              <w:t>评价内容</w:t>
            </w:r>
          </w:p>
        </w:tc>
        <w:tc>
          <w:tcPr>
            <w:tcW w:w="6148" w:type="dxa"/>
            <w:tcBorders>
              <w:tl2br w:val="nil"/>
              <w:tr2bl w:val="nil"/>
            </w:tcBorders>
            <w:noWrap w:val="0"/>
            <w:vAlign w:val="center"/>
          </w:tcPr>
          <w:p w14:paraId="37782F8B">
            <w:pPr>
              <w:pStyle w:val="42"/>
              <w:bidi w:val="0"/>
              <w:rPr>
                <w:rFonts w:hint="default" w:ascii="Times New Roman" w:hAnsi="Times New Roman" w:cs="Times New Roman"/>
                <w:caps w:val="0"/>
                <w:color w:val="FF0000"/>
                <w:spacing w:val="0"/>
                <w:position w:val="0"/>
                <w:highlight w:val="none"/>
              </w:rPr>
            </w:pPr>
            <w:r>
              <w:rPr>
                <w:rFonts w:hint="default" w:ascii="Times New Roman" w:hAnsi="Times New Roman" w:cs="Times New Roman"/>
                <w:caps w:val="0"/>
                <w:color w:val="FF0000"/>
                <w:spacing w:val="0"/>
                <w:position w:val="0"/>
                <w:highlight w:val="none"/>
                <w:lang w:val="en-US" w:eastAsia="zh-CN"/>
              </w:rPr>
              <w:t>植被植物群落</w:t>
            </w:r>
            <w:r>
              <w:rPr>
                <w:rFonts w:hint="default" w:ascii="Times New Roman" w:hAnsi="Times New Roman" w:cs="Times New Roman"/>
                <w:caps w:val="0"/>
                <w:color w:val="FF0000"/>
                <w:spacing w:val="0"/>
                <w:position w:val="0"/>
                <w:highlight w:val="none"/>
                <w:lang w:eastAsia="zh-CN"/>
              </w:rPr>
              <w:sym w:font="Wingdings 2" w:char="00A3"/>
            </w:r>
            <w:r>
              <w:rPr>
                <w:rFonts w:hint="default" w:ascii="Times New Roman" w:hAnsi="Times New Roman" w:cs="Times New Roman"/>
                <w:caps w:val="0"/>
                <w:color w:val="FF0000"/>
                <w:spacing w:val="0"/>
                <w:position w:val="0"/>
                <w:highlight w:val="none"/>
              </w:rPr>
              <w:t>；</w:t>
            </w:r>
            <w:r>
              <w:rPr>
                <w:rFonts w:hint="default" w:ascii="Times New Roman" w:hAnsi="Times New Roman" w:cs="Times New Roman"/>
                <w:caps w:val="0"/>
                <w:color w:val="FF0000"/>
                <w:spacing w:val="0"/>
                <w:position w:val="0"/>
                <w:highlight w:val="none"/>
                <w:lang w:val="en-US" w:eastAsia="zh-CN"/>
              </w:rPr>
              <w:t>土地利用</w:t>
            </w:r>
            <w:r>
              <w:rPr>
                <w:rFonts w:hint="default" w:ascii="Times New Roman" w:hAnsi="Times New Roman" w:cs="Times New Roman"/>
                <w:caps w:val="0"/>
                <w:color w:val="FF0000"/>
                <w:spacing w:val="0"/>
                <w:position w:val="0"/>
                <w:highlight w:val="none"/>
                <w:lang w:eastAsia="zh-CN"/>
              </w:rPr>
              <w:sym w:font="Wingdings 2" w:char="0052"/>
            </w:r>
            <w:r>
              <w:rPr>
                <w:rFonts w:hint="default" w:ascii="Times New Roman" w:hAnsi="Times New Roman" w:cs="Times New Roman"/>
                <w:caps w:val="0"/>
                <w:color w:val="FF0000"/>
                <w:spacing w:val="0"/>
                <w:position w:val="0"/>
                <w:highlight w:val="none"/>
              </w:rPr>
              <w:t>；</w:t>
            </w:r>
            <w:r>
              <w:rPr>
                <w:rFonts w:hint="default" w:ascii="Times New Roman" w:hAnsi="Times New Roman" w:cs="Times New Roman"/>
                <w:caps w:val="0"/>
                <w:color w:val="FF0000"/>
                <w:spacing w:val="0"/>
                <w:position w:val="0"/>
                <w:highlight w:val="none"/>
                <w:lang w:val="en-US" w:eastAsia="zh-CN"/>
              </w:rPr>
              <w:t>生态系统</w:t>
            </w:r>
            <w:r>
              <w:rPr>
                <w:rFonts w:hint="default" w:ascii="Times New Roman" w:hAnsi="Times New Roman" w:cs="Times New Roman"/>
                <w:caps w:val="0"/>
                <w:color w:val="FF0000"/>
                <w:spacing w:val="0"/>
                <w:position w:val="0"/>
                <w:highlight w:val="none"/>
                <w:lang w:eastAsia="zh-CN"/>
              </w:rPr>
              <w:sym w:font="Wingdings 2" w:char="0052"/>
            </w:r>
            <w:r>
              <w:rPr>
                <w:rFonts w:hint="default" w:ascii="Times New Roman" w:hAnsi="Times New Roman" w:cs="Times New Roman"/>
                <w:caps w:val="0"/>
                <w:color w:val="FF0000"/>
                <w:spacing w:val="0"/>
                <w:position w:val="0"/>
                <w:highlight w:val="none"/>
                <w:lang w:eastAsia="zh-CN"/>
              </w:rPr>
              <w:t>；</w:t>
            </w:r>
            <w:r>
              <w:rPr>
                <w:rFonts w:hint="default" w:ascii="Times New Roman" w:hAnsi="Times New Roman" w:cs="Times New Roman"/>
                <w:caps w:val="0"/>
                <w:color w:val="FF0000"/>
                <w:spacing w:val="0"/>
                <w:position w:val="0"/>
                <w:highlight w:val="none"/>
                <w:lang w:val="en-US" w:eastAsia="zh-CN"/>
              </w:rPr>
              <w:t>生物多样性</w:t>
            </w:r>
            <w:r>
              <w:rPr>
                <w:rFonts w:hint="default" w:ascii="Times New Roman" w:hAnsi="Times New Roman" w:cs="Times New Roman"/>
                <w:caps w:val="0"/>
                <w:color w:val="FF0000"/>
                <w:spacing w:val="0"/>
                <w:position w:val="0"/>
                <w:highlight w:val="none"/>
                <w:lang w:eastAsia="zh-CN"/>
              </w:rPr>
              <w:sym w:font="Wingdings 2" w:char="0052"/>
            </w:r>
            <w:r>
              <w:rPr>
                <w:rFonts w:hint="default" w:ascii="Times New Roman" w:hAnsi="Times New Roman" w:cs="Times New Roman"/>
                <w:caps w:val="0"/>
                <w:color w:val="FF0000"/>
                <w:spacing w:val="0"/>
                <w:position w:val="0"/>
                <w:highlight w:val="none"/>
                <w:lang w:eastAsia="zh-CN"/>
              </w:rPr>
              <w:t>；</w:t>
            </w:r>
            <w:r>
              <w:rPr>
                <w:rFonts w:hint="default" w:ascii="Times New Roman" w:hAnsi="Times New Roman" w:cs="Times New Roman"/>
                <w:caps w:val="0"/>
                <w:color w:val="FF0000"/>
                <w:spacing w:val="0"/>
                <w:position w:val="0"/>
                <w:highlight w:val="none"/>
                <w:lang w:val="en-US" w:eastAsia="zh-CN"/>
              </w:rPr>
              <w:t>重要物种</w:t>
            </w:r>
            <w:r>
              <w:rPr>
                <w:rFonts w:hint="default" w:ascii="Times New Roman" w:hAnsi="Times New Roman" w:cs="Times New Roman"/>
                <w:caps w:val="0"/>
                <w:color w:val="FF0000"/>
                <w:spacing w:val="0"/>
                <w:position w:val="0"/>
                <w:highlight w:val="none"/>
                <w:lang w:eastAsia="zh-CN"/>
              </w:rPr>
              <w:t>□；</w:t>
            </w:r>
            <w:r>
              <w:rPr>
                <w:rFonts w:hint="default" w:ascii="Times New Roman" w:hAnsi="Times New Roman" w:cs="Times New Roman"/>
                <w:caps w:val="0"/>
                <w:color w:val="FF0000"/>
                <w:spacing w:val="0"/>
                <w:position w:val="0"/>
                <w:highlight w:val="none"/>
                <w:lang w:val="en-US" w:eastAsia="zh-CN"/>
              </w:rPr>
              <w:t>生态敏感区</w:t>
            </w:r>
            <w:r>
              <w:rPr>
                <w:rFonts w:hint="eastAsia" w:ascii="Times New Roman" w:hAnsi="Times New Roman" w:cs="Times New Roman"/>
                <w:caps w:val="0"/>
                <w:color w:val="FF0000"/>
                <w:spacing w:val="0"/>
                <w:position w:val="0"/>
                <w:highlight w:val="none"/>
                <w:lang w:eastAsia="zh-CN"/>
              </w:rPr>
              <w:t>☑</w:t>
            </w:r>
            <w:r>
              <w:rPr>
                <w:rFonts w:hint="default" w:ascii="Times New Roman" w:hAnsi="Times New Roman" w:cs="Times New Roman"/>
                <w:caps w:val="0"/>
                <w:color w:val="FF0000"/>
                <w:spacing w:val="0"/>
                <w:position w:val="0"/>
                <w:highlight w:val="none"/>
                <w:lang w:eastAsia="zh-CN"/>
              </w:rPr>
              <w:t>；</w:t>
            </w:r>
            <w:r>
              <w:rPr>
                <w:rFonts w:hint="default" w:ascii="Times New Roman" w:hAnsi="Times New Roman" w:cs="Times New Roman"/>
                <w:caps w:val="0"/>
                <w:color w:val="FF0000"/>
                <w:spacing w:val="0"/>
                <w:position w:val="0"/>
                <w:highlight w:val="none"/>
                <w:lang w:val="en-US" w:eastAsia="zh-CN"/>
              </w:rPr>
              <w:t>其他</w:t>
            </w:r>
            <w:r>
              <w:rPr>
                <w:rFonts w:hint="default" w:ascii="Times New Roman" w:hAnsi="Times New Roman" w:cs="Times New Roman"/>
                <w:caps w:val="0"/>
                <w:color w:val="FF0000"/>
                <w:spacing w:val="0"/>
                <w:position w:val="0"/>
                <w:highlight w:val="none"/>
                <w:lang w:eastAsia="zh-CN"/>
              </w:rPr>
              <w:t>□；</w:t>
            </w:r>
          </w:p>
        </w:tc>
      </w:tr>
      <w:tr w14:paraId="2DB08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59" w:hRule="atLeast"/>
        </w:trPr>
        <w:tc>
          <w:tcPr>
            <w:tcW w:w="1281" w:type="dxa"/>
            <w:vMerge w:val="restart"/>
            <w:tcBorders>
              <w:tl2br w:val="nil"/>
              <w:tr2bl w:val="nil"/>
            </w:tcBorders>
            <w:noWrap w:val="0"/>
            <w:vAlign w:val="center"/>
          </w:tcPr>
          <w:p w14:paraId="0B94863E">
            <w:pPr>
              <w:pStyle w:val="42"/>
              <w:bidi w:val="0"/>
              <w:rPr>
                <w:rFonts w:hint="default" w:ascii="Times New Roman" w:hAnsi="Times New Roman" w:cs="Times New Roman"/>
                <w:caps w:val="0"/>
                <w:color w:val="FF0000"/>
                <w:spacing w:val="0"/>
                <w:position w:val="0"/>
                <w:highlight w:val="none"/>
                <w:lang w:val="en-US" w:eastAsia="zh-CN"/>
              </w:rPr>
            </w:pPr>
            <w:r>
              <w:rPr>
                <w:rFonts w:hint="default" w:ascii="Times New Roman" w:hAnsi="Times New Roman" w:cs="Times New Roman"/>
                <w:caps w:val="0"/>
                <w:color w:val="FF0000"/>
                <w:spacing w:val="0"/>
                <w:position w:val="0"/>
                <w:highlight w:val="none"/>
                <w:lang w:val="en-US" w:eastAsia="zh-CN"/>
              </w:rPr>
              <w:t>生态保护对策措施</w:t>
            </w:r>
          </w:p>
        </w:tc>
        <w:tc>
          <w:tcPr>
            <w:tcW w:w="1583" w:type="dxa"/>
            <w:tcBorders>
              <w:tl2br w:val="nil"/>
              <w:tr2bl w:val="nil"/>
            </w:tcBorders>
            <w:noWrap w:val="0"/>
            <w:vAlign w:val="center"/>
          </w:tcPr>
          <w:p w14:paraId="54125E56">
            <w:pPr>
              <w:pStyle w:val="42"/>
              <w:bidi w:val="0"/>
              <w:rPr>
                <w:rFonts w:hint="default" w:ascii="Times New Roman" w:hAnsi="Times New Roman" w:cs="Times New Roman"/>
                <w:caps w:val="0"/>
                <w:color w:val="FF0000"/>
                <w:spacing w:val="0"/>
                <w:position w:val="0"/>
                <w:highlight w:val="none"/>
                <w:lang w:val="en-US" w:eastAsia="zh-CN"/>
              </w:rPr>
            </w:pPr>
            <w:r>
              <w:rPr>
                <w:rFonts w:hint="default" w:ascii="Times New Roman" w:hAnsi="Times New Roman" w:cs="Times New Roman"/>
                <w:caps w:val="0"/>
                <w:color w:val="FF0000"/>
                <w:spacing w:val="0"/>
                <w:position w:val="0"/>
                <w:highlight w:val="none"/>
                <w:lang w:val="en-US" w:eastAsia="zh-CN"/>
              </w:rPr>
              <w:t>对策措施</w:t>
            </w:r>
          </w:p>
        </w:tc>
        <w:tc>
          <w:tcPr>
            <w:tcW w:w="6148" w:type="dxa"/>
            <w:tcBorders>
              <w:tl2br w:val="nil"/>
              <w:tr2bl w:val="nil"/>
            </w:tcBorders>
            <w:noWrap w:val="0"/>
            <w:vAlign w:val="center"/>
          </w:tcPr>
          <w:p w14:paraId="7686B426">
            <w:pPr>
              <w:pStyle w:val="42"/>
              <w:bidi w:val="0"/>
              <w:rPr>
                <w:rFonts w:hint="default" w:ascii="Times New Roman" w:hAnsi="Times New Roman" w:cs="Times New Roman"/>
                <w:caps w:val="0"/>
                <w:color w:val="FF0000"/>
                <w:spacing w:val="0"/>
                <w:position w:val="0"/>
                <w:highlight w:val="none"/>
              </w:rPr>
            </w:pPr>
            <w:r>
              <w:rPr>
                <w:rFonts w:hint="default" w:ascii="Times New Roman" w:hAnsi="Times New Roman" w:cs="Times New Roman"/>
                <w:caps w:val="0"/>
                <w:color w:val="FF0000"/>
                <w:spacing w:val="0"/>
                <w:position w:val="0"/>
                <w:highlight w:val="none"/>
                <w:lang w:val="en-US" w:eastAsia="zh-CN"/>
              </w:rPr>
              <w:t>避让</w:t>
            </w:r>
            <w:r>
              <w:rPr>
                <w:rFonts w:hint="default" w:ascii="Times New Roman" w:hAnsi="Times New Roman" w:cs="Times New Roman"/>
                <w:caps w:val="0"/>
                <w:color w:val="FF0000"/>
                <w:spacing w:val="0"/>
                <w:position w:val="0"/>
                <w:highlight w:val="none"/>
                <w:lang w:eastAsia="zh-CN"/>
              </w:rPr>
              <w:sym w:font="Wingdings 2" w:char="0052"/>
            </w:r>
            <w:r>
              <w:rPr>
                <w:rFonts w:hint="default" w:ascii="Times New Roman" w:hAnsi="Times New Roman" w:cs="Times New Roman"/>
                <w:caps w:val="0"/>
                <w:color w:val="FF0000"/>
                <w:spacing w:val="0"/>
                <w:position w:val="0"/>
                <w:highlight w:val="none"/>
              </w:rPr>
              <w:t>；</w:t>
            </w:r>
            <w:r>
              <w:rPr>
                <w:rFonts w:hint="default" w:ascii="Times New Roman" w:hAnsi="Times New Roman" w:cs="Times New Roman"/>
                <w:caps w:val="0"/>
                <w:color w:val="FF0000"/>
                <w:spacing w:val="0"/>
                <w:position w:val="0"/>
                <w:highlight w:val="none"/>
                <w:lang w:val="en-US" w:eastAsia="zh-CN"/>
              </w:rPr>
              <w:t>减缓</w:t>
            </w:r>
            <w:r>
              <w:rPr>
                <w:rFonts w:hint="default" w:ascii="Times New Roman" w:hAnsi="Times New Roman" w:cs="Times New Roman"/>
                <w:caps w:val="0"/>
                <w:color w:val="FF0000"/>
                <w:spacing w:val="0"/>
                <w:position w:val="0"/>
                <w:highlight w:val="none"/>
                <w:lang w:eastAsia="zh-CN"/>
              </w:rPr>
              <w:sym w:font="Wingdings 2" w:char="0052"/>
            </w:r>
            <w:r>
              <w:rPr>
                <w:rFonts w:hint="default" w:ascii="Times New Roman" w:hAnsi="Times New Roman" w:cs="Times New Roman"/>
                <w:caps w:val="0"/>
                <w:color w:val="FF0000"/>
                <w:spacing w:val="0"/>
                <w:position w:val="0"/>
                <w:highlight w:val="none"/>
              </w:rPr>
              <w:t>；</w:t>
            </w:r>
            <w:r>
              <w:rPr>
                <w:rFonts w:hint="default" w:ascii="Times New Roman" w:hAnsi="Times New Roman" w:cs="Times New Roman"/>
                <w:caps w:val="0"/>
                <w:color w:val="FF0000"/>
                <w:spacing w:val="0"/>
                <w:position w:val="0"/>
                <w:highlight w:val="none"/>
                <w:lang w:val="en-US" w:eastAsia="zh-CN"/>
              </w:rPr>
              <w:t>生态修复</w:t>
            </w:r>
            <w:r>
              <w:rPr>
                <w:rFonts w:hint="default" w:ascii="Times New Roman" w:hAnsi="Times New Roman" w:cs="Times New Roman"/>
                <w:caps w:val="0"/>
                <w:color w:val="FF0000"/>
                <w:spacing w:val="0"/>
                <w:position w:val="0"/>
                <w:highlight w:val="none"/>
                <w:lang w:eastAsia="zh-CN"/>
              </w:rPr>
              <w:sym w:font="Wingdings 2" w:char="00A3"/>
            </w:r>
            <w:r>
              <w:rPr>
                <w:rFonts w:hint="default" w:ascii="Times New Roman" w:hAnsi="Times New Roman" w:cs="Times New Roman"/>
                <w:caps w:val="0"/>
                <w:color w:val="FF0000"/>
                <w:spacing w:val="0"/>
                <w:position w:val="0"/>
                <w:highlight w:val="none"/>
                <w:lang w:eastAsia="zh-CN"/>
              </w:rPr>
              <w:t>；</w:t>
            </w:r>
            <w:r>
              <w:rPr>
                <w:rFonts w:hint="default" w:ascii="Times New Roman" w:hAnsi="Times New Roman" w:cs="Times New Roman"/>
                <w:caps w:val="0"/>
                <w:color w:val="FF0000"/>
                <w:spacing w:val="0"/>
                <w:position w:val="0"/>
                <w:highlight w:val="none"/>
                <w:lang w:val="en-US" w:eastAsia="zh-CN"/>
              </w:rPr>
              <w:t>生态补偿</w:t>
            </w:r>
            <w:r>
              <w:rPr>
                <w:rFonts w:hint="default" w:ascii="Times New Roman" w:hAnsi="Times New Roman" w:cs="Times New Roman"/>
                <w:caps w:val="0"/>
                <w:color w:val="FF0000"/>
                <w:spacing w:val="0"/>
                <w:position w:val="0"/>
                <w:highlight w:val="none"/>
                <w:lang w:eastAsia="zh-CN"/>
              </w:rPr>
              <w:sym w:font="Wingdings 2" w:char="0052"/>
            </w:r>
            <w:r>
              <w:rPr>
                <w:rFonts w:hint="default" w:ascii="Times New Roman" w:hAnsi="Times New Roman" w:cs="Times New Roman"/>
                <w:caps w:val="0"/>
                <w:color w:val="FF0000"/>
                <w:spacing w:val="0"/>
                <w:position w:val="0"/>
                <w:highlight w:val="none"/>
                <w:lang w:eastAsia="zh-CN"/>
              </w:rPr>
              <w:t>；</w:t>
            </w:r>
            <w:r>
              <w:rPr>
                <w:rFonts w:hint="default" w:ascii="Times New Roman" w:hAnsi="Times New Roman" w:cs="Times New Roman"/>
                <w:caps w:val="0"/>
                <w:color w:val="FF0000"/>
                <w:spacing w:val="0"/>
                <w:position w:val="0"/>
                <w:highlight w:val="none"/>
                <w:lang w:val="en-US" w:eastAsia="zh-CN"/>
              </w:rPr>
              <w:t>科研</w:t>
            </w:r>
            <w:r>
              <w:rPr>
                <w:rFonts w:hint="default" w:ascii="Times New Roman" w:hAnsi="Times New Roman" w:cs="Times New Roman"/>
                <w:caps w:val="0"/>
                <w:color w:val="FF0000"/>
                <w:spacing w:val="0"/>
                <w:position w:val="0"/>
                <w:highlight w:val="none"/>
                <w:lang w:eastAsia="zh-CN"/>
              </w:rPr>
              <w:t>□；</w:t>
            </w:r>
            <w:r>
              <w:rPr>
                <w:rFonts w:hint="default" w:ascii="Times New Roman" w:hAnsi="Times New Roman" w:cs="Times New Roman"/>
                <w:caps w:val="0"/>
                <w:color w:val="FF0000"/>
                <w:spacing w:val="0"/>
                <w:position w:val="0"/>
                <w:highlight w:val="none"/>
                <w:lang w:val="en-US" w:eastAsia="zh-CN"/>
              </w:rPr>
              <w:t>其他</w:t>
            </w:r>
            <w:r>
              <w:rPr>
                <w:rFonts w:hint="default" w:ascii="Times New Roman" w:hAnsi="Times New Roman" w:cs="Times New Roman"/>
                <w:caps w:val="0"/>
                <w:color w:val="FF0000"/>
                <w:spacing w:val="0"/>
                <w:position w:val="0"/>
                <w:highlight w:val="none"/>
                <w:lang w:eastAsia="zh-CN"/>
              </w:rPr>
              <w:t>□；</w:t>
            </w:r>
          </w:p>
        </w:tc>
      </w:tr>
      <w:tr w14:paraId="49A5E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0" w:hRule="atLeast"/>
        </w:trPr>
        <w:tc>
          <w:tcPr>
            <w:tcW w:w="1281" w:type="dxa"/>
            <w:vMerge w:val="continue"/>
            <w:tcBorders>
              <w:tl2br w:val="nil"/>
              <w:tr2bl w:val="nil"/>
            </w:tcBorders>
            <w:noWrap w:val="0"/>
            <w:vAlign w:val="center"/>
          </w:tcPr>
          <w:p w14:paraId="58009A8F">
            <w:pPr>
              <w:pStyle w:val="42"/>
              <w:bidi w:val="0"/>
              <w:rPr>
                <w:rFonts w:hint="default" w:ascii="Times New Roman" w:hAnsi="Times New Roman" w:cs="Times New Roman"/>
                <w:caps w:val="0"/>
                <w:color w:val="FF0000"/>
                <w:spacing w:val="0"/>
                <w:position w:val="0"/>
                <w:highlight w:val="none"/>
              </w:rPr>
            </w:pPr>
          </w:p>
        </w:tc>
        <w:tc>
          <w:tcPr>
            <w:tcW w:w="1583" w:type="dxa"/>
            <w:tcBorders>
              <w:tl2br w:val="nil"/>
              <w:tr2bl w:val="nil"/>
            </w:tcBorders>
            <w:noWrap w:val="0"/>
            <w:vAlign w:val="center"/>
          </w:tcPr>
          <w:p w14:paraId="6719DD53">
            <w:pPr>
              <w:pStyle w:val="42"/>
              <w:bidi w:val="0"/>
              <w:rPr>
                <w:rFonts w:hint="default" w:ascii="Times New Roman" w:hAnsi="Times New Roman" w:cs="Times New Roman"/>
                <w:caps w:val="0"/>
                <w:color w:val="FF0000"/>
                <w:spacing w:val="0"/>
                <w:position w:val="0"/>
                <w:highlight w:val="none"/>
                <w:lang w:val="en-US" w:eastAsia="zh-CN"/>
              </w:rPr>
            </w:pPr>
            <w:r>
              <w:rPr>
                <w:rFonts w:hint="default" w:ascii="Times New Roman" w:hAnsi="Times New Roman" w:cs="Times New Roman"/>
                <w:caps w:val="0"/>
                <w:color w:val="FF0000"/>
                <w:spacing w:val="0"/>
                <w:position w:val="0"/>
                <w:highlight w:val="none"/>
                <w:lang w:val="en-US" w:eastAsia="zh-CN"/>
              </w:rPr>
              <w:t>生态监测计划</w:t>
            </w:r>
          </w:p>
        </w:tc>
        <w:tc>
          <w:tcPr>
            <w:tcW w:w="6148" w:type="dxa"/>
            <w:tcBorders>
              <w:tl2br w:val="nil"/>
              <w:tr2bl w:val="nil"/>
            </w:tcBorders>
            <w:noWrap w:val="0"/>
            <w:vAlign w:val="center"/>
          </w:tcPr>
          <w:p w14:paraId="727C9FA9">
            <w:pPr>
              <w:pStyle w:val="42"/>
              <w:bidi w:val="0"/>
              <w:rPr>
                <w:rFonts w:hint="default" w:ascii="Times New Roman" w:hAnsi="Times New Roman" w:cs="Times New Roman"/>
                <w:caps w:val="0"/>
                <w:color w:val="FF0000"/>
                <w:spacing w:val="0"/>
                <w:position w:val="0"/>
                <w:highlight w:val="none"/>
              </w:rPr>
            </w:pPr>
            <w:r>
              <w:rPr>
                <w:rFonts w:hint="default" w:ascii="Times New Roman" w:hAnsi="Times New Roman" w:cs="Times New Roman"/>
                <w:caps w:val="0"/>
                <w:color w:val="FF0000"/>
                <w:spacing w:val="0"/>
                <w:position w:val="0"/>
                <w:highlight w:val="none"/>
                <w:lang w:val="en-US" w:eastAsia="zh-CN"/>
              </w:rPr>
              <w:t>全生命周期</w:t>
            </w:r>
            <w:r>
              <w:rPr>
                <w:rFonts w:hint="default" w:ascii="Times New Roman" w:hAnsi="Times New Roman" w:cs="Times New Roman"/>
                <w:caps w:val="0"/>
                <w:color w:val="FF0000"/>
                <w:spacing w:val="0"/>
                <w:position w:val="0"/>
                <w:highlight w:val="none"/>
                <w:lang w:eastAsia="zh-CN"/>
              </w:rPr>
              <w:sym w:font="Wingdings 2" w:char="00A3"/>
            </w:r>
            <w:r>
              <w:rPr>
                <w:rFonts w:hint="default" w:ascii="Times New Roman" w:hAnsi="Times New Roman" w:cs="Times New Roman"/>
                <w:caps w:val="0"/>
                <w:color w:val="FF0000"/>
                <w:spacing w:val="0"/>
                <w:position w:val="0"/>
                <w:highlight w:val="none"/>
              </w:rPr>
              <w:t>；</w:t>
            </w:r>
            <w:r>
              <w:rPr>
                <w:rFonts w:hint="default" w:ascii="Times New Roman" w:hAnsi="Times New Roman" w:cs="Times New Roman"/>
                <w:caps w:val="0"/>
                <w:color w:val="FF0000"/>
                <w:spacing w:val="0"/>
                <w:position w:val="0"/>
                <w:highlight w:val="none"/>
                <w:lang w:val="en-US" w:eastAsia="zh-CN"/>
              </w:rPr>
              <w:t>长期跟踪</w:t>
            </w:r>
            <w:r>
              <w:rPr>
                <w:rFonts w:hint="default" w:ascii="Times New Roman" w:hAnsi="Times New Roman" w:cs="Times New Roman"/>
                <w:caps w:val="0"/>
                <w:color w:val="FF0000"/>
                <w:spacing w:val="0"/>
                <w:position w:val="0"/>
                <w:highlight w:val="none"/>
                <w:lang w:eastAsia="zh-CN"/>
              </w:rPr>
              <w:t>□</w:t>
            </w:r>
            <w:r>
              <w:rPr>
                <w:rFonts w:hint="default" w:ascii="Times New Roman" w:hAnsi="Times New Roman" w:cs="Times New Roman"/>
                <w:caps w:val="0"/>
                <w:color w:val="FF0000"/>
                <w:spacing w:val="0"/>
                <w:position w:val="0"/>
                <w:highlight w:val="none"/>
              </w:rPr>
              <w:t>；</w:t>
            </w:r>
            <w:r>
              <w:rPr>
                <w:rFonts w:hint="default" w:ascii="Times New Roman" w:hAnsi="Times New Roman" w:cs="Times New Roman"/>
                <w:caps w:val="0"/>
                <w:color w:val="FF0000"/>
                <w:spacing w:val="0"/>
                <w:position w:val="0"/>
                <w:highlight w:val="none"/>
                <w:lang w:val="en-US" w:eastAsia="zh-CN"/>
              </w:rPr>
              <w:t>常规</w:t>
            </w:r>
            <w:r>
              <w:rPr>
                <w:rFonts w:hint="default" w:ascii="Times New Roman" w:hAnsi="Times New Roman" w:cs="Times New Roman"/>
                <w:caps w:val="0"/>
                <w:color w:val="FF0000"/>
                <w:spacing w:val="0"/>
                <w:position w:val="0"/>
                <w:highlight w:val="none"/>
                <w:lang w:eastAsia="zh-CN"/>
              </w:rPr>
              <w:sym w:font="Wingdings 2" w:char="0052"/>
            </w:r>
            <w:r>
              <w:rPr>
                <w:rFonts w:hint="default" w:ascii="Times New Roman" w:hAnsi="Times New Roman" w:cs="Times New Roman"/>
                <w:caps w:val="0"/>
                <w:color w:val="FF0000"/>
                <w:spacing w:val="0"/>
                <w:position w:val="0"/>
                <w:highlight w:val="none"/>
                <w:lang w:eastAsia="zh-CN"/>
              </w:rPr>
              <w:t>；</w:t>
            </w:r>
            <w:r>
              <w:rPr>
                <w:rFonts w:hint="default" w:ascii="Times New Roman" w:hAnsi="Times New Roman" w:cs="Times New Roman"/>
                <w:caps w:val="0"/>
                <w:color w:val="FF0000"/>
                <w:spacing w:val="0"/>
                <w:position w:val="0"/>
                <w:highlight w:val="none"/>
                <w:lang w:val="en-US" w:eastAsia="zh-CN"/>
              </w:rPr>
              <w:t>无</w:t>
            </w:r>
            <w:r>
              <w:rPr>
                <w:rFonts w:hint="default" w:ascii="Times New Roman" w:hAnsi="Times New Roman" w:cs="Times New Roman"/>
                <w:caps w:val="0"/>
                <w:color w:val="FF0000"/>
                <w:spacing w:val="0"/>
                <w:position w:val="0"/>
                <w:highlight w:val="none"/>
                <w:lang w:eastAsia="zh-CN"/>
              </w:rPr>
              <w:sym w:font="Wingdings 2" w:char="00A3"/>
            </w:r>
          </w:p>
        </w:tc>
      </w:tr>
      <w:tr w14:paraId="085F2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59" w:hRule="atLeast"/>
        </w:trPr>
        <w:tc>
          <w:tcPr>
            <w:tcW w:w="1281" w:type="dxa"/>
            <w:vMerge w:val="continue"/>
            <w:tcBorders>
              <w:tl2br w:val="nil"/>
              <w:tr2bl w:val="nil"/>
            </w:tcBorders>
            <w:noWrap w:val="0"/>
            <w:vAlign w:val="center"/>
          </w:tcPr>
          <w:p w14:paraId="104DFB93">
            <w:pPr>
              <w:pStyle w:val="42"/>
              <w:bidi w:val="0"/>
              <w:rPr>
                <w:rFonts w:hint="default" w:ascii="Times New Roman" w:hAnsi="Times New Roman" w:cs="Times New Roman"/>
                <w:caps w:val="0"/>
                <w:color w:val="FF0000"/>
                <w:spacing w:val="0"/>
                <w:position w:val="0"/>
                <w:highlight w:val="none"/>
              </w:rPr>
            </w:pPr>
          </w:p>
        </w:tc>
        <w:tc>
          <w:tcPr>
            <w:tcW w:w="1583" w:type="dxa"/>
            <w:tcBorders>
              <w:tl2br w:val="nil"/>
              <w:tr2bl w:val="nil"/>
            </w:tcBorders>
            <w:noWrap w:val="0"/>
            <w:vAlign w:val="center"/>
          </w:tcPr>
          <w:p w14:paraId="65E49D78">
            <w:pPr>
              <w:pStyle w:val="42"/>
              <w:bidi w:val="0"/>
              <w:rPr>
                <w:rFonts w:hint="default" w:ascii="Times New Roman" w:hAnsi="Times New Roman" w:cs="Times New Roman"/>
                <w:caps w:val="0"/>
                <w:color w:val="FF0000"/>
                <w:spacing w:val="0"/>
                <w:position w:val="0"/>
                <w:highlight w:val="none"/>
                <w:lang w:val="en-US" w:eastAsia="zh-CN"/>
              </w:rPr>
            </w:pPr>
            <w:r>
              <w:rPr>
                <w:rFonts w:hint="default" w:ascii="Times New Roman" w:hAnsi="Times New Roman" w:cs="Times New Roman"/>
                <w:caps w:val="0"/>
                <w:color w:val="FF0000"/>
                <w:spacing w:val="0"/>
                <w:position w:val="0"/>
                <w:highlight w:val="none"/>
                <w:lang w:val="en-US" w:eastAsia="zh-CN"/>
              </w:rPr>
              <w:t>环境管理</w:t>
            </w:r>
          </w:p>
        </w:tc>
        <w:tc>
          <w:tcPr>
            <w:tcW w:w="6148" w:type="dxa"/>
            <w:tcBorders>
              <w:tl2br w:val="nil"/>
              <w:tr2bl w:val="nil"/>
            </w:tcBorders>
            <w:noWrap w:val="0"/>
            <w:vAlign w:val="center"/>
          </w:tcPr>
          <w:p w14:paraId="3D282BD3">
            <w:pPr>
              <w:pStyle w:val="42"/>
              <w:bidi w:val="0"/>
              <w:rPr>
                <w:rFonts w:hint="default" w:ascii="Times New Roman" w:hAnsi="Times New Roman" w:cs="Times New Roman"/>
                <w:caps w:val="0"/>
                <w:color w:val="FF0000"/>
                <w:spacing w:val="0"/>
                <w:position w:val="0"/>
                <w:highlight w:val="none"/>
              </w:rPr>
            </w:pPr>
            <w:r>
              <w:rPr>
                <w:rFonts w:hint="default" w:ascii="Times New Roman" w:hAnsi="Times New Roman" w:cs="Times New Roman"/>
                <w:caps w:val="0"/>
                <w:color w:val="FF0000"/>
                <w:spacing w:val="0"/>
                <w:position w:val="0"/>
                <w:highlight w:val="none"/>
                <w:lang w:val="en-US" w:eastAsia="zh-CN"/>
              </w:rPr>
              <w:t>环境监理</w:t>
            </w:r>
            <w:r>
              <w:rPr>
                <w:rFonts w:hint="default" w:ascii="Times New Roman" w:hAnsi="Times New Roman" w:cs="Times New Roman"/>
                <w:caps w:val="0"/>
                <w:color w:val="FF0000"/>
                <w:spacing w:val="0"/>
                <w:position w:val="0"/>
                <w:highlight w:val="none"/>
                <w:lang w:eastAsia="zh-CN"/>
              </w:rPr>
              <w:sym w:font="Wingdings 2" w:char="0052"/>
            </w:r>
            <w:r>
              <w:rPr>
                <w:rFonts w:hint="default" w:ascii="Times New Roman" w:hAnsi="Times New Roman" w:cs="Times New Roman"/>
                <w:caps w:val="0"/>
                <w:color w:val="FF0000"/>
                <w:spacing w:val="0"/>
                <w:position w:val="0"/>
                <w:highlight w:val="none"/>
              </w:rPr>
              <w:t>；</w:t>
            </w:r>
            <w:r>
              <w:rPr>
                <w:rFonts w:hint="default" w:ascii="Times New Roman" w:hAnsi="Times New Roman" w:cs="Times New Roman"/>
                <w:caps w:val="0"/>
                <w:color w:val="FF0000"/>
                <w:spacing w:val="0"/>
                <w:position w:val="0"/>
                <w:highlight w:val="none"/>
                <w:lang w:val="en-US" w:eastAsia="zh-CN"/>
              </w:rPr>
              <w:t>环境影响后评价</w:t>
            </w:r>
            <w:r>
              <w:rPr>
                <w:rFonts w:hint="default" w:ascii="Times New Roman" w:hAnsi="Times New Roman" w:cs="Times New Roman"/>
                <w:caps w:val="0"/>
                <w:color w:val="FF0000"/>
                <w:spacing w:val="0"/>
                <w:position w:val="0"/>
                <w:highlight w:val="none"/>
                <w:lang w:eastAsia="zh-CN"/>
              </w:rPr>
              <w:t>□</w:t>
            </w:r>
            <w:r>
              <w:rPr>
                <w:rFonts w:hint="default" w:ascii="Times New Roman" w:hAnsi="Times New Roman" w:cs="Times New Roman"/>
                <w:caps w:val="0"/>
                <w:color w:val="FF0000"/>
                <w:spacing w:val="0"/>
                <w:position w:val="0"/>
                <w:highlight w:val="none"/>
              </w:rPr>
              <w:t>；</w:t>
            </w:r>
            <w:r>
              <w:rPr>
                <w:rFonts w:hint="default" w:ascii="Times New Roman" w:hAnsi="Times New Roman" w:cs="Times New Roman"/>
                <w:caps w:val="0"/>
                <w:color w:val="FF0000"/>
                <w:spacing w:val="0"/>
                <w:position w:val="0"/>
                <w:highlight w:val="none"/>
                <w:lang w:val="en-US" w:eastAsia="zh-CN"/>
              </w:rPr>
              <w:t>其他</w:t>
            </w:r>
            <w:r>
              <w:rPr>
                <w:rFonts w:hint="default" w:ascii="Times New Roman" w:hAnsi="Times New Roman" w:cs="Times New Roman"/>
                <w:caps w:val="0"/>
                <w:color w:val="FF0000"/>
                <w:spacing w:val="0"/>
                <w:position w:val="0"/>
                <w:highlight w:val="none"/>
                <w:lang w:eastAsia="zh-CN"/>
              </w:rPr>
              <w:sym w:font="Wingdings 2" w:char="00A3"/>
            </w:r>
          </w:p>
        </w:tc>
      </w:tr>
      <w:tr w14:paraId="0C566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1" w:hRule="atLeast"/>
        </w:trPr>
        <w:tc>
          <w:tcPr>
            <w:tcW w:w="1281" w:type="dxa"/>
            <w:tcBorders>
              <w:tl2br w:val="nil"/>
              <w:tr2bl w:val="nil"/>
            </w:tcBorders>
            <w:noWrap w:val="0"/>
            <w:vAlign w:val="center"/>
          </w:tcPr>
          <w:p w14:paraId="18C13594">
            <w:pPr>
              <w:pStyle w:val="42"/>
              <w:bidi w:val="0"/>
              <w:rPr>
                <w:rFonts w:hint="default" w:ascii="Times New Roman" w:hAnsi="Times New Roman" w:cs="Times New Roman"/>
                <w:caps w:val="0"/>
                <w:color w:val="FF0000"/>
                <w:spacing w:val="0"/>
                <w:position w:val="0"/>
                <w:highlight w:val="none"/>
                <w:lang w:val="en-US" w:eastAsia="zh-CN"/>
              </w:rPr>
            </w:pPr>
            <w:r>
              <w:rPr>
                <w:rFonts w:hint="default" w:ascii="Times New Roman" w:hAnsi="Times New Roman" w:cs="Times New Roman"/>
                <w:caps w:val="0"/>
                <w:color w:val="FF0000"/>
                <w:spacing w:val="0"/>
                <w:position w:val="0"/>
                <w:highlight w:val="none"/>
                <w:lang w:val="en-US" w:eastAsia="zh-CN"/>
              </w:rPr>
              <w:t>评价结论</w:t>
            </w:r>
          </w:p>
        </w:tc>
        <w:tc>
          <w:tcPr>
            <w:tcW w:w="1583" w:type="dxa"/>
            <w:tcBorders>
              <w:tl2br w:val="nil"/>
              <w:tr2bl w:val="nil"/>
            </w:tcBorders>
            <w:noWrap w:val="0"/>
            <w:vAlign w:val="center"/>
          </w:tcPr>
          <w:p w14:paraId="1F94A3A5">
            <w:pPr>
              <w:pStyle w:val="42"/>
              <w:bidi w:val="0"/>
              <w:rPr>
                <w:rFonts w:hint="default" w:ascii="Times New Roman" w:hAnsi="Times New Roman" w:cs="Times New Roman"/>
                <w:caps w:val="0"/>
                <w:color w:val="FF0000"/>
                <w:spacing w:val="0"/>
                <w:position w:val="0"/>
                <w:highlight w:val="none"/>
                <w:lang w:val="en-US" w:eastAsia="zh-CN"/>
              </w:rPr>
            </w:pPr>
            <w:r>
              <w:rPr>
                <w:rFonts w:hint="default" w:ascii="Times New Roman" w:hAnsi="Times New Roman" w:cs="Times New Roman"/>
                <w:caps w:val="0"/>
                <w:color w:val="FF0000"/>
                <w:spacing w:val="0"/>
                <w:position w:val="0"/>
                <w:highlight w:val="none"/>
                <w:lang w:val="en-US" w:eastAsia="zh-CN"/>
              </w:rPr>
              <w:t>生态影响</w:t>
            </w:r>
          </w:p>
        </w:tc>
        <w:tc>
          <w:tcPr>
            <w:tcW w:w="6148" w:type="dxa"/>
            <w:tcBorders>
              <w:tl2br w:val="nil"/>
              <w:tr2bl w:val="nil"/>
            </w:tcBorders>
            <w:noWrap w:val="0"/>
            <w:vAlign w:val="center"/>
          </w:tcPr>
          <w:p w14:paraId="692A9635">
            <w:pPr>
              <w:pStyle w:val="42"/>
              <w:bidi w:val="0"/>
              <w:rPr>
                <w:rFonts w:hint="default" w:ascii="Times New Roman" w:hAnsi="Times New Roman" w:cs="Times New Roman"/>
                <w:caps w:val="0"/>
                <w:color w:val="FF0000"/>
                <w:spacing w:val="0"/>
                <w:position w:val="0"/>
                <w:highlight w:val="none"/>
              </w:rPr>
            </w:pPr>
            <w:r>
              <w:rPr>
                <w:rFonts w:hint="default" w:ascii="Times New Roman" w:hAnsi="Times New Roman" w:cs="Times New Roman"/>
                <w:caps w:val="0"/>
                <w:color w:val="FF0000"/>
                <w:spacing w:val="0"/>
                <w:position w:val="0"/>
                <w:highlight w:val="none"/>
                <w:lang w:val="en-US" w:eastAsia="zh-CN"/>
              </w:rPr>
              <w:t>可行</w:t>
            </w:r>
            <w:r>
              <w:rPr>
                <w:rFonts w:hint="default" w:ascii="Times New Roman" w:hAnsi="Times New Roman" w:cs="Times New Roman"/>
                <w:caps w:val="0"/>
                <w:color w:val="FF0000"/>
                <w:spacing w:val="0"/>
                <w:position w:val="0"/>
                <w:highlight w:val="none"/>
                <w:lang w:eastAsia="zh-CN"/>
              </w:rPr>
              <w:sym w:font="Wingdings 2" w:char="0052"/>
            </w:r>
            <w:r>
              <w:rPr>
                <w:rFonts w:hint="default" w:ascii="Times New Roman" w:hAnsi="Times New Roman" w:cs="Times New Roman"/>
                <w:caps w:val="0"/>
                <w:color w:val="FF0000"/>
                <w:spacing w:val="0"/>
                <w:position w:val="0"/>
                <w:highlight w:val="none"/>
              </w:rPr>
              <w:t>；</w:t>
            </w:r>
            <w:r>
              <w:rPr>
                <w:rFonts w:hint="default" w:ascii="Times New Roman" w:hAnsi="Times New Roman" w:cs="Times New Roman"/>
                <w:caps w:val="0"/>
                <w:color w:val="FF0000"/>
                <w:spacing w:val="0"/>
                <w:position w:val="0"/>
                <w:highlight w:val="none"/>
                <w:lang w:val="en-US" w:eastAsia="zh-CN"/>
              </w:rPr>
              <w:t>不可信</w:t>
            </w:r>
            <w:r>
              <w:rPr>
                <w:rFonts w:hint="default" w:ascii="Times New Roman" w:hAnsi="Times New Roman" w:cs="Times New Roman"/>
                <w:caps w:val="0"/>
                <w:color w:val="FF0000"/>
                <w:spacing w:val="0"/>
                <w:position w:val="0"/>
                <w:highlight w:val="none"/>
                <w:lang w:eastAsia="zh-CN"/>
              </w:rPr>
              <w:t>□</w:t>
            </w:r>
            <w:r>
              <w:rPr>
                <w:rFonts w:hint="default" w:ascii="Times New Roman" w:hAnsi="Times New Roman" w:cs="Times New Roman"/>
                <w:caps w:val="0"/>
                <w:color w:val="FF0000"/>
                <w:spacing w:val="0"/>
                <w:position w:val="0"/>
                <w:highlight w:val="none"/>
              </w:rPr>
              <w:t>；</w:t>
            </w:r>
          </w:p>
        </w:tc>
      </w:tr>
      <w:tr w14:paraId="3E047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59" w:hRule="atLeast"/>
        </w:trPr>
        <w:tc>
          <w:tcPr>
            <w:tcW w:w="9012" w:type="dxa"/>
            <w:gridSpan w:val="3"/>
            <w:tcBorders>
              <w:tl2br w:val="nil"/>
              <w:tr2bl w:val="nil"/>
            </w:tcBorders>
            <w:noWrap w:val="0"/>
            <w:vAlign w:val="center"/>
          </w:tcPr>
          <w:p w14:paraId="277291DE">
            <w:pPr>
              <w:pStyle w:val="42"/>
              <w:bidi w:val="0"/>
              <w:rPr>
                <w:rFonts w:hint="default" w:ascii="Times New Roman" w:hAnsi="Times New Roman" w:cs="Times New Roman"/>
                <w:caps w:val="0"/>
                <w:color w:val="FF0000"/>
                <w:spacing w:val="0"/>
                <w:position w:val="0"/>
                <w:highlight w:val="none"/>
                <w:lang w:eastAsia="zh-CN"/>
              </w:rPr>
            </w:pPr>
            <w:r>
              <w:rPr>
                <w:rFonts w:hint="default" w:ascii="Times New Roman" w:hAnsi="Times New Roman" w:cs="Times New Roman"/>
                <w:caps w:val="0"/>
                <w:color w:val="FF0000"/>
                <w:spacing w:val="0"/>
                <w:position w:val="0"/>
                <w:highlight w:val="none"/>
              </w:rPr>
              <w:t>注：“□”为勾选项，可√；“</w:t>
            </w:r>
            <w:r>
              <w:rPr>
                <w:rFonts w:hint="default" w:ascii="Times New Roman" w:hAnsi="Times New Roman" w:cs="Times New Roman"/>
                <w:caps w:val="0"/>
                <w:color w:val="FF0000"/>
                <w:spacing w:val="0"/>
                <w:position w:val="0"/>
                <w:highlight w:val="none"/>
                <w:lang w:eastAsia="zh-CN"/>
              </w:rPr>
              <w:t>(</w:t>
            </w:r>
            <w:r>
              <w:rPr>
                <w:rFonts w:hint="default" w:ascii="Times New Roman" w:hAnsi="Times New Roman" w:cs="Times New Roman"/>
                <w:caps w:val="0"/>
                <w:color w:val="FF0000"/>
                <w:spacing w:val="0"/>
                <w:position w:val="0"/>
                <w:highlight w:val="none"/>
              </w:rPr>
              <w:tab/>
            </w:r>
            <w:r>
              <w:rPr>
                <w:rFonts w:hint="default" w:ascii="Times New Roman" w:hAnsi="Times New Roman" w:cs="Times New Roman"/>
                <w:caps w:val="0"/>
                <w:color w:val="FF0000"/>
                <w:spacing w:val="0"/>
                <w:position w:val="0"/>
                <w:highlight w:val="none"/>
                <w:lang w:eastAsia="zh-CN"/>
              </w:rPr>
              <w:t>)</w:t>
            </w:r>
            <w:r>
              <w:rPr>
                <w:rFonts w:hint="default" w:ascii="Times New Roman" w:hAnsi="Times New Roman" w:cs="Times New Roman"/>
                <w:caps w:val="0"/>
                <w:color w:val="FF0000"/>
                <w:spacing w:val="0"/>
                <w:position w:val="0"/>
                <w:highlight w:val="none"/>
              </w:rPr>
              <w:t>”为内容填写项</w:t>
            </w:r>
            <w:r>
              <w:rPr>
                <w:rFonts w:hint="default" w:ascii="Times New Roman" w:hAnsi="Times New Roman" w:cs="Times New Roman"/>
                <w:caps w:val="0"/>
                <w:color w:val="FF0000"/>
                <w:spacing w:val="0"/>
                <w:position w:val="0"/>
                <w:highlight w:val="none"/>
                <w:lang w:eastAsia="zh-CN"/>
              </w:rPr>
              <w:t>。</w:t>
            </w:r>
          </w:p>
        </w:tc>
      </w:tr>
    </w:tbl>
    <w:p w14:paraId="615F621B">
      <w:pPr>
        <w:numPr>
          <w:ilvl w:val="0"/>
          <w:numId w:val="0"/>
        </w:numPr>
        <w:spacing w:beforeLines="0" w:afterLines="0"/>
        <w:ind w:firstLine="480" w:firstLineChars="200"/>
        <w:rPr>
          <w:rFonts w:hint="default" w:ascii="Times New Roman" w:hAnsi="Times New Roman" w:cs="Times New Roman"/>
          <w:color w:val="auto"/>
          <w:sz w:val="24"/>
          <w:szCs w:val="24"/>
          <w:highlight w:val="none"/>
        </w:rPr>
      </w:pPr>
    </w:p>
    <w:p w14:paraId="7C176AFC">
      <w:pPr>
        <w:pStyle w:val="4"/>
        <w:bidi w:val="0"/>
        <w:rPr>
          <w:rFonts w:hint="default"/>
        </w:rPr>
      </w:pPr>
      <w:bookmarkStart w:id="395" w:name="5.2.5.8矿山地质灾害影响分析"/>
      <w:bookmarkEnd w:id="395"/>
      <w:bookmarkStart w:id="396" w:name="5.2.6对封禁保护区的影响分析"/>
      <w:bookmarkEnd w:id="396"/>
      <w:r>
        <w:rPr>
          <w:rFonts w:hint="default"/>
        </w:rPr>
        <w:t>对封禁保护区的影响分析</w:t>
      </w:r>
    </w:p>
    <w:p w14:paraId="6F3C90C0">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新疆阜康市彩南国家沙化土地封禁保护区</w:t>
      </w:r>
      <w:r>
        <w:rPr>
          <w:rFonts w:hint="default" w:ascii="Times New Roman" w:hAnsi="Times New Roman" w:cs="Times New Roman"/>
          <w:color w:val="auto"/>
          <w:sz w:val="24"/>
          <w:szCs w:val="24"/>
          <w:highlight w:val="none"/>
          <w:lang w:val="en-US" w:eastAsia="zh-CN"/>
        </w:rPr>
        <w:t>对于区域生态环境保护具有重要作用</w:t>
      </w:r>
      <w:r>
        <w:rPr>
          <w:rFonts w:hint="default" w:ascii="Times New Roman" w:hAnsi="Times New Roman" w:cs="Times New Roman"/>
          <w:color w:val="auto"/>
          <w:sz w:val="24"/>
          <w:szCs w:val="24"/>
          <w:highlight w:val="none"/>
        </w:rPr>
        <w:t>，主要包括以下几点：</w:t>
      </w:r>
    </w:p>
    <w:p w14:paraId="74569F20">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遏制土地沙化：通过采取封禁保护措施，限制人类的过度开发和破坏活动，如禁止开垦、放牧、樵采等，减少对沙化土地的扰动，有助于遏制土地沙化的进一步扩展，使沙区土地得到休养生息，逐步恢复生态功能。</w:t>
      </w:r>
    </w:p>
    <w:p w14:paraId="76FAD11F">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促进植被恢复：为区内植物的自然恢复创造有利条件，随着时间的推移，植被种类和数量会逐渐增加，植被覆盖度得以提高。</w:t>
      </w:r>
    </w:p>
    <w:p w14:paraId="73674891">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维护生物多样性：稳定的生态环境为各种野生动植物提供了栖息和繁衍的场所，有利于保护当地的生物多样性。植被的恢复可以为动物提供食物来源和栖息地，吸引更多的野生动物在此栖息，形成相对完整的生态系统。</w:t>
      </w:r>
    </w:p>
    <w:p w14:paraId="6738F57D">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减少沙尘源：能够显著减少沙尘源区或路径区的起沙和起尘量，降低沙尘暴的频次和强度。即使是没有植被覆盖的沙地，在封禁保护后表面也会形成一种保护性“结皮”，将沙尘盖住，从而减少沙尘对周边地区的危害。</w:t>
      </w:r>
    </w:p>
    <w:p w14:paraId="4AB0B6C3">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保护基础设施：能使沙源不向外扩散、流沙不再蔓延，从而达到保护绿洲、基础设施不再遭受沙漠危害等目的，减少风沙对交通、通信、电力等基础设施的破坏，降低维护成本，保障基础设施的正常运行。</w:t>
      </w:r>
    </w:p>
    <w:p w14:paraId="1B881ECE">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本项目区西侧</w:t>
      </w:r>
      <w:r>
        <w:rPr>
          <w:rFonts w:hint="default" w:ascii="Times New Roman" w:hAnsi="Times New Roman" w:cs="Times New Roman"/>
          <w:color w:val="auto"/>
          <w:sz w:val="24"/>
          <w:szCs w:val="24"/>
          <w:highlight w:val="none"/>
          <w:lang w:val="en-US" w:eastAsia="zh-CN"/>
        </w:rPr>
        <w:t>约900</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lang w:val="en-US" w:eastAsia="zh-CN"/>
        </w:rPr>
        <w:t>为</w:t>
      </w:r>
      <w:r>
        <w:rPr>
          <w:rFonts w:hint="default" w:ascii="Times New Roman" w:hAnsi="Times New Roman" w:cs="Times New Roman"/>
          <w:color w:val="auto"/>
          <w:sz w:val="24"/>
          <w:szCs w:val="24"/>
          <w:highlight w:val="none"/>
        </w:rPr>
        <w:t>新疆阜康市彩南国家沙化土地封</w:t>
      </w:r>
      <w:r>
        <w:rPr>
          <w:rFonts w:hint="default" w:ascii="Times New Roman" w:hAnsi="Times New Roman" w:eastAsia="宋体" w:cs="Times New Roman"/>
          <w:color w:val="auto"/>
          <w:sz w:val="24"/>
          <w:szCs w:val="24"/>
          <w:highlight w:val="none"/>
        </w:rPr>
        <w:t>禁保护区，总面积达10042hm²</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本</w:t>
      </w:r>
      <w:r>
        <w:rPr>
          <w:rFonts w:hint="default" w:ascii="Times New Roman" w:hAnsi="Times New Roman" w:cs="Times New Roman"/>
          <w:color w:val="auto"/>
          <w:sz w:val="24"/>
          <w:szCs w:val="24"/>
          <w:highlight w:val="none"/>
        </w:rPr>
        <w:t>项目已采取避让措施，矿区不占用其保护区范围</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但物料运输时会依托阜彩路对外运输，将从矿区西侧穿行封禁保护区</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穿行在</w:t>
      </w:r>
      <w:r>
        <w:rPr>
          <w:rFonts w:hint="default" w:ascii="Times New Roman" w:hAnsi="Times New Roman" w:cs="Times New Roman"/>
          <w:color w:val="auto"/>
          <w:sz w:val="24"/>
          <w:szCs w:val="24"/>
          <w:highlight w:val="none"/>
        </w:rPr>
        <w:t>对封禁保护区的影响主要表现在粉尘的沉积影响以及</w:t>
      </w:r>
      <w:r>
        <w:rPr>
          <w:rFonts w:hint="default" w:ascii="Times New Roman" w:hAnsi="Times New Roman" w:cs="Times New Roman"/>
          <w:color w:val="auto"/>
          <w:sz w:val="24"/>
          <w:szCs w:val="24"/>
          <w:highlight w:val="none"/>
          <w:lang w:val="en-US" w:eastAsia="zh-CN"/>
        </w:rPr>
        <w:t>采矿</w:t>
      </w:r>
      <w:r>
        <w:rPr>
          <w:rFonts w:hint="default" w:ascii="Times New Roman" w:hAnsi="Times New Roman" w:cs="Times New Roman"/>
          <w:color w:val="auto"/>
          <w:sz w:val="24"/>
          <w:szCs w:val="24"/>
          <w:highlight w:val="none"/>
        </w:rPr>
        <w:t>活动对保护区生态环境的扰动影响。</w:t>
      </w:r>
    </w:p>
    <w:p w14:paraId="785AF1B1">
      <w:pPr>
        <w:pStyle w:val="5"/>
        <w:bidi w:val="0"/>
        <w:rPr>
          <w:rFonts w:hint="default"/>
        </w:rPr>
      </w:pPr>
      <w:bookmarkStart w:id="397" w:name="5.2.6.1粉尘的沉积影响"/>
      <w:bookmarkEnd w:id="397"/>
      <w:bookmarkStart w:id="398" w:name="_Toc29805"/>
      <w:r>
        <w:rPr>
          <w:rFonts w:hint="default"/>
        </w:rPr>
        <w:t>粉尘的沉积影响</w:t>
      </w:r>
      <w:bookmarkEnd w:id="398"/>
    </w:p>
    <w:p w14:paraId="4A430200">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项目开采过程中，会产生一定量的粉尘，粉尘经大气沉降会沉积于封禁保护区土壤表层，将对土壤的透气性等理化性质造成轻微不利影响，同时，粉尘的沉降对</w:t>
      </w:r>
      <w:r>
        <w:rPr>
          <w:rFonts w:hint="default" w:ascii="Times New Roman" w:hAnsi="Times New Roman" w:cs="Times New Roman"/>
          <w:color w:val="auto"/>
          <w:sz w:val="24"/>
          <w:szCs w:val="24"/>
          <w:highlight w:val="none"/>
          <w:lang w:val="en-US" w:eastAsia="zh-CN"/>
        </w:rPr>
        <w:t>封禁</w:t>
      </w:r>
      <w:r>
        <w:rPr>
          <w:rFonts w:hint="default" w:ascii="Times New Roman" w:hAnsi="Times New Roman" w:cs="Times New Roman"/>
          <w:color w:val="auto"/>
          <w:sz w:val="24"/>
          <w:szCs w:val="24"/>
          <w:highlight w:val="none"/>
        </w:rPr>
        <w:t>保护区内的植被也会造成一定程度的影响，</w:t>
      </w:r>
      <w:r>
        <w:rPr>
          <w:rFonts w:hint="default" w:ascii="Times New Roman" w:hAnsi="Times New Roman" w:cs="Times New Roman"/>
          <w:color w:val="auto"/>
          <w:sz w:val="24"/>
          <w:szCs w:val="24"/>
          <w:highlight w:val="none"/>
          <w:lang w:val="en-US" w:eastAsia="zh-CN"/>
        </w:rPr>
        <w:t>影响</w:t>
      </w:r>
      <w:r>
        <w:rPr>
          <w:rFonts w:hint="default" w:ascii="Times New Roman" w:hAnsi="Times New Roman" w:cs="Times New Roman"/>
          <w:color w:val="auto"/>
          <w:sz w:val="24"/>
          <w:szCs w:val="24"/>
          <w:highlight w:val="none"/>
        </w:rPr>
        <w:t>叶片的光合作用、气孔的导气度、呼吸、生长和细胞变化等，会加速植物的失绿、坏死、老化、干枯。</w:t>
      </w:r>
    </w:p>
    <w:p w14:paraId="0605C023">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为减轻本项目对西侧封禁保护区的粉尘沉积影响，项目采取了粉尘控制措施</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项目开采过程采用移动式雾炮机降尘、分区分片开采，避免同一时间段内的大面积的地表扰动；车辆运输</w:t>
      </w:r>
      <w:r>
        <w:rPr>
          <w:rFonts w:hint="default" w:ascii="Times New Roman" w:hAnsi="Times New Roman" w:cs="Times New Roman"/>
          <w:color w:val="auto"/>
          <w:sz w:val="24"/>
          <w:szCs w:val="24"/>
          <w:highlight w:val="none"/>
          <w:lang w:val="en-US" w:eastAsia="zh-CN"/>
        </w:rPr>
        <w:t>物料</w:t>
      </w:r>
      <w:r>
        <w:rPr>
          <w:rFonts w:hint="default" w:ascii="Times New Roman" w:hAnsi="Times New Roman" w:cs="Times New Roman"/>
          <w:color w:val="auto"/>
          <w:sz w:val="24"/>
          <w:szCs w:val="24"/>
          <w:highlight w:val="none"/>
        </w:rPr>
        <w:t>须采取苫布遮盖密闭运输，并严格控制运输车辆行驶速度及装载量，减少物料转运环节，缩短物料运输距离，且严禁在大风及暴雨天气进行物料采装、运输等措施，同时须定时对运输路面进行洒水降尘；堆场须定期洒水，上部采用</w:t>
      </w:r>
      <w:r>
        <w:rPr>
          <w:rFonts w:hint="default" w:ascii="Times New Roman" w:hAnsi="Times New Roman" w:cs="Times New Roman"/>
          <w:color w:val="auto"/>
          <w:sz w:val="24"/>
          <w:szCs w:val="24"/>
          <w:highlight w:val="none"/>
          <w:lang w:eastAsia="zh-CN"/>
        </w:rPr>
        <w:t>篷布</w:t>
      </w:r>
      <w:r>
        <w:rPr>
          <w:rFonts w:hint="default" w:ascii="Times New Roman" w:hAnsi="Times New Roman" w:cs="Times New Roman"/>
          <w:color w:val="auto"/>
          <w:sz w:val="24"/>
          <w:szCs w:val="24"/>
          <w:highlight w:val="none"/>
        </w:rPr>
        <w:t>遮盖；经采取上述措施后，能在源头有效减少粉尘的产生，从而能有效控制粉尘对封禁保护区的沉积影响；除此之外，本项目位于封禁保护区的下风向，大风天气对保护区的粉尘沉积影响也较小。</w:t>
      </w:r>
    </w:p>
    <w:p w14:paraId="02874D03">
      <w:pPr>
        <w:pStyle w:val="5"/>
        <w:bidi w:val="0"/>
        <w:rPr>
          <w:rFonts w:hint="default"/>
        </w:rPr>
      </w:pPr>
      <w:bookmarkStart w:id="399" w:name="5.2.6.2对封禁保护区的扰动影响"/>
      <w:bookmarkEnd w:id="399"/>
      <w:bookmarkStart w:id="400" w:name="_Toc29618"/>
      <w:r>
        <w:rPr>
          <w:rFonts w:hint="default"/>
        </w:rPr>
        <w:t>对封禁保护区的扰动影响</w:t>
      </w:r>
      <w:bookmarkEnd w:id="400"/>
    </w:p>
    <w:p w14:paraId="5D1F4746">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本项目在矿区内的采矿活动基本不会对封禁保护区产生直接的扰动影响，产生直接影响体现在</w:t>
      </w:r>
      <w:r>
        <w:rPr>
          <w:rFonts w:hint="default" w:ascii="Times New Roman" w:hAnsi="Times New Roman" w:cs="Times New Roman"/>
          <w:color w:val="auto"/>
          <w:highlight w:val="none"/>
        </w:rPr>
        <w:t>本项目在施工、运营期间，施工机械噪声、频繁的人员活动</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建筑材料的车辆运输，会频繁穿越封禁保护区，</w:t>
      </w:r>
      <w:r>
        <w:rPr>
          <w:rFonts w:hint="default" w:ascii="Times New Roman" w:hAnsi="Times New Roman" w:cs="Times New Roman"/>
          <w:color w:val="auto"/>
          <w:highlight w:val="none"/>
        </w:rPr>
        <w:t>均会对封禁保护区造成扰动</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主要体现在以下几个方面：①运输扬尘会对保护区内的植被产生影响，沉降至叶片影响植物的光合作用，以及生长。②运输产生的噪声对保护区内的栖息动物生境造成影响，影响其繁殖，从而导致其种群数量减少，</w:t>
      </w:r>
      <w:r>
        <w:rPr>
          <w:rFonts w:hint="default" w:ascii="Times New Roman" w:hAnsi="Times New Roman" w:cs="Times New Roman"/>
          <w:color w:val="auto"/>
          <w:highlight w:val="none"/>
        </w:rPr>
        <w:t>可能使得原来居住在保护区内的</w:t>
      </w:r>
      <w:r>
        <w:rPr>
          <w:rFonts w:hint="default" w:ascii="Times New Roman" w:hAnsi="Times New Roman" w:cs="Times New Roman"/>
          <w:color w:val="auto"/>
          <w:highlight w:val="none"/>
          <w:lang w:val="en-US" w:eastAsia="zh-CN"/>
        </w:rPr>
        <w:t>动物</w:t>
      </w:r>
      <w:r>
        <w:rPr>
          <w:rFonts w:hint="default" w:ascii="Times New Roman" w:hAnsi="Times New Roman" w:cs="Times New Roman"/>
          <w:color w:val="auto"/>
          <w:highlight w:val="none"/>
        </w:rPr>
        <w:t>迁移它处</w:t>
      </w:r>
      <w:r>
        <w:rPr>
          <w:rFonts w:hint="default" w:ascii="Times New Roman" w:hAnsi="Times New Roman" w:cs="Times New Roman"/>
          <w:color w:val="auto"/>
          <w:highlight w:val="none"/>
          <w:lang w:eastAsia="zh-CN"/>
        </w:rPr>
        <w:t>。</w:t>
      </w:r>
    </w:p>
    <w:p w14:paraId="69BEF898">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本次环评严禁矿区范围</w:t>
      </w:r>
      <w:r>
        <w:rPr>
          <w:rFonts w:hint="default" w:ascii="Times New Roman" w:hAnsi="Times New Roman" w:cs="Times New Roman"/>
          <w:color w:val="auto"/>
          <w:sz w:val="24"/>
          <w:szCs w:val="24"/>
          <w:highlight w:val="none"/>
          <w:lang w:val="en-US" w:eastAsia="zh-CN"/>
        </w:rPr>
        <w:t>外的</w:t>
      </w:r>
      <w:r>
        <w:rPr>
          <w:rFonts w:hint="default" w:ascii="Times New Roman" w:hAnsi="Times New Roman" w:cs="Times New Roman"/>
          <w:color w:val="auto"/>
          <w:sz w:val="24"/>
          <w:szCs w:val="24"/>
          <w:highlight w:val="none"/>
        </w:rPr>
        <w:t>区域开展施工、建设等活动，临时占地均布置在矿区东侧，运输车辆进出矿区时，禁止鸣笛，并控制车速，以减轻对保护区内动物的扰动；建设单位定期须对员工开展野生动物教育培训，严禁捕杀保护区内野生动物。除此之外，项目需采取防风固沙措施，运营期间，</w:t>
      </w:r>
      <w:r>
        <w:rPr>
          <w:rFonts w:hint="default" w:ascii="Times New Roman" w:hAnsi="Times New Roman" w:cs="Times New Roman"/>
          <w:color w:val="auto"/>
          <w:sz w:val="24"/>
          <w:szCs w:val="24"/>
          <w:highlight w:val="none"/>
          <w:lang w:val="en-US" w:eastAsia="zh-CN"/>
        </w:rPr>
        <w:t>有条件情况下可进行矿</w:t>
      </w:r>
      <w:r>
        <w:rPr>
          <w:rFonts w:hint="default" w:ascii="Times New Roman" w:hAnsi="Times New Roman" w:cs="Times New Roman"/>
          <w:color w:val="auto"/>
          <w:sz w:val="24"/>
          <w:szCs w:val="24"/>
          <w:highlight w:val="none"/>
        </w:rPr>
        <w:t>区绿化建设，扩大区域植被覆盖度，植被可以控制水土流失，防风沙，同时，还可以完善沙漠的水分条件，进而保护沙漠植被。</w:t>
      </w:r>
    </w:p>
    <w:p w14:paraId="372019F1">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综上，在采取措施后，一定程度上可以减轻对封禁保护区的扰动影响，满足其生态功能需求。</w:t>
      </w:r>
    </w:p>
    <w:p w14:paraId="7DCFCE0F">
      <w:pPr>
        <w:pStyle w:val="4"/>
        <w:bidi w:val="0"/>
        <w:rPr>
          <w:rFonts w:hint="default"/>
          <w:lang w:val="en-US" w:eastAsia="zh-CN"/>
        </w:rPr>
      </w:pPr>
      <w:bookmarkStart w:id="401" w:name="5.2.7环境风险影响分析"/>
      <w:bookmarkEnd w:id="401"/>
      <w:r>
        <w:rPr>
          <w:rFonts w:hint="eastAsia"/>
          <w:lang w:val="en-US" w:eastAsia="zh-CN"/>
        </w:rPr>
        <w:t>防沙治沙影响分析</w:t>
      </w:r>
    </w:p>
    <w:p w14:paraId="4662E64F">
      <w:pPr>
        <w:pStyle w:val="5"/>
        <w:bidi w:val="0"/>
        <w:rPr>
          <w:rFonts w:hint="default"/>
          <w:lang w:val="en-US" w:eastAsia="zh-CN"/>
        </w:rPr>
      </w:pPr>
      <w:r>
        <w:rPr>
          <w:rFonts w:hint="eastAsia"/>
          <w:lang w:val="en-US" w:eastAsia="zh-CN"/>
        </w:rPr>
        <w:t>对沙化土地的影响分析</w:t>
      </w:r>
    </w:p>
    <w:p w14:paraId="07524AAE">
      <w:pPr>
        <w:bidi w:val="0"/>
        <w:rPr>
          <w:rFonts w:hint="default" w:ascii="Times New Roman" w:hAnsi="Times New Roman" w:eastAsia="宋体" w:cs="Times New Roman"/>
          <w:b w:val="0"/>
          <w:bCs/>
          <w:color w:val="FF0000"/>
          <w:kern w:val="0"/>
          <w:szCs w:val="21"/>
          <w:highlight w:val="none"/>
          <w:lang w:val="en-US"/>
        </w:rPr>
      </w:pPr>
      <w:r>
        <w:rPr>
          <w:rFonts w:hint="eastAsia" w:ascii="Times New Roman" w:hAnsi="Times New Roman" w:eastAsia="宋体" w:cs="Times New Roman"/>
          <w:b w:val="0"/>
          <w:bCs/>
          <w:color w:val="FF0000"/>
          <w:kern w:val="0"/>
          <w:szCs w:val="21"/>
          <w:highlight w:val="none"/>
        </w:rPr>
        <w:t>根据《新疆第</w:t>
      </w:r>
      <w:r>
        <w:rPr>
          <w:rFonts w:hint="eastAsia" w:ascii="Times New Roman" w:hAnsi="Times New Roman" w:eastAsia="宋体" w:cs="Times New Roman"/>
          <w:b w:val="0"/>
          <w:bCs/>
          <w:color w:val="FF0000"/>
          <w:kern w:val="0"/>
          <w:szCs w:val="21"/>
          <w:highlight w:val="none"/>
          <w:lang w:val="en-US" w:eastAsia="zh-CN"/>
        </w:rPr>
        <w:t>六</w:t>
      </w:r>
      <w:r>
        <w:rPr>
          <w:rFonts w:hint="eastAsia" w:ascii="Times New Roman" w:hAnsi="Times New Roman" w:eastAsia="宋体" w:cs="Times New Roman"/>
          <w:b w:val="0"/>
          <w:bCs/>
          <w:color w:val="FF0000"/>
          <w:kern w:val="0"/>
          <w:szCs w:val="21"/>
          <w:highlight w:val="none"/>
        </w:rPr>
        <w:t>次沙化土地监测报告》</w:t>
      </w:r>
      <w:r>
        <w:rPr>
          <w:rFonts w:hint="eastAsia" w:ascii="Times New Roman" w:hAnsi="Times New Roman" w:eastAsia="宋体" w:cs="Times New Roman"/>
          <w:b w:val="0"/>
          <w:bCs/>
          <w:color w:val="FF0000"/>
          <w:kern w:val="0"/>
          <w:szCs w:val="21"/>
          <w:highlight w:val="none"/>
          <w:lang w:eastAsia="zh-CN"/>
        </w:rPr>
        <w:t>，</w:t>
      </w:r>
      <w:r>
        <w:rPr>
          <w:rFonts w:hint="eastAsia" w:ascii="Times New Roman" w:hAnsi="Times New Roman" w:eastAsia="宋体" w:cs="Times New Roman"/>
          <w:b w:val="0"/>
          <w:bCs/>
          <w:color w:val="FF0000"/>
          <w:kern w:val="0"/>
          <w:szCs w:val="21"/>
          <w:highlight w:val="none"/>
        </w:rPr>
        <w:t>项目所在区域为</w:t>
      </w:r>
      <w:r>
        <w:rPr>
          <w:rFonts w:hint="eastAsia" w:ascii="Times New Roman" w:hAnsi="Times New Roman" w:eastAsia="宋体" w:cs="Times New Roman"/>
          <w:b w:val="0"/>
          <w:bCs/>
          <w:color w:val="FF0000"/>
          <w:kern w:val="0"/>
          <w:szCs w:val="21"/>
          <w:highlight w:val="none"/>
          <w:lang w:val="en-US" w:eastAsia="zh-CN"/>
        </w:rPr>
        <w:t>流动沙地</w:t>
      </w:r>
      <w:r>
        <w:rPr>
          <w:rFonts w:hint="eastAsia" w:ascii="Times New Roman" w:hAnsi="Times New Roman" w:eastAsia="宋体" w:cs="Times New Roman"/>
          <w:b w:val="0"/>
          <w:bCs/>
          <w:color w:val="FF0000"/>
          <w:kern w:val="0"/>
          <w:szCs w:val="21"/>
          <w:highlight w:val="none"/>
        </w:rPr>
        <w:t>。</w:t>
      </w:r>
      <w:r>
        <w:rPr>
          <w:rFonts w:hint="eastAsia" w:ascii="Times New Roman" w:hAnsi="Times New Roman" w:eastAsia="宋体" w:cs="Times New Roman"/>
          <w:b w:val="0"/>
          <w:bCs/>
          <w:color w:val="FF0000"/>
          <w:kern w:val="0"/>
          <w:szCs w:val="21"/>
          <w:highlight w:val="none"/>
          <w:lang w:val="en-US" w:eastAsia="zh-CN"/>
        </w:rPr>
        <w:t>本项目为石英砂露天采矿，</w:t>
      </w:r>
      <w:r>
        <w:rPr>
          <w:rFonts w:hint="default" w:ascii="Times New Roman" w:hAnsi="Times New Roman" w:eastAsia="宋体" w:cs="Times New Roman"/>
          <w:b w:val="0"/>
          <w:bCs/>
          <w:color w:val="FF0000"/>
          <w:kern w:val="0"/>
          <w:szCs w:val="21"/>
          <w:highlight w:val="none"/>
          <w:lang w:val="en-US" w:eastAsia="zh-CN"/>
        </w:rPr>
        <w:t>项目建设对沙化环境的</w:t>
      </w:r>
      <w:r>
        <w:rPr>
          <w:rFonts w:hint="eastAsia" w:ascii="Times New Roman" w:hAnsi="Times New Roman" w:eastAsia="宋体" w:cs="Times New Roman"/>
          <w:b w:val="0"/>
          <w:bCs/>
          <w:color w:val="FF0000"/>
          <w:kern w:val="0"/>
          <w:szCs w:val="21"/>
          <w:highlight w:val="none"/>
          <w:lang w:val="en-US" w:eastAsia="zh-CN"/>
        </w:rPr>
        <w:t>具有</w:t>
      </w:r>
      <w:r>
        <w:rPr>
          <w:rFonts w:hint="default" w:ascii="Times New Roman" w:hAnsi="Times New Roman" w:eastAsia="宋体" w:cs="Times New Roman"/>
          <w:b w:val="0"/>
          <w:bCs/>
          <w:color w:val="FF0000"/>
          <w:kern w:val="0"/>
          <w:szCs w:val="21"/>
          <w:highlight w:val="none"/>
          <w:lang w:val="en-US" w:eastAsia="zh-CN"/>
        </w:rPr>
        <w:t>扰动影响</w:t>
      </w:r>
      <w:r>
        <w:rPr>
          <w:rFonts w:hint="eastAsia" w:ascii="Times New Roman" w:hAnsi="Times New Roman" w:eastAsia="宋体" w:cs="Times New Roman"/>
          <w:b w:val="0"/>
          <w:bCs/>
          <w:color w:val="FF0000"/>
          <w:kern w:val="0"/>
          <w:szCs w:val="21"/>
          <w:highlight w:val="none"/>
          <w:lang w:val="en-US" w:eastAsia="zh-CN"/>
        </w:rPr>
        <w:t>，主要表现在以下几点：</w:t>
      </w:r>
    </w:p>
    <w:p w14:paraId="5D6017E3">
      <w:pPr>
        <w:bidi w:val="0"/>
        <w:rPr>
          <w:rFonts w:hint="eastAsia" w:ascii="Times New Roman" w:hAnsi="Times New Roman" w:eastAsia="宋体" w:cs="Times New Roman"/>
          <w:b w:val="0"/>
          <w:bCs/>
          <w:color w:val="FF0000"/>
          <w:kern w:val="0"/>
          <w:szCs w:val="21"/>
          <w:highlight w:val="none"/>
        </w:rPr>
      </w:pPr>
      <w:r>
        <w:rPr>
          <w:rFonts w:hint="eastAsia" w:ascii="Times New Roman" w:hAnsi="Times New Roman" w:eastAsia="宋体" w:cs="Times New Roman"/>
          <w:b w:val="0"/>
          <w:bCs/>
          <w:color w:val="FF0000"/>
          <w:kern w:val="0"/>
          <w:szCs w:val="21"/>
          <w:highlight w:val="none"/>
          <w:lang w:eastAsia="zh-CN"/>
        </w:rPr>
        <w:t>（</w:t>
      </w:r>
      <w:r>
        <w:rPr>
          <w:rFonts w:hint="eastAsia" w:ascii="Times New Roman" w:hAnsi="Times New Roman" w:eastAsia="宋体" w:cs="Times New Roman"/>
          <w:b w:val="0"/>
          <w:bCs/>
          <w:color w:val="FF0000"/>
          <w:kern w:val="0"/>
          <w:szCs w:val="21"/>
          <w:highlight w:val="none"/>
          <w:lang w:val="en-US" w:eastAsia="zh-CN"/>
        </w:rPr>
        <w:t>1</w:t>
      </w:r>
      <w:r>
        <w:rPr>
          <w:rFonts w:hint="eastAsia" w:ascii="Times New Roman" w:hAnsi="Times New Roman" w:eastAsia="宋体" w:cs="Times New Roman"/>
          <w:b w:val="0"/>
          <w:bCs/>
          <w:color w:val="FF0000"/>
          <w:kern w:val="0"/>
          <w:szCs w:val="21"/>
          <w:highlight w:val="none"/>
          <w:lang w:eastAsia="zh-CN"/>
        </w:rPr>
        <w:t>）</w:t>
      </w:r>
      <w:r>
        <w:rPr>
          <w:rFonts w:hint="default" w:ascii="Times New Roman" w:hAnsi="Times New Roman" w:eastAsia="宋体" w:cs="Times New Roman"/>
          <w:b w:val="0"/>
          <w:bCs/>
          <w:color w:val="FF0000"/>
          <w:kern w:val="0"/>
          <w:szCs w:val="21"/>
          <w:highlight w:val="none"/>
        </w:rPr>
        <w:t>地表植被破坏与沙化加剧风险​</w:t>
      </w:r>
    </w:p>
    <w:p w14:paraId="0FA72017">
      <w:pPr>
        <w:bidi w:val="0"/>
        <w:rPr>
          <w:rFonts w:hint="default" w:ascii="Times New Roman" w:hAnsi="Times New Roman" w:eastAsia="宋体" w:cs="Times New Roman"/>
          <w:b w:val="0"/>
          <w:bCs/>
          <w:color w:val="FF0000"/>
          <w:kern w:val="0"/>
          <w:szCs w:val="21"/>
          <w:highlight w:val="none"/>
        </w:rPr>
      </w:pPr>
      <w:r>
        <w:rPr>
          <w:rFonts w:hint="default" w:ascii="Times New Roman" w:hAnsi="Times New Roman" w:eastAsia="宋体" w:cs="Times New Roman"/>
          <w:b w:val="0"/>
          <w:bCs/>
          <w:color w:val="FF0000"/>
          <w:kern w:val="0"/>
          <w:szCs w:val="21"/>
          <w:highlight w:val="none"/>
          <w:lang w:val="en-US" w:eastAsia="zh-CN"/>
        </w:rPr>
        <w:t>流动沙丘区域植被本就稀疏，以沙拐枣、梭梭等超旱生植物为主，其根系对固定流沙具有关键作用。采矿过程中，剥离表土、开挖采坑、建设运输道路及临时堆场等活动，将直接摧毁项目区内的原生植被，导致地表失去植被保护，沙粒流动性增强。因此项目可能使局部区域沙化程度</w:t>
      </w:r>
      <w:r>
        <w:rPr>
          <w:rFonts w:hint="eastAsia" w:ascii="Times New Roman" w:hAnsi="Times New Roman" w:eastAsia="宋体" w:cs="Times New Roman"/>
          <w:b w:val="0"/>
          <w:bCs/>
          <w:color w:val="FF0000"/>
          <w:kern w:val="0"/>
          <w:szCs w:val="21"/>
          <w:highlight w:val="none"/>
          <w:lang w:val="en-US" w:eastAsia="zh-CN"/>
        </w:rPr>
        <w:t>加剧</w:t>
      </w:r>
      <w:r>
        <w:rPr>
          <w:rFonts w:hint="default" w:ascii="Times New Roman" w:hAnsi="Times New Roman" w:eastAsia="宋体" w:cs="Times New Roman"/>
          <w:b w:val="0"/>
          <w:bCs/>
          <w:color w:val="FF0000"/>
          <w:kern w:val="0"/>
          <w:szCs w:val="21"/>
          <w:highlight w:val="none"/>
          <w:lang w:val="en-US" w:eastAsia="zh-CN"/>
        </w:rPr>
        <w:t>。​</w:t>
      </w:r>
    </w:p>
    <w:p w14:paraId="661FA63E">
      <w:pPr>
        <w:bidi w:val="0"/>
        <w:rPr>
          <w:rFonts w:hint="eastAsia" w:ascii="Times New Roman" w:hAnsi="Times New Roman" w:eastAsia="宋体" w:cs="Times New Roman"/>
          <w:b w:val="0"/>
          <w:bCs/>
          <w:color w:val="FF0000"/>
          <w:kern w:val="0"/>
          <w:szCs w:val="21"/>
          <w:highlight w:val="none"/>
        </w:rPr>
      </w:pPr>
      <w:r>
        <w:rPr>
          <w:rFonts w:hint="eastAsia" w:ascii="Times New Roman" w:hAnsi="Times New Roman" w:eastAsia="宋体" w:cs="Times New Roman"/>
          <w:b w:val="0"/>
          <w:bCs/>
          <w:color w:val="FF0000"/>
          <w:kern w:val="0"/>
          <w:szCs w:val="21"/>
          <w:highlight w:val="none"/>
          <w:lang w:eastAsia="zh-CN"/>
        </w:rPr>
        <w:t>（</w:t>
      </w:r>
      <w:r>
        <w:rPr>
          <w:rFonts w:hint="eastAsia" w:ascii="Times New Roman" w:hAnsi="Times New Roman" w:eastAsia="宋体" w:cs="Times New Roman"/>
          <w:b w:val="0"/>
          <w:bCs/>
          <w:color w:val="FF0000"/>
          <w:kern w:val="0"/>
          <w:szCs w:val="21"/>
          <w:highlight w:val="none"/>
          <w:lang w:val="en-US" w:eastAsia="zh-CN"/>
        </w:rPr>
        <w:t>2</w:t>
      </w:r>
      <w:r>
        <w:rPr>
          <w:rFonts w:hint="eastAsia" w:ascii="Times New Roman" w:hAnsi="Times New Roman" w:eastAsia="宋体" w:cs="Times New Roman"/>
          <w:b w:val="0"/>
          <w:bCs/>
          <w:color w:val="FF0000"/>
          <w:kern w:val="0"/>
          <w:szCs w:val="21"/>
          <w:highlight w:val="none"/>
          <w:lang w:eastAsia="zh-CN"/>
        </w:rPr>
        <w:t>）</w:t>
      </w:r>
      <w:r>
        <w:rPr>
          <w:rFonts w:hint="default" w:ascii="Times New Roman" w:hAnsi="Times New Roman" w:eastAsia="宋体" w:cs="Times New Roman"/>
          <w:b w:val="0"/>
          <w:bCs/>
          <w:color w:val="FF0000"/>
          <w:kern w:val="0"/>
          <w:szCs w:val="21"/>
          <w:highlight w:val="none"/>
        </w:rPr>
        <w:t>地表结皮破坏与风沙活动增强​</w:t>
      </w:r>
    </w:p>
    <w:p w14:paraId="50875FE6">
      <w:pPr>
        <w:bidi w:val="0"/>
        <w:rPr>
          <w:rFonts w:hint="default" w:ascii="Times New Roman" w:hAnsi="Times New Roman" w:eastAsia="宋体" w:cs="Times New Roman"/>
          <w:b w:val="0"/>
          <w:bCs/>
          <w:color w:val="FF0000"/>
          <w:kern w:val="0"/>
          <w:szCs w:val="21"/>
          <w:highlight w:val="none"/>
        </w:rPr>
      </w:pPr>
      <w:r>
        <w:rPr>
          <w:rFonts w:hint="default" w:ascii="Times New Roman" w:hAnsi="Times New Roman" w:eastAsia="宋体" w:cs="Times New Roman"/>
          <w:b w:val="0"/>
          <w:bCs/>
          <w:color w:val="FF0000"/>
          <w:kern w:val="0"/>
          <w:szCs w:val="21"/>
          <w:highlight w:val="none"/>
          <w:lang w:val="en-US" w:eastAsia="zh-CN"/>
        </w:rPr>
        <w:t>流动沙丘局部低凹处可能存在薄层物理结皮（由细沙黏结形成），虽抗蚀性弱，但可减少30%左右的风蚀量。采矿机械碾压、车辆行驶等活动会直接碾碎结皮，使下方松散沙粒暴露，在春季大风（≥8级）作用下易形成扬沙或沙尘暴。</w:t>
      </w:r>
    </w:p>
    <w:p w14:paraId="74AB4907">
      <w:pPr>
        <w:bidi w:val="0"/>
        <w:rPr>
          <w:rFonts w:hint="eastAsia" w:ascii="Times New Roman" w:hAnsi="Times New Roman" w:eastAsia="宋体" w:cs="Times New Roman"/>
          <w:b w:val="0"/>
          <w:bCs/>
          <w:color w:val="FF0000"/>
          <w:kern w:val="0"/>
          <w:szCs w:val="21"/>
          <w:highlight w:val="none"/>
        </w:rPr>
      </w:pPr>
      <w:r>
        <w:rPr>
          <w:rFonts w:hint="eastAsia" w:ascii="Times New Roman" w:hAnsi="Times New Roman" w:eastAsia="宋体" w:cs="Times New Roman"/>
          <w:b w:val="0"/>
          <w:bCs/>
          <w:color w:val="FF0000"/>
          <w:kern w:val="0"/>
          <w:szCs w:val="21"/>
          <w:highlight w:val="none"/>
          <w:lang w:eastAsia="zh-CN"/>
        </w:rPr>
        <w:t>（</w:t>
      </w:r>
      <w:r>
        <w:rPr>
          <w:rFonts w:hint="eastAsia" w:ascii="Times New Roman" w:hAnsi="Times New Roman" w:eastAsia="宋体" w:cs="Times New Roman"/>
          <w:b w:val="0"/>
          <w:bCs/>
          <w:color w:val="FF0000"/>
          <w:kern w:val="0"/>
          <w:szCs w:val="21"/>
          <w:highlight w:val="none"/>
          <w:lang w:val="en-US" w:eastAsia="zh-CN"/>
        </w:rPr>
        <w:t>3</w:t>
      </w:r>
      <w:r>
        <w:rPr>
          <w:rFonts w:hint="eastAsia" w:ascii="Times New Roman" w:hAnsi="Times New Roman" w:eastAsia="宋体" w:cs="Times New Roman"/>
          <w:b w:val="0"/>
          <w:bCs/>
          <w:color w:val="FF0000"/>
          <w:kern w:val="0"/>
          <w:szCs w:val="21"/>
          <w:highlight w:val="none"/>
          <w:lang w:eastAsia="zh-CN"/>
        </w:rPr>
        <w:t>）</w:t>
      </w:r>
      <w:r>
        <w:rPr>
          <w:rFonts w:hint="default" w:ascii="Times New Roman" w:hAnsi="Times New Roman" w:eastAsia="宋体" w:cs="Times New Roman"/>
          <w:b w:val="0"/>
          <w:bCs/>
          <w:color w:val="FF0000"/>
          <w:kern w:val="0"/>
          <w:szCs w:val="21"/>
          <w:highlight w:val="none"/>
        </w:rPr>
        <w:t>地形改变与沙丘移动路径偏移​</w:t>
      </w:r>
    </w:p>
    <w:p w14:paraId="532FE713">
      <w:pPr>
        <w:bidi w:val="0"/>
        <w:rPr>
          <w:rFonts w:hint="default" w:ascii="Times New Roman" w:hAnsi="Times New Roman" w:eastAsia="宋体" w:cs="Times New Roman"/>
          <w:b w:val="0"/>
          <w:bCs/>
          <w:color w:val="FF0000"/>
          <w:kern w:val="0"/>
          <w:szCs w:val="21"/>
          <w:highlight w:val="none"/>
        </w:rPr>
      </w:pPr>
      <w:r>
        <w:rPr>
          <w:rFonts w:hint="default" w:ascii="Times New Roman" w:hAnsi="Times New Roman" w:eastAsia="宋体" w:cs="Times New Roman"/>
          <w:b w:val="0"/>
          <w:bCs/>
          <w:color w:val="FF0000"/>
          <w:kern w:val="0"/>
          <w:szCs w:val="21"/>
          <w:highlight w:val="none"/>
          <w:lang w:val="en-US" w:eastAsia="zh-CN"/>
        </w:rPr>
        <w:t>采坑开挖和弃渣堆会改变局部地形，形成“人工障碍物”。流动沙丘原本沿主风向（如西北风）匀速移动，受地形扰动后，可能在采坑背风侧形成涡流，导致沙丘堆积速度加快，而弃渣堆迎风侧则可能因风速降低，使流沙提前沉积，改变原有沙粒运移路径，对矿区周边生态敏感区构成威胁。</w:t>
      </w:r>
    </w:p>
    <w:p w14:paraId="27DD2FBD">
      <w:pPr>
        <w:pStyle w:val="5"/>
        <w:bidi w:val="0"/>
        <w:rPr>
          <w:rFonts w:hint="default"/>
          <w:lang w:val="en-US" w:eastAsia="zh-CN"/>
        </w:rPr>
      </w:pPr>
      <w:r>
        <w:rPr>
          <w:rFonts w:hint="eastAsia"/>
          <w:lang w:val="en-US" w:eastAsia="zh-CN"/>
        </w:rPr>
        <w:t>防沙治沙技术方案</w:t>
      </w:r>
    </w:p>
    <w:p w14:paraId="0E605E71">
      <w:pPr>
        <w:bidi w:val="0"/>
        <w:rPr>
          <w:rFonts w:hint="default" w:ascii="Times New Roman" w:hAnsi="Times New Roman" w:eastAsia="宋体" w:cs="Times New Roman"/>
          <w:color w:val="FF0000"/>
          <w:highlight w:val="none"/>
          <w:lang w:val="en-US" w:eastAsia="zh-CN"/>
        </w:rPr>
      </w:pPr>
      <w:r>
        <w:rPr>
          <w:rFonts w:hint="eastAsia" w:ascii="Times New Roman" w:hAnsi="Times New Roman" w:eastAsia="宋体" w:cs="Times New Roman"/>
          <w:color w:val="FF0000"/>
          <w:highlight w:val="none"/>
          <w:lang w:val="en-US" w:eastAsia="zh-CN"/>
        </w:rPr>
        <w:t>（1）执行的技术标准</w:t>
      </w:r>
    </w:p>
    <w:p w14:paraId="7835CF81">
      <w:pPr>
        <w:bidi w:val="0"/>
        <w:rPr>
          <w:rFonts w:hint="default" w:ascii="Times New Roman" w:hAnsi="Times New Roman" w:eastAsia="宋体" w:cs="Times New Roman"/>
          <w:color w:val="FF0000"/>
          <w:highlight w:val="none"/>
        </w:rPr>
      </w:pPr>
      <w:r>
        <w:rPr>
          <w:rFonts w:ascii="宋体" w:hAnsi="宋体" w:eastAsia="宋体" w:cs="宋体"/>
          <w:sz w:val="24"/>
          <w:szCs w:val="24"/>
        </w:rPr>
        <w:t xml:space="preserve"> </w:t>
      </w:r>
      <w:r>
        <w:rPr>
          <w:rFonts w:hint="default" w:ascii="Times New Roman" w:hAnsi="Times New Roman" w:eastAsia="宋体" w:cs="Times New Roman"/>
          <w:color w:val="FF0000"/>
          <w:highlight w:val="none"/>
        </w:rPr>
        <w:t>①《中华人民共和国防沙治沙法》（2018 年 11 月 14 日修订）；</w:t>
      </w:r>
    </w:p>
    <w:p w14:paraId="70D03A00">
      <w:pPr>
        <w:bidi w:val="0"/>
        <w:rPr>
          <w:rFonts w:hint="default" w:ascii="Times New Roman" w:hAnsi="Times New Roman" w:eastAsia="宋体" w:cs="Times New Roman"/>
          <w:color w:val="FF0000"/>
          <w:highlight w:val="none"/>
        </w:rPr>
      </w:pPr>
      <w:r>
        <w:rPr>
          <w:rFonts w:hint="default" w:ascii="Times New Roman" w:hAnsi="Times New Roman" w:eastAsia="宋体" w:cs="Times New Roman"/>
          <w:color w:val="FF0000"/>
          <w:highlight w:val="none"/>
        </w:rPr>
        <w:t xml:space="preserve"> ②《关于做好沙区开发建设项目环评中防沙治沙内容评价工作的意见》（林 沙发﹝2013﹞136 号）；</w:t>
      </w:r>
    </w:p>
    <w:p w14:paraId="6F2C94E5">
      <w:pPr>
        <w:bidi w:val="0"/>
        <w:rPr>
          <w:rFonts w:hint="default" w:ascii="Times New Roman" w:hAnsi="Times New Roman" w:eastAsia="宋体" w:cs="Times New Roman"/>
          <w:color w:val="FF0000"/>
          <w:highlight w:val="none"/>
        </w:rPr>
      </w:pPr>
      <w:r>
        <w:rPr>
          <w:rFonts w:hint="default" w:ascii="Times New Roman" w:hAnsi="Times New Roman" w:eastAsia="宋体" w:cs="Times New Roman"/>
          <w:color w:val="FF0000"/>
          <w:highlight w:val="none"/>
        </w:rPr>
        <w:t xml:space="preserve"> ③《关于加强沙区建设项目环境影响评价工作的通知》（新环环评发﹝2020 ﹞ 138 号）；</w:t>
      </w:r>
    </w:p>
    <w:p w14:paraId="1E235BD7">
      <w:pPr>
        <w:bidi w:val="0"/>
        <w:rPr>
          <w:rFonts w:hint="default" w:ascii="Times New Roman" w:hAnsi="Times New Roman" w:eastAsia="宋体" w:cs="Times New Roman"/>
          <w:color w:val="FF0000"/>
          <w:highlight w:val="none"/>
        </w:rPr>
      </w:pPr>
      <w:r>
        <w:rPr>
          <w:rFonts w:hint="default" w:ascii="Times New Roman" w:hAnsi="Times New Roman" w:eastAsia="宋体" w:cs="Times New Roman"/>
          <w:color w:val="FF0000"/>
          <w:highlight w:val="none"/>
        </w:rPr>
        <w:t xml:space="preserve"> ④《防沙治沙技术规范》（GB/T21141-2007）； </w:t>
      </w:r>
    </w:p>
    <w:p w14:paraId="1FCA44CA">
      <w:pPr>
        <w:bidi w:val="0"/>
        <w:rPr>
          <w:rFonts w:hint="default" w:ascii="Times New Roman" w:hAnsi="Times New Roman" w:eastAsia="宋体" w:cs="Times New Roman"/>
          <w:color w:val="FF0000"/>
          <w:highlight w:val="none"/>
        </w:rPr>
      </w:pPr>
      <w:r>
        <w:rPr>
          <w:rFonts w:hint="eastAsia" w:ascii="Times New Roman" w:hAnsi="Times New Roman" w:eastAsia="宋体" w:cs="Times New Roman"/>
          <w:color w:val="FF0000"/>
          <w:highlight w:val="none"/>
          <w:lang w:val="en-US" w:eastAsia="zh-CN"/>
        </w:rPr>
        <w:t>（2）</w:t>
      </w:r>
      <w:r>
        <w:rPr>
          <w:rFonts w:hint="default" w:ascii="Times New Roman" w:hAnsi="Times New Roman" w:eastAsia="宋体" w:cs="Times New Roman"/>
          <w:color w:val="FF0000"/>
          <w:highlight w:val="none"/>
        </w:rPr>
        <w:t xml:space="preserve">制定方案的原则与目标 </w:t>
      </w:r>
    </w:p>
    <w:p w14:paraId="511A26F7">
      <w:pPr>
        <w:bidi w:val="0"/>
        <w:rPr>
          <w:rFonts w:hint="default" w:ascii="Times New Roman" w:hAnsi="Times New Roman" w:eastAsia="宋体" w:cs="Times New Roman"/>
          <w:color w:val="FF0000"/>
          <w:highlight w:val="none"/>
        </w:rPr>
      </w:pPr>
      <w:r>
        <w:rPr>
          <w:rFonts w:hint="default" w:ascii="Times New Roman" w:hAnsi="Times New Roman" w:eastAsia="宋体" w:cs="Times New Roman"/>
          <w:color w:val="FF0000"/>
          <w:highlight w:val="none"/>
        </w:rPr>
        <w:t>①制定方案的原则，科学性、前瞻性与可行性相结合；</w:t>
      </w:r>
    </w:p>
    <w:p w14:paraId="47DED206">
      <w:pPr>
        <w:bidi w:val="0"/>
        <w:rPr>
          <w:rFonts w:hint="default" w:ascii="Times New Roman" w:hAnsi="Times New Roman" w:eastAsia="宋体" w:cs="Times New Roman"/>
          <w:color w:val="FF0000"/>
          <w:highlight w:val="none"/>
        </w:rPr>
      </w:pPr>
      <w:r>
        <w:rPr>
          <w:rFonts w:hint="default" w:ascii="Times New Roman" w:hAnsi="Times New Roman" w:eastAsia="宋体" w:cs="Times New Roman"/>
          <w:color w:val="FF0000"/>
          <w:highlight w:val="none"/>
        </w:rPr>
        <w:t xml:space="preserve"> ②定性目标与定量指标相结合；</w:t>
      </w:r>
    </w:p>
    <w:p w14:paraId="5EA4A3E4">
      <w:pPr>
        <w:bidi w:val="0"/>
        <w:rPr>
          <w:rFonts w:hint="default" w:ascii="Times New Roman" w:hAnsi="Times New Roman" w:eastAsia="宋体" w:cs="Times New Roman"/>
          <w:color w:val="FF0000"/>
          <w:highlight w:val="none"/>
        </w:rPr>
      </w:pPr>
      <w:r>
        <w:rPr>
          <w:rFonts w:hint="default" w:ascii="Times New Roman" w:hAnsi="Times New Roman" w:eastAsia="宋体" w:cs="Times New Roman"/>
          <w:color w:val="FF0000"/>
          <w:highlight w:val="none"/>
        </w:rPr>
        <w:t xml:space="preserve"> ③注重生态效益与关注民生、发展产业相结合；</w:t>
      </w:r>
    </w:p>
    <w:p w14:paraId="7BF13779">
      <w:pPr>
        <w:bidi w:val="0"/>
        <w:rPr>
          <w:rFonts w:hint="default" w:ascii="Times New Roman" w:hAnsi="Times New Roman" w:eastAsia="宋体" w:cs="Times New Roman"/>
          <w:color w:val="FF0000"/>
          <w:highlight w:val="none"/>
        </w:rPr>
      </w:pPr>
      <w:r>
        <w:rPr>
          <w:rFonts w:hint="default" w:ascii="Times New Roman" w:hAnsi="Times New Roman" w:eastAsia="宋体" w:cs="Times New Roman"/>
          <w:color w:val="FF0000"/>
          <w:highlight w:val="none"/>
        </w:rPr>
        <w:t xml:space="preserve"> ④节约用水和合理用水相结合；</w:t>
      </w:r>
    </w:p>
    <w:p w14:paraId="5C2EF567">
      <w:pPr>
        <w:bidi w:val="0"/>
        <w:rPr>
          <w:rFonts w:hint="default" w:ascii="Times New Roman" w:hAnsi="Times New Roman" w:eastAsia="宋体" w:cs="Times New Roman"/>
          <w:color w:val="FF0000"/>
          <w:highlight w:val="none"/>
        </w:rPr>
      </w:pPr>
      <w:r>
        <w:rPr>
          <w:rFonts w:hint="default" w:ascii="Times New Roman" w:hAnsi="Times New Roman" w:eastAsia="宋体" w:cs="Times New Roman"/>
          <w:color w:val="FF0000"/>
          <w:highlight w:val="none"/>
        </w:rPr>
        <w:t>⑤坚持因地制宜的原则。</w:t>
      </w:r>
    </w:p>
    <w:p w14:paraId="235B909C">
      <w:pPr>
        <w:bidi w:val="0"/>
        <w:rPr>
          <w:rFonts w:hint="default" w:ascii="Times New Roman" w:hAnsi="Times New Roman" w:eastAsia="宋体" w:cs="Times New Roman"/>
          <w:color w:val="FF0000"/>
          <w:highlight w:val="none"/>
        </w:rPr>
      </w:pPr>
      <w:r>
        <w:rPr>
          <w:rFonts w:hint="default" w:ascii="Times New Roman" w:hAnsi="Times New Roman" w:eastAsia="宋体" w:cs="Times New Roman"/>
          <w:color w:val="FF0000"/>
          <w:highlight w:val="none"/>
        </w:rPr>
        <w:t>⑥制定方案的目标：通过工程建设，维持现有区域植被覆盖度，沙化土地扩展趋势得到遏制，区域生态环境显著改善。</w:t>
      </w:r>
    </w:p>
    <w:p w14:paraId="7B7D0E5D">
      <w:pPr>
        <w:numPr>
          <w:ilvl w:val="0"/>
          <w:numId w:val="40"/>
        </w:numPr>
        <w:bidi w:val="0"/>
        <w:ind w:left="0" w:leftChars="0" w:firstLine="480" w:firstLineChars="200"/>
        <w:rPr>
          <w:rFonts w:hint="default" w:ascii="Times New Roman" w:hAnsi="Times New Roman" w:eastAsia="宋体" w:cs="Times New Roman"/>
          <w:color w:val="FF0000"/>
          <w:highlight w:val="none"/>
        </w:rPr>
      </w:pPr>
      <w:r>
        <w:rPr>
          <w:rFonts w:hint="default" w:ascii="Times New Roman" w:hAnsi="Times New Roman" w:eastAsia="宋体" w:cs="Times New Roman"/>
          <w:color w:val="FF0000"/>
          <w:highlight w:val="none"/>
        </w:rPr>
        <w:t>工程措施</w:t>
      </w:r>
    </w:p>
    <w:p w14:paraId="696B6ACB">
      <w:pPr>
        <w:numPr>
          <w:ilvl w:val="0"/>
          <w:numId w:val="0"/>
        </w:numPr>
        <w:bidi w:val="0"/>
        <w:ind w:leftChars="200"/>
        <w:rPr>
          <w:rFonts w:hint="eastAsia" w:ascii="Times New Roman" w:hAnsi="Times New Roman" w:eastAsia="宋体" w:cs="Times New Roman"/>
          <w:color w:val="FF0000"/>
          <w:highlight w:val="none"/>
          <w:lang w:val="en-US" w:eastAsia="zh-CN"/>
        </w:rPr>
      </w:pPr>
      <w:r>
        <w:rPr>
          <w:rFonts w:hint="default" w:ascii="Times New Roman" w:hAnsi="Times New Roman" w:eastAsia="宋体" w:cs="Times New Roman"/>
          <w:color w:val="FF0000"/>
          <w:highlight w:val="none"/>
          <w:lang w:val="en-US" w:eastAsia="zh-CN"/>
        </w:rPr>
        <w:t>①在采</w:t>
      </w:r>
      <w:r>
        <w:rPr>
          <w:rFonts w:hint="eastAsia" w:ascii="Times New Roman" w:hAnsi="Times New Roman" w:eastAsia="宋体" w:cs="Times New Roman"/>
          <w:color w:val="FF0000"/>
          <w:highlight w:val="none"/>
          <w:lang w:val="en-US" w:eastAsia="zh-CN"/>
        </w:rPr>
        <w:t>矿区及周边建设排水沟，确保雨水能够及时排出，避免积水导致沙层湿陷和植被死亡。</w:t>
      </w:r>
    </w:p>
    <w:p w14:paraId="3B133FB9">
      <w:pPr>
        <w:bidi w:val="0"/>
        <w:rPr>
          <w:rFonts w:hint="default" w:ascii="Times New Roman" w:hAnsi="Times New Roman" w:eastAsia="宋体" w:cs="Times New Roman"/>
          <w:color w:val="FF0000"/>
          <w:highlight w:val="none"/>
        </w:rPr>
      </w:pPr>
      <w:r>
        <w:rPr>
          <w:rFonts w:hint="default" w:ascii="Times New Roman" w:hAnsi="Times New Roman" w:eastAsia="宋体" w:cs="Times New Roman"/>
          <w:color w:val="FF0000"/>
          <w:highlight w:val="none"/>
        </w:rPr>
        <w:t>②对采矿作业形成的裸露沙面，采用砾石</w:t>
      </w:r>
      <w:r>
        <w:rPr>
          <w:rFonts w:hint="eastAsia" w:ascii="Times New Roman" w:hAnsi="Times New Roman" w:eastAsia="宋体" w:cs="Times New Roman"/>
          <w:color w:val="FF0000"/>
          <w:highlight w:val="none"/>
          <w:lang w:val="en-US" w:eastAsia="zh-CN"/>
        </w:rPr>
        <w:t>或排土场废料</w:t>
      </w:r>
      <w:r>
        <w:rPr>
          <w:rFonts w:hint="default" w:ascii="Times New Roman" w:hAnsi="Times New Roman" w:eastAsia="宋体" w:cs="Times New Roman"/>
          <w:color w:val="FF0000"/>
          <w:highlight w:val="none"/>
        </w:rPr>
        <w:t>进行覆盖，减少沙粒被风吹扬的机会。</w:t>
      </w:r>
    </w:p>
    <w:p w14:paraId="4B3B6404">
      <w:pPr>
        <w:bidi w:val="0"/>
        <w:rPr>
          <w:rFonts w:hint="eastAsia" w:ascii="Times New Roman" w:hAnsi="Times New Roman" w:eastAsia="宋体" w:cs="Times New Roman"/>
          <w:color w:val="FF0000"/>
          <w:highlight w:val="none"/>
          <w:lang w:val="en-US" w:eastAsia="zh-CN"/>
        </w:rPr>
      </w:pPr>
      <w:r>
        <w:rPr>
          <w:rFonts w:hint="default" w:ascii="Times New Roman" w:hAnsi="Times New Roman" w:eastAsia="宋体" w:cs="Times New Roman"/>
          <w:color w:val="FF0000"/>
          <w:highlight w:val="none"/>
        </w:rPr>
        <w:t>③在采矿区边界外侧设置防风沙障，以有效阻挡风沙入侵采矿区。</w:t>
      </w:r>
    </w:p>
    <w:p w14:paraId="29E64EFA">
      <w:pPr>
        <w:bidi w:val="0"/>
        <w:rPr>
          <w:rFonts w:hint="default" w:ascii="Times New Roman" w:hAnsi="Times New Roman" w:eastAsia="宋体" w:cs="Times New Roman"/>
          <w:color w:val="FF0000"/>
          <w:highlight w:val="none"/>
        </w:rPr>
      </w:pPr>
      <w:r>
        <w:rPr>
          <w:rFonts w:hint="eastAsia" w:ascii="Times New Roman" w:hAnsi="Times New Roman" w:eastAsia="宋体" w:cs="Times New Roman"/>
          <w:color w:val="FF0000"/>
          <w:highlight w:val="none"/>
          <w:lang w:eastAsia="zh-CN"/>
        </w:rPr>
        <w:t>（</w:t>
      </w:r>
      <w:r>
        <w:rPr>
          <w:rFonts w:hint="eastAsia" w:ascii="Times New Roman" w:hAnsi="Times New Roman" w:eastAsia="宋体" w:cs="Times New Roman"/>
          <w:color w:val="FF0000"/>
          <w:highlight w:val="none"/>
          <w:lang w:val="en-US" w:eastAsia="zh-CN"/>
        </w:rPr>
        <w:t>4</w:t>
      </w:r>
      <w:r>
        <w:rPr>
          <w:rFonts w:hint="eastAsia" w:ascii="Times New Roman" w:hAnsi="Times New Roman" w:eastAsia="宋体" w:cs="Times New Roman"/>
          <w:color w:val="FF0000"/>
          <w:highlight w:val="none"/>
          <w:lang w:eastAsia="zh-CN"/>
        </w:rPr>
        <w:t>）</w:t>
      </w:r>
      <w:r>
        <w:rPr>
          <w:rFonts w:hint="default" w:ascii="Times New Roman" w:hAnsi="Times New Roman" w:eastAsia="宋体" w:cs="Times New Roman"/>
          <w:color w:val="FF0000"/>
          <w:highlight w:val="none"/>
        </w:rPr>
        <w:t>植物措施</w:t>
      </w:r>
    </w:p>
    <w:p w14:paraId="2900DF8A">
      <w:pPr>
        <w:bidi w:val="0"/>
        <w:rPr>
          <w:rFonts w:hint="default" w:ascii="Times New Roman" w:hAnsi="Times New Roman" w:eastAsia="宋体" w:cs="Times New Roman"/>
          <w:color w:val="FF0000"/>
          <w:highlight w:val="none"/>
        </w:rPr>
      </w:pPr>
      <w:r>
        <w:rPr>
          <w:rFonts w:hint="default" w:ascii="Times New Roman" w:hAnsi="Times New Roman" w:eastAsia="宋体" w:cs="Times New Roman"/>
          <w:color w:val="FF0000"/>
          <w:highlight w:val="none"/>
        </w:rPr>
        <w:t>①采取分层开挖、分层回填措施，避免破坏区域土壤肥力。</w:t>
      </w:r>
    </w:p>
    <w:p w14:paraId="3AF275BB">
      <w:pPr>
        <w:bidi w:val="0"/>
        <w:rPr>
          <w:rFonts w:hint="default" w:ascii="Times New Roman" w:hAnsi="Times New Roman" w:eastAsia="宋体" w:cs="Times New Roman"/>
          <w:color w:val="FF0000"/>
          <w:highlight w:val="none"/>
        </w:rPr>
      </w:pPr>
      <w:r>
        <w:rPr>
          <w:rFonts w:hint="default" w:ascii="Times New Roman" w:hAnsi="Times New Roman" w:eastAsia="宋体" w:cs="Times New Roman"/>
          <w:color w:val="FF0000"/>
          <w:highlight w:val="none"/>
        </w:rPr>
        <w:t>②施工过程中，</w:t>
      </w:r>
      <w:r>
        <w:rPr>
          <w:rFonts w:hint="eastAsia" w:ascii="Times New Roman" w:hAnsi="Times New Roman" w:eastAsia="宋体" w:cs="Times New Roman"/>
          <w:color w:val="FF0000"/>
          <w:highlight w:val="none"/>
          <w:lang w:val="en-US" w:eastAsia="zh-CN"/>
        </w:rPr>
        <w:t>施工材料的堆放等，规定施工便道的宽度，不肆意踩踏植被，尽量避开</w:t>
      </w:r>
      <w:r>
        <w:rPr>
          <w:rFonts w:hint="default" w:ascii="Times New Roman" w:hAnsi="Times New Roman" w:eastAsia="宋体" w:cs="Times New Roman"/>
          <w:color w:val="FF0000"/>
          <w:highlight w:val="none"/>
        </w:rPr>
        <w:t>沙地中植被较丰富的区域，减少对沙生植被的破坏；</w:t>
      </w:r>
    </w:p>
    <w:p w14:paraId="732B791A">
      <w:pPr>
        <w:bidi w:val="0"/>
        <w:rPr>
          <w:rFonts w:hint="eastAsia" w:ascii="Times New Roman" w:hAnsi="Times New Roman" w:eastAsia="宋体" w:cs="Times New Roman"/>
          <w:color w:val="FF0000"/>
          <w:highlight w:val="none"/>
          <w:lang w:eastAsia="zh-CN"/>
        </w:rPr>
      </w:pPr>
      <w:r>
        <w:rPr>
          <w:rFonts w:hint="default" w:ascii="Times New Roman" w:hAnsi="Times New Roman" w:eastAsia="宋体" w:cs="Times New Roman"/>
          <w:color w:val="FF0000"/>
          <w:highlight w:val="none"/>
        </w:rPr>
        <w:t>③施工结束后，因地适宜的采取撒播草籽等措施，恢复原地貌</w:t>
      </w:r>
      <w:r>
        <w:rPr>
          <w:rFonts w:hint="eastAsia" w:ascii="Times New Roman" w:hAnsi="Times New Roman" w:eastAsia="宋体" w:cs="Times New Roman"/>
          <w:color w:val="FF0000"/>
          <w:highlight w:val="none"/>
          <w:lang w:eastAsia="zh-CN"/>
        </w:rPr>
        <w:t>。</w:t>
      </w:r>
    </w:p>
    <w:p w14:paraId="01BE8FC4">
      <w:pPr>
        <w:bidi w:val="0"/>
        <w:rPr>
          <w:rFonts w:hint="default" w:ascii="Times New Roman" w:hAnsi="Times New Roman" w:eastAsia="宋体" w:cs="Times New Roman"/>
          <w:color w:val="FF0000"/>
          <w:highlight w:val="none"/>
        </w:rPr>
      </w:pPr>
      <w:r>
        <w:rPr>
          <w:rFonts w:hint="eastAsia" w:ascii="Times New Roman" w:hAnsi="Times New Roman" w:eastAsia="宋体" w:cs="Times New Roman"/>
          <w:color w:val="FF0000"/>
          <w:highlight w:val="none"/>
          <w:lang w:eastAsia="zh-CN"/>
        </w:rPr>
        <w:t>（</w:t>
      </w:r>
      <w:r>
        <w:rPr>
          <w:rFonts w:hint="eastAsia" w:ascii="Times New Roman" w:hAnsi="Times New Roman" w:eastAsia="宋体" w:cs="Times New Roman"/>
          <w:color w:val="FF0000"/>
          <w:highlight w:val="none"/>
          <w:lang w:val="en-US" w:eastAsia="zh-CN"/>
        </w:rPr>
        <w:t>5</w:t>
      </w:r>
      <w:r>
        <w:rPr>
          <w:rFonts w:hint="eastAsia" w:ascii="Times New Roman" w:hAnsi="Times New Roman" w:eastAsia="宋体" w:cs="Times New Roman"/>
          <w:color w:val="FF0000"/>
          <w:highlight w:val="none"/>
          <w:lang w:eastAsia="zh-CN"/>
        </w:rPr>
        <w:t>）</w:t>
      </w:r>
      <w:r>
        <w:rPr>
          <w:rFonts w:hint="default" w:ascii="Times New Roman" w:hAnsi="Times New Roman" w:eastAsia="宋体" w:cs="Times New Roman"/>
          <w:color w:val="FF0000"/>
          <w:highlight w:val="none"/>
        </w:rPr>
        <w:t>其他措施（废弃弃土、石、渣及其他地面覆盖处理措施）</w:t>
      </w:r>
    </w:p>
    <w:p w14:paraId="6FCDDCEE">
      <w:pPr>
        <w:bidi w:val="0"/>
        <w:rPr>
          <w:rFonts w:hint="default" w:ascii="Times New Roman" w:hAnsi="Times New Roman" w:eastAsia="宋体" w:cs="Times New Roman"/>
          <w:color w:val="FF0000"/>
          <w:highlight w:val="none"/>
        </w:rPr>
      </w:pPr>
      <w:r>
        <w:rPr>
          <w:rFonts w:hint="default" w:ascii="Times New Roman" w:hAnsi="Times New Roman" w:eastAsia="宋体" w:cs="Times New Roman"/>
          <w:color w:val="FF0000"/>
          <w:highlight w:val="none"/>
        </w:rPr>
        <w:t>作业过程管控：采矿作业时，对运输道路进行硬化</w:t>
      </w:r>
      <w:r>
        <w:rPr>
          <w:rFonts w:hint="eastAsia" w:ascii="Times New Roman" w:hAnsi="Times New Roman" w:eastAsia="宋体" w:cs="Times New Roman"/>
          <w:color w:val="FF0000"/>
          <w:highlight w:val="none"/>
          <w:lang w:eastAsia="zh-CN"/>
        </w:rPr>
        <w:t>，</w:t>
      </w:r>
      <w:r>
        <w:rPr>
          <w:rFonts w:hint="default" w:ascii="Times New Roman" w:hAnsi="Times New Roman" w:eastAsia="宋体" w:cs="Times New Roman"/>
          <w:color w:val="FF0000"/>
          <w:highlight w:val="none"/>
        </w:rPr>
        <w:t>洒水降尘，运输车辆加盖篷布，避免沙料散落；合理安排作业时间，在大风天气停止露天作业，减少风沙扬尘。</w:t>
      </w:r>
    </w:p>
    <w:p w14:paraId="57FF41A2">
      <w:pPr>
        <w:bidi w:val="0"/>
        <w:rPr>
          <w:rFonts w:hint="default" w:ascii="Times New Roman" w:hAnsi="Times New Roman" w:eastAsia="宋体" w:cs="Times New Roman"/>
          <w:color w:val="FF0000"/>
          <w:highlight w:val="none"/>
        </w:rPr>
      </w:pPr>
      <w:r>
        <w:rPr>
          <w:rFonts w:hint="default" w:ascii="Times New Roman" w:hAnsi="Times New Roman" w:eastAsia="宋体" w:cs="Times New Roman"/>
          <w:color w:val="FF0000"/>
          <w:highlight w:val="none"/>
        </w:rPr>
        <w:t>监测体系建立：在项目区设置</w:t>
      </w:r>
      <w:r>
        <w:rPr>
          <w:rFonts w:hint="eastAsia" w:ascii="Times New Roman" w:hAnsi="Times New Roman" w:eastAsia="宋体" w:cs="Times New Roman"/>
          <w:color w:val="FF0000"/>
          <w:highlight w:val="none"/>
          <w:lang w:val="en-US" w:eastAsia="zh-CN"/>
        </w:rPr>
        <w:t>若干</w:t>
      </w:r>
      <w:r>
        <w:rPr>
          <w:rFonts w:hint="default" w:ascii="Times New Roman" w:hAnsi="Times New Roman" w:eastAsia="宋体" w:cs="Times New Roman"/>
          <w:color w:val="FF0000"/>
          <w:highlight w:val="none"/>
        </w:rPr>
        <w:t>个植被监测样地，定期监测风速、风向、风沙流强度、植被覆盖度等指标，及时掌握沙化动态和防沙治沙效果。​</w:t>
      </w:r>
    </w:p>
    <w:p w14:paraId="0894AA1D">
      <w:pPr>
        <w:bidi w:val="0"/>
        <w:rPr>
          <w:color w:val="FF0000"/>
          <w:sz w:val="24"/>
          <w:szCs w:val="24"/>
        </w:rPr>
      </w:pPr>
      <w:r>
        <w:rPr>
          <w:rFonts w:hint="default" w:ascii="Times New Roman" w:hAnsi="Times New Roman" w:eastAsia="宋体" w:cs="Times New Roman"/>
          <w:color w:val="FF0000"/>
          <w:highlight w:val="none"/>
        </w:rPr>
        <w:t>应急处置预案：制定风沙灾害应急处置预案，储备</w:t>
      </w:r>
      <w:r>
        <w:rPr>
          <w:rFonts w:hint="eastAsia" w:ascii="Times New Roman" w:hAnsi="Times New Roman" w:eastAsia="宋体" w:cs="Times New Roman"/>
          <w:color w:val="FF0000"/>
          <w:highlight w:val="none"/>
          <w:lang w:val="en-US" w:eastAsia="zh-CN"/>
        </w:rPr>
        <w:t>应急物资</w:t>
      </w:r>
      <w:r>
        <w:rPr>
          <w:rFonts w:hint="default" w:ascii="Times New Roman" w:hAnsi="Times New Roman" w:eastAsia="宋体" w:cs="Times New Roman"/>
          <w:color w:val="FF0000"/>
          <w:highlight w:val="none"/>
        </w:rPr>
        <w:t>，当发生强沙尘暴等灾害时，及时启动应急措施，保护人员安全和设备设施。​</w:t>
      </w:r>
    </w:p>
    <w:p w14:paraId="6DE19E8E">
      <w:pPr>
        <w:bidi w:val="0"/>
        <w:rPr>
          <w:rFonts w:hint="default" w:ascii="Times New Roman" w:hAnsi="Times New Roman" w:eastAsia="宋体" w:cs="Times New Roman"/>
          <w:color w:val="FF0000"/>
          <w:highlight w:val="none"/>
        </w:rPr>
      </w:pPr>
      <w:r>
        <w:rPr>
          <w:rFonts w:hint="eastAsia" w:ascii="Times New Roman" w:hAnsi="Times New Roman" w:eastAsia="宋体" w:cs="Times New Roman"/>
          <w:color w:val="FF0000"/>
          <w:highlight w:val="none"/>
          <w:lang w:eastAsia="zh-CN"/>
        </w:rPr>
        <w:t>（</w:t>
      </w:r>
      <w:r>
        <w:rPr>
          <w:rFonts w:hint="eastAsia" w:ascii="Times New Roman" w:hAnsi="Times New Roman" w:eastAsia="宋体" w:cs="Times New Roman"/>
          <w:color w:val="FF0000"/>
          <w:highlight w:val="none"/>
          <w:lang w:val="en-US" w:eastAsia="zh-CN"/>
        </w:rPr>
        <w:t>6</w:t>
      </w:r>
      <w:r>
        <w:rPr>
          <w:rFonts w:hint="eastAsia" w:ascii="Times New Roman" w:hAnsi="Times New Roman" w:eastAsia="宋体" w:cs="Times New Roman"/>
          <w:color w:val="FF0000"/>
          <w:highlight w:val="none"/>
          <w:lang w:eastAsia="zh-CN"/>
        </w:rPr>
        <w:t>）</w:t>
      </w:r>
      <w:r>
        <w:rPr>
          <w:rFonts w:hint="default" w:ascii="Times New Roman" w:hAnsi="Times New Roman" w:eastAsia="宋体" w:cs="Times New Roman"/>
          <w:color w:val="FF0000"/>
          <w:highlight w:val="none"/>
        </w:rPr>
        <w:t xml:space="preserve">各种措施总量和年度实施计划、完成期限等。 </w:t>
      </w:r>
    </w:p>
    <w:p w14:paraId="428917FB">
      <w:pPr>
        <w:bidi w:val="0"/>
        <w:rPr>
          <w:rFonts w:hint="default" w:ascii="Times New Roman" w:hAnsi="Times New Roman" w:eastAsia="宋体" w:cs="Times New Roman"/>
          <w:color w:val="FF0000"/>
          <w:highlight w:val="none"/>
        </w:rPr>
      </w:pPr>
      <w:r>
        <w:rPr>
          <w:rFonts w:hint="default" w:ascii="Times New Roman" w:hAnsi="Times New Roman" w:eastAsia="宋体" w:cs="Times New Roman"/>
          <w:color w:val="FF0000"/>
          <w:highlight w:val="none"/>
        </w:rPr>
        <w:t>工程措施、植被措施及其他措施，要求在项目建设完成投入运行之前完成，严禁防沙治沙措施未完成即投入运行。</w:t>
      </w:r>
    </w:p>
    <w:p w14:paraId="7DA26C40">
      <w:pPr>
        <w:bidi w:val="0"/>
        <w:rPr>
          <w:rFonts w:hint="eastAsia" w:ascii="Times New Roman" w:hAnsi="Times New Roman" w:eastAsia="宋体" w:cs="Times New Roman"/>
          <w:color w:val="FF0000"/>
          <w:highlight w:val="none"/>
          <w:lang w:val="en-US" w:eastAsia="zh-CN"/>
        </w:rPr>
      </w:pPr>
      <w:r>
        <w:rPr>
          <w:rFonts w:hint="eastAsia" w:ascii="Times New Roman" w:hAnsi="Times New Roman" w:eastAsia="宋体" w:cs="Times New Roman"/>
          <w:color w:val="FF0000"/>
          <w:highlight w:val="none"/>
          <w:lang w:val="en-US" w:eastAsia="zh-CN"/>
        </w:rPr>
        <w:t>（7）方案实施保障措施</w:t>
      </w:r>
    </w:p>
    <w:p w14:paraId="33C8BFC8">
      <w:pPr>
        <w:bidi w:val="0"/>
        <w:rPr>
          <w:rFonts w:ascii="宋体" w:hAnsi="宋体" w:eastAsia="宋体" w:cs="宋体"/>
          <w:color w:val="FF0000"/>
          <w:sz w:val="24"/>
          <w:szCs w:val="24"/>
        </w:rPr>
      </w:pPr>
      <w:r>
        <w:rPr>
          <w:rFonts w:ascii="宋体" w:hAnsi="宋体" w:eastAsia="宋体" w:cs="宋体"/>
          <w:color w:val="FF0000"/>
          <w:sz w:val="24"/>
          <w:szCs w:val="24"/>
        </w:rPr>
        <w:t>1）组织领导措施</w:t>
      </w:r>
    </w:p>
    <w:p w14:paraId="51CE3D70">
      <w:pPr>
        <w:bidi w:val="0"/>
        <w:rPr>
          <w:rFonts w:ascii="宋体" w:hAnsi="宋体" w:eastAsia="宋体" w:cs="宋体"/>
          <w:color w:val="FF0000"/>
          <w:sz w:val="24"/>
          <w:szCs w:val="24"/>
        </w:rPr>
      </w:pPr>
      <w:r>
        <w:rPr>
          <w:rFonts w:ascii="宋体" w:hAnsi="宋体" w:eastAsia="宋体" w:cs="宋体"/>
          <w:color w:val="FF0000"/>
          <w:sz w:val="24"/>
          <w:szCs w:val="24"/>
        </w:rPr>
        <w:t>防沙治沙是维护生态安全，促进经济发展和人与自然和谐相处的重要举措。 本项目防沙治沙工程应以建设单位主体为第一责任人，各施工队作为措施落实方，属于主要责任人。建设单位应在各施工队施工过程中，提出具体的目标及要求，并落实到具体人员。</w:t>
      </w:r>
    </w:p>
    <w:p w14:paraId="5AE54473">
      <w:pPr>
        <w:numPr>
          <w:ilvl w:val="0"/>
          <w:numId w:val="0"/>
        </w:numPr>
        <w:bidi w:val="0"/>
        <w:ind w:firstLine="480" w:firstLineChars="200"/>
        <w:rPr>
          <w:rFonts w:ascii="宋体" w:hAnsi="宋体" w:eastAsia="宋体" w:cs="宋体"/>
          <w:color w:val="FF0000"/>
          <w:sz w:val="24"/>
          <w:szCs w:val="24"/>
        </w:rPr>
      </w:pPr>
      <w:r>
        <w:rPr>
          <w:rFonts w:hint="eastAsia" w:ascii="宋体" w:hAnsi="宋体" w:eastAsia="宋体" w:cs="宋体"/>
          <w:color w:val="FF0000"/>
          <w:sz w:val="24"/>
          <w:szCs w:val="24"/>
          <w:lang w:val="en-US" w:eastAsia="zh-CN"/>
        </w:rPr>
        <w:t>2）</w:t>
      </w:r>
      <w:r>
        <w:rPr>
          <w:rFonts w:ascii="宋体" w:hAnsi="宋体" w:eastAsia="宋体" w:cs="宋体"/>
          <w:color w:val="FF0000"/>
          <w:sz w:val="24"/>
          <w:szCs w:val="24"/>
        </w:rPr>
        <w:t>技术保证措施 ①邀请各级林业部门组织开展多层次、多形式的技术培训，加强参与防沙治沙工程的人员的培训工作，使其掌握防沙治沙工程建设、管理的基本技术要求，增强人员主动参与防沙治沙能力和积极性。 ②古尔班通古特沙漠自然条件恶劣，水资源短缺，项目建设的各个环节过程中，加强人员的节水意识，避免铺张浪费，提高水的重复利用性。 ③《全国防沙治沙规划（2021－2030 年）》中，对古尔班通古特沙漠周边综合治理区，给出了沙化土地综合治理对策措施：通过封沙育林育草、人工造林种草、退化草原治理等措施，巩固防沙治沙成果，提高山区天然林、荒漠林和绿洲内部森林生态系统水源涵养功能。加强再生水、雨水、微咸水等非常规水利用，提高农田退水等水资源利用效率，积极推广无灌溉造林技术，建立综合防护林体系。运用高效节水灌溉技术，发展特色中草药种植。开展退化林分修复，优化林分结构，提高林分质量，提升生态防护功能。本项目结合实际情况予以落实。</w:t>
      </w:r>
    </w:p>
    <w:p w14:paraId="3AD800E3">
      <w:pPr>
        <w:numPr>
          <w:ilvl w:val="0"/>
          <w:numId w:val="0"/>
        </w:numPr>
        <w:bidi w:val="0"/>
        <w:ind w:leftChars="200"/>
        <w:rPr>
          <w:rFonts w:ascii="宋体" w:hAnsi="宋体" w:eastAsia="宋体" w:cs="宋体"/>
          <w:color w:val="FF0000"/>
          <w:sz w:val="24"/>
          <w:szCs w:val="24"/>
        </w:rPr>
      </w:pPr>
      <w:r>
        <w:rPr>
          <w:rFonts w:hint="eastAsia" w:ascii="宋体" w:hAnsi="宋体" w:eastAsia="宋体" w:cs="宋体"/>
          <w:color w:val="FF0000"/>
          <w:sz w:val="24"/>
          <w:szCs w:val="24"/>
          <w:lang w:val="en-US" w:eastAsia="zh-CN"/>
        </w:rPr>
        <w:t>3）</w:t>
      </w:r>
      <w:r>
        <w:rPr>
          <w:rFonts w:ascii="宋体" w:hAnsi="宋体" w:eastAsia="宋体" w:cs="宋体"/>
          <w:color w:val="FF0000"/>
          <w:sz w:val="24"/>
          <w:szCs w:val="24"/>
        </w:rPr>
        <w:t>防沙治沙措施投资概算及资金筹措情况</w:t>
      </w:r>
    </w:p>
    <w:p w14:paraId="5FC8CED0">
      <w:pPr>
        <w:numPr>
          <w:ilvl w:val="0"/>
          <w:numId w:val="0"/>
        </w:numPr>
        <w:bidi w:val="0"/>
        <w:ind w:firstLine="480" w:firstLineChars="200"/>
        <w:rPr>
          <w:rFonts w:ascii="宋体" w:hAnsi="宋体" w:eastAsia="宋体" w:cs="宋体"/>
          <w:color w:val="FF0000"/>
          <w:sz w:val="24"/>
          <w:szCs w:val="24"/>
        </w:rPr>
      </w:pPr>
      <w:r>
        <w:rPr>
          <w:rFonts w:ascii="宋体" w:hAnsi="宋体" w:eastAsia="宋体" w:cs="宋体"/>
          <w:color w:val="FF0000"/>
          <w:sz w:val="24"/>
          <w:szCs w:val="24"/>
        </w:rPr>
        <w:t>本项目防沙治沙措施投资概算预计20万，由建设单位自行筹措，已在本项目总投资中考虑。</w:t>
      </w:r>
    </w:p>
    <w:p w14:paraId="17222E77">
      <w:pPr>
        <w:pStyle w:val="4"/>
        <w:bidi w:val="0"/>
        <w:rPr>
          <w:rFonts w:hint="default"/>
        </w:rPr>
      </w:pPr>
      <w:r>
        <w:rPr>
          <w:rFonts w:hint="default"/>
        </w:rPr>
        <w:t>环境风险影响分析</w:t>
      </w:r>
    </w:p>
    <w:p w14:paraId="0BC44E46">
      <w:pPr>
        <w:pStyle w:val="5"/>
        <w:bidi w:val="0"/>
        <w:rPr>
          <w:rFonts w:hint="default"/>
          <w:lang w:eastAsia="zh-CN"/>
        </w:rPr>
      </w:pPr>
      <w:bookmarkStart w:id="402" w:name="5.2.7.1环境风险识别"/>
      <w:bookmarkEnd w:id="402"/>
      <w:bookmarkStart w:id="403" w:name="_Toc6467"/>
      <w:bookmarkStart w:id="404" w:name="_Toc456600424"/>
      <w:bookmarkStart w:id="405" w:name="OLE_LINK18"/>
      <w:bookmarkStart w:id="406" w:name="_Toc437270093"/>
      <w:bookmarkStart w:id="407" w:name="_Toc463790954"/>
      <w:bookmarkStart w:id="408" w:name="_Toc356294747"/>
      <w:bookmarkStart w:id="409" w:name="OLE_LINK17"/>
      <w:bookmarkStart w:id="410" w:name="_Ref454882749"/>
      <w:bookmarkStart w:id="411" w:name="_Toc369124233"/>
      <w:bookmarkStart w:id="412" w:name="OLE_LINK19"/>
      <w:r>
        <w:rPr>
          <w:rFonts w:hint="default"/>
          <w:lang w:eastAsia="zh-CN"/>
        </w:rPr>
        <w:t>评价依据</w:t>
      </w:r>
      <w:bookmarkEnd w:id="403"/>
    </w:p>
    <w:bookmarkEnd w:id="404"/>
    <w:bookmarkEnd w:id="405"/>
    <w:bookmarkEnd w:id="406"/>
    <w:bookmarkEnd w:id="407"/>
    <w:bookmarkEnd w:id="408"/>
    <w:bookmarkEnd w:id="409"/>
    <w:bookmarkEnd w:id="410"/>
    <w:bookmarkEnd w:id="411"/>
    <w:bookmarkEnd w:id="412"/>
    <w:p w14:paraId="733D3339">
      <w:pPr>
        <w:pStyle w:val="27"/>
        <w:numPr>
          <w:ilvl w:val="0"/>
          <w:numId w:val="41"/>
        </w:numPr>
        <w:autoSpaceDE/>
        <w:autoSpaceDN/>
        <w:adjustRightInd/>
        <w:snapToGrid w:val="0"/>
        <w:spacing w:before="0" w:beforeLines="0" w:beforeAutospacing="0" w:after="0" w:afterLines="0" w:afterAutospacing="0"/>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风险调查</w:t>
      </w:r>
    </w:p>
    <w:p w14:paraId="1634B128">
      <w:pPr>
        <w:autoSpaceDE/>
        <w:autoSpaceDN/>
        <w:snapToGrid w:val="0"/>
        <w:spacing w:beforeLines="0" w:afterLines="0"/>
        <w:ind w:firstLine="480"/>
        <w:rPr>
          <w:rFonts w:hint="default" w:ascii="Times New Roman" w:hAnsi="Times New Roman" w:cs="Times New Roman"/>
          <w:color w:val="auto"/>
          <w:sz w:val="24"/>
          <w:szCs w:val="24"/>
          <w:highlight w:val="green"/>
          <w:lang w:val="en-US" w:eastAsia="zh-CN"/>
        </w:rPr>
      </w:pPr>
      <w:r>
        <w:rPr>
          <w:rFonts w:hint="default" w:ascii="Times New Roman" w:hAnsi="Times New Roman" w:cs="Times New Roman"/>
          <w:color w:val="auto"/>
          <w:sz w:val="24"/>
          <w:szCs w:val="24"/>
          <w:highlight w:val="none"/>
        </w:rPr>
        <w:t>本项目为天然石英砂矿采选项目，设计采用露天开采。</w:t>
      </w:r>
      <w:r>
        <w:rPr>
          <w:rFonts w:hint="default" w:ascii="Times New Roman" w:hAnsi="Times New Roman" w:cs="Times New Roman"/>
          <w:color w:val="auto"/>
          <w:sz w:val="24"/>
          <w:szCs w:val="24"/>
          <w:highlight w:val="none"/>
          <w:lang w:val="en-US" w:eastAsia="zh-CN"/>
        </w:rPr>
        <w:t>运营过程中机械车辆加油以向外委托的方式，厂区内不对柴油进行贮存，</w:t>
      </w:r>
      <w:r>
        <w:rPr>
          <w:rFonts w:hint="eastAsia" w:cs="Times New Roman"/>
          <w:color w:val="auto"/>
          <w:sz w:val="24"/>
          <w:szCs w:val="24"/>
          <w:highlight w:val="none"/>
          <w:lang w:val="en-US" w:eastAsia="zh-CN"/>
        </w:rPr>
        <w:t>本项目</w:t>
      </w:r>
      <w:r>
        <w:rPr>
          <w:rFonts w:hint="default" w:ascii="Times New Roman" w:hAnsi="Times New Roman" w:cs="Times New Roman"/>
          <w:color w:val="auto"/>
          <w:sz w:val="24"/>
          <w:szCs w:val="24"/>
          <w:highlight w:val="none"/>
          <w:lang w:val="en-US" w:eastAsia="zh-CN"/>
        </w:rPr>
        <w:t>工业广场</w:t>
      </w:r>
      <w:r>
        <w:rPr>
          <w:rFonts w:hint="eastAsia" w:cs="Times New Roman"/>
          <w:color w:val="auto"/>
          <w:sz w:val="24"/>
          <w:szCs w:val="24"/>
          <w:highlight w:val="none"/>
          <w:lang w:val="en-US" w:eastAsia="zh-CN"/>
        </w:rPr>
        <w:t>内设置危废贮存点，</w:t>
      </w:r>
      <w:r>
        <w:rPr>
          <w:rFonts w:hint="default" w:ascii="Times New Roman" w:hAnsi="Times New Roman" w:cs="Times New Roman"/>
          <w:color w:val="auto"/>
          <w:sz w:val="24"/>
          <w:szCs w:val="24"/>
          <w:highlight w:val="none"/>
        </w:rPr>
        <w:t>主要涉及的危险物质</w:t>
      </w:r>
      <w:r>
        <w:rPr>
          <w:rFonts w:hint="default" w:ascii="Times New Roman" w:hAnsi="Times New Roman" w:cs="Times New Roman"/>
          <w:color w:val="auto"/>
          <w:sz w:val="24"/>
          <w:szCs w:val="24"/>
          <w:highlight w:val="none"/>
          <w:lang w:val="en-US" w:eastAsia="zh-CN"/>
        </w:rPr>
        <w:t>理化性质如下表。</w:t>
      </w:r>
    </w:p>
    <w:p w14:paraId="0C3A1FCC">
      <w:pPr>
        <w:pStyle w:val="79"/>
        <w:bidi w:val="0"/>
        <w:rPr>
          <w:rFonts w:hint="default"/>
          <w:b/>
          <w:bCs/>
          <w:lang w:val="en-US" w:eastAsia="zh-CN"/>
        </w:rPr>
      </w:pPr>
      <w:r>
        <w:rPr>
          <w:rFonts w:hint="default"/>
          <w:b/>
          <w:bCs/>
          <w:lang w:val="en-US" w:eastAsia="zh-CN"/>
        </w:rPr>
        <w:t>表5.2-</w:t>
      </w:r>
      <w:r>
        <w:rPr>
          <w:rFonts w:hint="eastAsia"/>
          <w:b/>
          <w:bCs/>
          <w:lang w:val="en-US" w:eastAsia="zh-CN"/>
        </w:rPr>
        <w:t>30</w:t>
      </w:r>
      <w:r>
        <w:rPr>
          <w:rFonts w:hint="default"/>
          <w:b/>
          <w:bCs/>
          <w:lang w:val="en-US" w:eastAsia="zh-CN"/>
        </w:rPr>
        <w:t xml:space="preserve">   </w:t>
      </w:r>
      <w:r>
        <w:rPr>
          <w:rFonts w:hint="eastAsia"/>
          <w:b/>
          <w:bCs/>
          <w:lang w:val="en-US" w:eastAsia="zh-CN"/>
        </w:rPr>
        <w:t xml:space="preserve">  </w:t>
      </w:r>
      <w:r>
        <w:rPr>
          <w:rFonts w:hint="default"/>
          <w:b/>
          <w:bCs/>
          <w:lang w:val="en-US" w:eastAsia="zh-CN"/>
        </w:rPr>
        <w:t xml:space="preserve"> 润滑油（废矿物油）</w:t>
      </w:r>
    </w:p>
    <w:tbl>
      <w:tblPr>
        <w:tblStyle w:val="56"/>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005"/>
        <w:gridCol w:w="948"/>
        <w:gridCol w:w="1899"/>
        <w:gridCol w:w="1296"/>
        <w:gridCol w:w="1338"/>
        <w:gridCol w:w="1338"/>
        <w:gridCol w:w="1328"/>
      </w:tblGrid>
      <w:tr w14:paraId="3952FB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549" w:type="pct"/>
            <w:noWrap w:val="0"/>
            <w:vAlign w:val="center"/>
          </w:tcPr>
          <w:p w14:paraId="3A577D6E">
            <w:pPr>
              <w:pStyle w:val="48"/>
              <w:bidi w:val="0"/>
              <w:jc w:val="center"/>
              <w:rPr>
                <w:b w:val="0"/>
                <w:bCs/>
                <w:color w:val="00B050"/>
                <w:sz w:val="21"/>
                <w:szCs w:val="21"/>
                <w:lang w:val="en-US" w:eastAsia="zh-CN" w:bidi="ar-SA"/>
              </w:rPr>
            </w:pPr>
            <w:r>
              <w:rPr>
                <w:b w:val="0"/>
                <w:bCs/>
                <w:color w:val="00B050"/>
                <w:sz w:val="21"/>
                <w:szCs w:val="21"/>
                <w:lang w:val="en-US" w:eastAsia="zh-CN" w:bidi="ar-SA"/>
              </w:rPr>
              <w:t>标识</w:t>
            </w:r>
          </w:p>
        </w:tc>
        <w:tc>
          <w:tcPr>
            <w:tcW w:w="2263" w:type="pct"/>
            <w:gridSpan w:val="3"/>
            <w:noWrap w:val="0"/>
            <w:vAlign w:val="center"/>
          </w:tcPr>
          <w:p w14:paraId="3A317E98">
            <w:pPr>
              <w:pStyle w:val="48"/>
              <w:bidi w:val="0"/>
              <w:jc w:val="center"/>
              <w:rPr>
                <w:b w:val="0"/>
                <w:bCs/>
                <w:color w:val="00B050"/>
                <w:sz w:val="21"/>
                <w:szCs w:val="21"/>
                <w:lang w:val="en-US" w:eastAsia="zh-CN" w:bidi="ar-SA"/>
              </w:rPr>
            </w:pPr>
            <w:r>
              <w:rPr>
                <w:b w:val="0"/>
                <w:bCs/>
                <w:color w:val="00B050"/>
                <w:sz w:val="21"/>
                <w:szCs w:val="21"/>
                <w:lang w:val="en-US" w:eastAsia="zh-CN" w:bidi="ar-SA"/>
              </w:rPr>
              <w:t>中文名：润滑油</w:t>
            </w:r>
          </w:p>
        </w:tc>
        <w:tc>
          <w:tcPr>
            <w:tcW w:w="2187" w:type="pct"/>
            <w:gridSpan w:val="3"/>
            <w:noWrap w:val="0"/>
            <w:vAlign w:val="center"/>
          </w:tcPr>
          <w:p w14:paraId="33C53668">
            <w:pPr>
              <w:pStyle w:val="48"/>
              <w:bidi w:val="0"/>
              <w:jc w:val="center"/>
              <w:rPr>
                <w:b w:val="0"/>
                <w:bCs/>
                <w:color w:val="00B050"/>
                <w:sz w:val="21"/>
                <w:szCs w:val="21"/>
                <w:lang w:val="en-US" w:eastAsia="zh-CN" w:bidi="ar-SA"/>
              </w:rPr>
            </w:pPr>
            <w:r>
              <w:rPr>
                <w:b w:val="0"/>
                <w:bCs/>
                <w:color w:val="00B050"/>
                <w:sz w:val="21"/>
                <w:szCs w:val="21"/>
                <w:lang w:val="en-US" w:eastAsia="zh-CN" w:bidi="ar-SA"/>
              </w:rPr>
              <w:t>英文名：lubricating</w:t>
            </w:r>
          </w:p>
        </w:tc>
      </w:tr>
      <w:tr w14:paraId="605A20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549" w:type="pct"/>
            <w:vMerge w:val="restart"/>
            <w:tcBorders>
              <w:bottom w:val="nil"/>
            </w:tcBorders>
            <w:noWrap w:val="0"/>
            <w:vAlign w:val="center"/>
          </w:tcPr>
          <w:p w14:paraId="3ACD6176">
            <w:pPr>
              <w:pStyle w:val="48"/>
              <w:bidi w:val="0"/>
              <w:jc w:val="center"/>
              <w:rPr>
                <w:b w:val="0"/>
                <w:bCs/>
                <w:color w:val="00B050"/>
                <w:sz w:val="21"/>
                <w:szCs w:val="21"/>
                <w:lang w:val="en-US" w:eastAsia="zh-CN" w:bidi="ar-SA"/>
              </w:rPr>
            </w:pPr>
            <w:r>
              <w:rPr>
                <w:b w:val="0"/>
                <w:bCs/>
                <w:color w:val="00B050"/>
                <w:sz w:val="21"/>
                <w:szCs w:val="21"/>
                <w:lang w:val="en-US" w:eastAsia="zh-CN" w:bidi="ar-SA"/>
              </w:rPr>
              <w:t>理化性质</w:t>
            </w:r>
          </w:p>
        </w:tc>
        <w:tc>
          <w:tcPr>
            <w:tcW w:w="517" w:type="pct"/>
            <w:noWrap w:val="0"/>
            <w:vAlign w:val="center"/>
          </w:tcPr>
          <w:p w14:paraId="4AC895CB">
            <w:pPr>
              <w:pStyle w:val="48"/>
              <w:bidi w:val="0"/>
              <w:jc w:val="center"/>
              <w:rPr>
                <w:b w:val="0"/>
                <w:bCs/>
                <w:color w:val="00B050"/>
                <w:sz w:val="21"/>
                <w:szCs w:val="21"/>
                <w:lang w:val="en-US" w:eastAsia="zh-CN" w:bidi="ar-SA"/>
              </w:rPr>
            </w:pPr>
            <w:r>
              <w:rPr>
                <w:b w:val="0"/>
                <w:bCs/>
                <w:color w:val="00B050"/>
                <w:sz w:val="21"/>
                <w:szCs w:val="21"/>
                <w:lang w:val="en-US" w:eastAsia="zh-CN" w:bidi="ar-SA"/>
              </w:rPr>
              <w:t>外观与性状</w:t>
            </w:r>
          </w:p>
        </w:tc>
        <w:tc>
          <w:tcPr>
            <w:tcW w:w="1745" w:type="pct"/>
            <w:gridSpan w:val="2"/>
            <w:noWrap w:val="0"/>
            <w:vAlign w:val="center"/>
          </w:tcPr>
          <w:p w14:paraId="5403BE0B">
            <w:pPr>
              <w:pStyle w:val="48"/>
              <w:bidi w:val="0"/>
              <w:jc w:val="center"/>
              <w:rPr>
                <w:b w:val="0"/>
                <w:bCs/>
                <w:color w:val="00B050"/>
                <w:sz w:val="21"/>
                <w:szCs w:val="21"/>
                <w:lang w:val="en-US" w:eastAsia="zh-CN" w:bidi="ar-SA"/>
              </w:rPr>
            </w:pPr>
            <w:r>
              <w:rPr>
                <w:b w:val="0"/>
                <w:bCs/>
                <w:color w:val="00B050"/>
                <w:sz w:val="21"/>
                <w:szCs w:val="21"/>
                <w:lang w:val="en-US" w:eastAsia="zh-CN" w:bidi="ar-SA"/>
              </w:rPr>
              <w:t>淡黄色粘稠液体</w:t>
            </w:r>
          </w:p>
        </w:tc>
        <w:tc>
          <w:tcPr>
            <w:tcW w:w="731" w:type="pct"/>
            <w:noWrap w:val="0"/>
            <w:vAlign w:val="center"/>
          </w:tcPr>
          <w:p w14:paraId="6CD1E1DC">
            <w:pPr>
              <w:pStyle w:val="48"/>
              <w:bidi w:val="0"/>
              <w:jc w:val="center"/>
              <w:rPr>
                <w:b w:val="0"/>
                <w:bCs/>
                <w:color w:val="00B050"/>
                <w:sz w:val="21"/>
                <w:szCs w:val="21"/>
                <w:lang w:val="en-US" w:eastAsia="zh-CN" w:bidi="ar-SA"/>
              </w:rPr>
            </w:pPr>
            <w:r>
              <w:rPr>
                <w:b w:val="0"/>
                <w:bCs/>
                <w:color w:val="00B050"/>
                <w:sz w:val="21"/>
                <w:szCs w:val="21"/>
                <w:lang w:val="en-US" w:eastAsia="zh-CN" w:bidi="ar-SA"/>
              </w:rPr>
              <w:t>闪点（C)</w:t>
            </w:r>
          </w:p>
        </w:tc>
        <w:tc>
          <w:tcPr>
            <w:tcW w:w="1455" w:type="pct"/>
            <w:gridSpan w:val="2"/>
            <w:noWrap w:val="0"/>
            <w:vAlign w:val="center"/>
          </w:tcPr>
          <w:p w14:paraId="12AF143C">
            <w:pPr>
              <w:pStyle w:val="48"/>
              <w:bidi w:val="0"/>
              <w:jc w:val="center"/>
              <w:rPr>
                <w:b w:val="0"/>
                <w:bCs/>
                <w:color w:val="00B050"/>
                <w:sz w:val="21"/>
                <w:szCs w:val="21"/>
                <w:lang w:val="en-US" w:eastAsia="zh-CN" w:bidi="ar-SA"/>
              </w:rPr>
            </w:pPr>
            <w:r>
              <w:rPr>
                <w:b w:val="0"/>
                <w:bCs/>
                <w:color w:val="00B050"/>
                <w:sz w:val="21"/>
                <w:szCs w:val="21"/>
                <w:lang w:val="en-US" w:eastAsia="zh-CN" w:bidi="ar-SA"/>
              </w:rPr>
              <w:t>120</w:t>
            </w:r>
            <w:r>
              <w:rPr>
                <w:rFonts w:hint="eastAsia"/>
                <w:b w:val="0"/>
                <w:bCs/>
                <w:color w:val="00B050"/>
                <w:sz w:val="21"/>
                <w:szCs w:val="21"/>
                <w:lang w:val="en-US" w:eastAsia="zh-CN" w:bidi="ar-SA"/>
              </w:rPr>
              <w:t>-</w:t>
            </w:r>
            <w:r>
              <w:rPr>
                <w:b w:val="0"/>
                <w:bCs/>
                <w:color w:val="00B050"/>
                <w:sz w:val="21"/>
                <w:szCs w:val="21"/>
                <w:lang w:val="en-US" w:eastAsia="zh-CN" w:bidi="ar-SA"/>
              </w:rPr>
              <w:t>340</w:t>
            </w:r>
          </w:p>
        </w:tc>
      </w:tr>
      <w:tr w14:paraId="5A7940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49" w:type="pct"/>
            <w:vMerge w:val="continue"/>
            <w:tcBorders>
              <w:top w:val="nil"/>
              <w:bottom w:val="nil"/>
            </w:tcBorders>
            <w:noWrap w:val="0"/>
            <w:vAlign w:val="center"/>
          </w:tcPr>
          <w:p w14:paraId="0FC010B8">
            <w:pPr>
              <w:pStyle w:val="48"/>
              <w:bidi w:val="0"/>
              <w:jc w:val="center"/>
              <w:rPr>
                <w:b w:val="0"/>
                <w:bCs/>
                <w:color w:val="00B050"/>
                <w:sz w:val="21"/>
                <w:szCs w:val="21"/>
                <w:lang w:val="en-US" w:eastAsia="zh-CN" w:bidi="ar-SA"/>
              </w:rPr>
            </w:pPr>
          </w:p>
        </w:tc>
        <w:tc>
          <w:tcPr>
            <w:tcW w:w="517" w:type="pct"/>
            <w:noWrap w:val="0"/>
            <w:vAlign w:val="center"/>
          </w:tcPr>
          <w:p w14:paraId="09FD2B59">
            <w:pPr>
              <w:pStyle w:val="48"/>
              <w:bidi w:val="0"/>
              <w:jc w:val="center"/>
              <w:rPr>
                <w:b w:val="0"/>
                <w:bCs/>
                <w:color w:val="00B050"/>
                <w:sz w:val="21"/>
                <w:szCs w:val="21"/>
                <w:lang w:val="en-US" w:eastAsia="zh-CN" w:bidi="ar-SA"/>
              </w:rPr>
            </w:pPr>
            <w:r>
              <w:rPr>
                <w:b w:val="0"/>
                <w:bCs/>
                <w:color w:val="00B050"/>
                <w:sz w:val="21"/>
                <w:szCs w:val="21"/>
                <w:lang w:val="en-US" w:eastAsia="zh-CN" w:bidi="ar-SA"/>
              </w:rPr>
              <w:t>自燃点(C)</w:t>
            </w:r>
          </w:p>
        </w:tc>
        <w:tc>
          <w:tcPr>
            <w:tcW w:w="1037" w:type="pct"/>
            <w:noWrap w:val="0"/>
            <w:vAlign w:val="center"/>
          </w:tcPr>
          <w:p w14:paraId="3C9C40CE">
            <w:pPr>
              <w:pStyle w:val="48"/>
              <w:bidi w:val="0"/>
              <w:jc w:val="center"/>
              <w:rPr>
                <w:b w:val="0"/>
                <w:bCs/>
                <w:color w:val="00B050"/>
                <w:sz w:val="21"/>
                <w:szCs w:val="21"/>
                <w:lang w:val="en-US" w:eastAsia="zh-CN" w:bidi="ar-SA"/>
              </w:rPr>
            </w:pPr>
            <w:r>
              <w:rPr>
                <w:b w:val="0"/>
                <w:bCs/>
                <w:color w:val="00B050"/>
                <w:sz w:val="21"/>
                <w:szCs w:val="21"/>
                <w:lang w:val="en-US" w:eastAsia="zh-CN" w:bidi="ar-SA"/>
              </w:rPr>
              <w:t>300</w:t>
            </w:r>
            <w:r>
              <w:rPr>
                <w:rFonts w:hint="eastAsia"/>
                <w:b w:val="0"/>
                <w:bCs/>
                <w:color w:val="00B050"/>
                <w:sz w:val="21"/>
                <w:szCs w:val="21"/>
                <w:lang w:val="en-US" w:eastAsia="zh-CN" w:bidi="ar-SA"/>
              </w:rPr>
              <w:t>-</w:t>
            </w:r>
            <w:r>
              <w:rPr>
                <w:b w:val="0"/>
                <w:bCs/>
                <w:color w:val="00B050"/>
                <w:sz w:val="21"/>
                <w:szCs w:val="21"/>
                <w:lang w:val="en-US" w:eastAsia="zh-CN" w:bidi="ar-SA"/>
              </w:rPr>
              <w:t>350</w:t>
            </w:r>
          </w:p>
        </w:tc>
        <w:tc>
          <w:tcPr>
            <w:tcW w:w="708" w:type="pct"/>
            <w:noWrap w:val="0"/>
            <w:vAlign w:val="center"/>
          </w:tcPr>
          <w:p w14:paraId="2DB624E0">
            <w:pPr>
              <w:pStyle w:val="48"/>
              <w:bidi w:val="0"/>
              <w:jc w:val="center"/>
              <w:rPr>
                <w:b w:val="0"/>
                <w:bCs/>
                <w:color w:val="00B050"/>
                <w:sz w:val="21"/>
                <w:szCs w:val="21"/>
                <w:lang w:val="en-US" w:eastAsia="zh-CN" w:bidi="ar-SA"/>
              </w:rPr>
            </w:pPr>
            <w:r>
              <w:rPr>
                <w:b w:val="0"/>
                <w:bCs/>
                <w:color w:val="00B050"/>
                <w:sz w:val="21"/>
                <w:szCs w:val="21"/>
                <w:lang w:val="en-US" w:eastAsia="zh-CN" w:bidi="ar-SA"/>
              </w:rPr>
              <w:t>相对密度</w:t>
            </w:r>
          </w:p>
          <w:p w14:paraId="5EEBA4AF">
            <w:pPr>
              <w:pStyle w:val="48"/>
              <w:bidi w:val="0"/>
              <w:jc w:val="center"/>
              <w:rPr>
                <w:b w:val="0"/>
                <w:bCs/>
                <w:color w:val="00B050"/>
                <w:sz w:val="21"/>
                <w:szCs w:val="21"/>
                <w:lang w:val="en-US" w:eastAsia="zh-CN" w:bidi="ar-SA"/>
              </w:rPr>
            </w:pPr>
            <w:r>
              <w:rPr>
                <w:b w:val="0"/>
                <w:bCs/>
                <w:color w:val="00B050"/>
                <w:sz w:val="21"/>
                <w:szCs w:val="21"/>
                <w:lang w:val="en-US" w:eastAsia="zh-CN" w:bidi="ar-SA"/>
              </w:rPr>
              <w:t>(水=1)</w:t>
            </w:r>
          </w:p>
        </w:tc>
        <w:tc>
          <w:tcPr>
            <w:tcW w:w="731" w:type="pct"/>
            <w:noWrap w:val="0"/>
            <w:vAlign w:val="center"/>
          </w:tcPr>
          <w:p w14:paraId="1A7989EF">
            <w:pPr>
              <w:pStyle w:val="48"/>
              <w:bidi w:val="0"/>
              <w:jc w:val="center"/>
              <w:rPr>
                <w:b w:val="0"/>
                <w:bCs/>
                <w:color w:val="00B050"/>
                <w:sz w:val="21"/>
                <w:szCs w:val="21"/>
                <w:lang w:val="en-US" w:eastAsia="zh-CN" w:bidi="ar-SA"/>
              </w:rPr>
            </w:pPr>
            <w:r>
              <w:rPr>
                <w:b w:val="0"/>
                <w:bCs/>
                <w:color w:val="00B050"/>
                <w:sz w:val="21"/>
                <w:szCs w:val="21"/>
                <w:lang w:val="en-US" w:eastAsia="zh-CN" w:bidi="ar-SA"/>
              </w:rPr>
              <w:t>934.8</w:t>
            </w:r>
          </w:p>
        </w:tc>
        <w:tc>
          <w:tcPr>
            <w:tcW w:w="731" w:type="pct"/>
            <w:noWrap w:val="0"/>
            <w:vAlign w:val="center"/>
          </w:tcPr>
          <w:p w14:paraId="2D0A9D9C">
            <w:pPr>
              <w:pStyle w:val="48"/>
              <w:bidi w:val="0"/>
              <w:jc w:val="center"/>
              <w:rPr>
                <w:b w:val="0"/>
                <w:bCs/>
                <w:color w:val="00B050"/>
                <w:sz w:val="21"/>
                <w:szCs w:val="21"/>
                <w:lang w:val="en-US" w:eastAsia="zh-CN" w:bidi="ar-SA"/>
              </w:rPr>
            </w:pPr>
            <w:r>
              <w:rPr>
                <w:b w:val="0"/>
                <w:bCs/>
                <w:color w:val="00B050"/>
                <w:sz w:val="21"/>
                <w:szCs w:val="21"/>
                <w:lang w:val="en-US" w:eastAsia="zh-CN" w:bidi="ar-SA"/>
              </w:rPr>
              <w:t>相对密度</w:t>
            </w:r>
          </w:p>
          <w:p w14:paraId="3DD9D513">
            <w:pPr>
              <w:pStyle w:val="48"/>
              <w:bidi w:val="0"/>
              <w:jc w:val="center"/>
              <w:rPr>
                <w:b w:val="0"/>
                <w:bCs/>
                <w:color w:val="00B050"/>
                <w:sz w:val="21"/>
                <w:szCs w:val="21"/>
                <w:lang w:val="en-US" w:eastAsia="zh-CN" w:bidi="ar-SA"/>
              </w:rPr>
            </w:pPr>
            <w:r>
              <w:rPr>
                <w:b w:val="0"/>
                <w:bCs/>
                <w:color w:val="00B050"/>
                <w:sz w:val="21"/>
                <w:szCs w:val="21"/>
                <w:lang w:val="en-US" w:eastAsia="zh-CN" w:bidi="ar-SA"/>
              </w:rPr>
              <w:t>（空气=1)</w:t>
            </w:r>
          </w:p>
        </w:tc>
        <w:tc>
          <w:tcPr>
            <w:tcW w:w="723" w:type="pct"/>
            <w:noWrap w:val="0"/>
            <w:vAlign w:val="center"/>
          </w:tcPr>
          <w:p w14:paraId="02243792">
            <w:pPr>
              <w:pStyle w:val="48"/>
              <w:bidi w:val="0"/>
              <w:jc w:val="center"/>
              <w:rPr>
                <w:b w:val="0"/>
                <w:bCs/>
                <w:color w:val="00B050"/>
                <w:sz w:val="21"/>
                <w:szCs w:val="21"/>
                <w:lang w:val="en-US" w:eastAsia="zh-CN" w:bidi="ar-SA"/>
              </w:rPr>
            </w:pPr>
            <w:r>
              <w:rPr>
                <w:b w:val="0"/>
                <w:bCs/>
                <w:color w:val="00B050"/>
                <w:sz w:val="21"/>
                <w:szCs w:val="21"/>
                <w:lang w:val="en-US" w:eastAsia="zh-CN" w:bidi="ar-SA"/>
              </w:rPr>
              <w:t>0.85</w:t>
            </w:r>
          </w:p>
        </w:tc>
      </w:tr>
      <w:tr w14:paraId="121D88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549" w:type="pct"/>
            <w:vMerge w:val="continue"/>
            <w:tcBorders>
              <w:top w:val="nil"/>
              <w:bottom w:val="nil"/>
            </w:tcBorders>
            <w:noWrap w:val="0"/>
            <w:vAlign w:val="center"/>
          </w:tcPr>
          <w:p w14:paraId="00CA59FF">
            <w:pPr>
              <w:pStyle w:val="48"/>
              <w:bidi w:val="0"/>
              <w:jc w:val="center"/>
              <w:rPr>
                <w:b w:val="0"/>
                <w:bCs/>
                <w:color w:val="00B050"/>
                <w:sz w:val="21"/>
                <w:szCs w:val="21"/>
                <w:lang w:val="en-US" w:eastAsia="zh-CN" w:bidi="ar-SA"/>
              </w:rPr>
            </w:pPr>
          </w:p>
        </w:tc>
        <w:tc>
          <w:tcPr>
            <w:tcW w:w="517" w:type="pct"/>
            <w:noWrap w:val="0"/>
            <w:vAlign w:val="center"/>
          </w:tcPr>
          <w:p w14:paraId="5499EF8B">
            <w:pPr>
              <w:pStyle w:val="48"/>
              <w:bidi w:val="0"/>
              <w:jc w:val="center"/>
              <w:rPr>
                <w:b w:val="0"/>
                <w:bCs/>
                <w:color w:val="00B050"/>
                <w:sz w:val="21"/>
                <w:szCs w:val="21"/>
                <w:lang w:val="en-US" w:eastAsia="zh-CN" w:bidi="ar-SA"/>
              </w:rPr>
            </w:pPr>
            <w:r>
              <w:rPr>
                <w:b w:val="0"/>
                <w:bCs/>
                <w:color w:val="00B050"/>
                <w:sz w:val="21"/>
                <w:szCs w:val="21"/>
                <w:lang w:val="en-US" w:eastAsia="zh-CN" w:bidi="ar-SA"/>
              </w:rPr>
              <w:t>沸点(℃)</w:t>
            </w:r>
          </w:p>
        </w:tc>
        <w:tc>
          <w:tcPr>
            <w:tcW w:w="1037" w:type="pct"/>
            <w:noWrap w:val="0"/>
            <w:vAlign w:val="center"/>
          </w:tcPr>
          <w:p w14:paraId="4CD2A587">
            <w:pPr>
              <w:pStyle w:val="48"/>
              <w:bidi w:val="0"/>
              <w:jc w:val="center"/>
              <w:rPr>
                <w:b w:val="0"/>
                <w:bCs/>
                <w:color w:val="00B050"/>
                <w:sz w:val="21"/>
                <w:szCs w:val="21"/>
                <w:lang w:val="en-US" w:eastAsia="zh-CN" w:bidi="ar-SA"/>
              </w:rPr>
            </w:pPr>
            <w:r>
              <w:rPr>
                <w:b w:val="0"/>
                <w:bCs/>
                <w:color w:val="00B050"/>
                <w:sz w:val="21"/>
                <w:szCs w:val="21"/>
                <w:lang w:val="en-US" w:eastAsia="zh-CN" w:bidi="ar-SA"/>
              </w:rPr>
              <w:t>-252.8</w:t>
            </w:r>
          </w:p>
        </w:tc>
        <w:tc>
          <w:tcPr>
            <w:tcW w:w="1439" w:type="pct"/>
            <w:gridSpan w:val="2"/>
            <w:noWrap w:val="0"/>
            <w:vAlign w:val="center"/>
          </w:tcPr>
          <w:p w14:paraId="6B7FE376">
            <w:pPr>
              <w:pStyle w:val="48"/>
              <w:bidi w:val="0"/>
              <w:jc w:val="center"/>
              <w:rPr>
                <w:b w:val="0"/>
                <w:bCs/>
                <w:color w:val="00B050"/>
                <w:sz w:val="21"/>
                <w:szCs w:val="21"/>
                <w:lang w:val="en-US" w:eastAsia="zh-CN" w:bidi="ar-SA"/>
              </w:rPr>
            </w:pPr>
            <w:r>
              <w:rPr>
                <w:b w:val="0"/>
                <w:bCs/>
                <w:color w:val="00B050"/>
                <w:sz w:val="21"/>
                <w:szCs w:val="21"/>
                <w:lang w:val="en-US" w:eastAsia="zh-CN" w:bidi="ar-SA"/>
              </w:rPr>
              <w:t>饱和蒸汽压(kpa)</w:t>
            </w:r>
          </w:p>
        </w:tc>
        <w:tc>
          <w:tcPr>
            <w:tcW w:w="1455" w:type="pct"/>
            <w:gridSpan w:val="2"/>
            <w:noWrap w:val="0"/>
            <w:vAlign w:val="center"/>
          </w:tcPr>
          <w:p w14:paraId="24FD6AF6">
            <w:pPr>
              <w:pStyle w:val="48"/>
              <w:bidi w:val="0"/>
              <w:jc w:val="center"/>
              <w:rPr>
                <w:b w:val="0"/>
                <w:bCs/>
                <w:color w:val="00B050"/>
                <w:sz w:val="21"/>
                <w:szCs w:val="21"/>
                <w:lang w:val="en-US" w:eastAsia="zh-CN" w:bidi="ar-SA"/>
              </w:rPr>
            </w:pPr>
            <w:r>
              <w:rPr>
                <w:b w:val="0"/>
                <w:bCs/>
                <w:color w:val="00B050"/>
                <w:sz w:val="21"/>
                <w:szCs w:val="21"/>
                <w:lang w:val="en-US" w:eastAsia="zh-CN" w:bidi="ar-SA"/>
              </w:rPr>
              <w:t>0.13/145.8℃</w:t>
            </w:r>
          </w:p>
        </w:tc>
      </w:tr>
      <w:tr w14:paraId="411855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49" w:type="pct"/>
            <w:vMerge w:val="continue"/>
            <w:tcBorders>
              <w:top w:val="nil"/>
            </w:tcBorders>
            <w:noWrap w:val="0"/>
            <w:vAlign w:val="center"/>
          </w:tcPr>
          <w:p w14:paraId="6104BF05">
            <w:pPr>
              <w:pStyle w:val="48"/>
              <w:bidi w:val="0"/>
              <w:jc w:val="center"/>
              <w:rPr>
                <w:b w:val="0"/>
                <w:bCs/>
                <w:color w:val="00B050"/>
                <w:sz w:val="21"/>
                <w:szCs w:val="21"/>
                <w:lang w:val="en-US" w:eastAsia="zh-CN" w:bidi="ar-SA"/>
              </w:rPr>
            </w:pPr>
          </w:p>
        </w:tc>
        <w:tc>
          <w:tcPr>
            <w:tcW w:w="517" w:type="pct"/>
            <w:noWrap w:val="0"/>
            <w:vAlign w:val="center"/>
          </w:tcPr>
          <w:p w14:paraId="13F24E02">
            <w:pPr>
              <w:pStyle w:val="48"/>
              <w:bidi w:val="0"/>
              <w:jc w:val="center"/>
              <w:rPr>
                <w:b w:val="0"/>
                <w:bCs/>
                <w:color w:val="00B050"/>
                <w:sz w:val="21"/>
                <w:szCs w:val="21"/>
                <w:lang w:val="en-US" w:eastAsia="zh-CN" w:bidi="ar-SA"/>
              </w:rPr>
            </w:pPr>
            <w:r>
              <w:rPr>
                <w:b w:val="0"/>
                <w:bCs/>
                <w:color w:val="00B050"/>
                <w:sz w:val="21"/>
                <w:szCs w:val="21"/>
                <w:lang w:val="en-US" w:eastAsia="zh-CN" w:bidi="ar-SA"/>
              </w:rPr>
              <w:t>溶解性</w:t>
            </w:r>
          </w:p>
        </w:tc>
        <w:tc>
          <w:tcPr>
            <w:tcW w:w="3932" w:type="pct"/>
            <w:gridSpan w:val="5"/>
            <w:noWrap w:val="0"/>
            <w:vAlign w:val="center"/>
          </w:tcPr>
          <w:p w14:paraId="64FF0844">
            <w:pPr>
              <w:pStyle w:val="48"/>
              <w:bidi w:val="0"/>
              <w:jc w:val="center"/>
              <w:rPr>
                <w:b w:val="0"/>
                <w:bCs/>
                <w:color w:val="00B050"/>
                <w:sz w:val="21"/>
                <w:szCs w:val="21"/>
                <w:lang w:val="en-US" w:eastAsia="zh-CN" w:bidi="ar-SA"/>
              </w:rPr>
            </w:pPr>
            <w:r>
              <w:rPr>
                <w:b w:val="0"/>
                <w:bCs/>
                <w:color w:val="00B050"/>
                <w:sz w:val="21"/>
                <w:szCs w:val="21"/>
                <w:lang w:val="en-US" w:eastAsia="zh-CN" w:bidi="ar-SA"/>
              </w:rPr>
              <w:t>溶于苯、乙醇、乙謎、氯仿、内酮等多数有机溶剂。</w:t>
            </w:r>
          </w:p>
        </w:tc>
      </w:tr>
      <w:tr w14:paraId="6699D7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49" w:type="pct"/>
            <w:vMerge w:val="restart"/>
            <w:noWrap w:val="0"/>
            <w:vAlign w:val="center"/>
          </w:tcPr>
          <w:p w14:paraId="3BA40F48">
            <w:pPr>
              <w:pStyle w:val="48"/>
              <w:bidi w:val="0"/>
              <w:jc w:val="center"/>
              <w:rPr>
                <w:b w:val="0"/>
                <w:bCs/>
                <w:color w:val="00B050"/>
                <w:sz w:val="21"/>
                <w:szCs w:val="21"/>
                <w:lang w:val="en-US" w:eastAsia="zh-CN" w:bidi="ar-SA"/>
              </w:rPr>
            </w:pPr>
            <w:r>
              <w:rPr>
                <w:b w:val="0"/>
                <w:bCs/>
                <w:color w:val="00B050"/>
                <w:sz w:val="21"/>
                <w:szCs w:val="21"/>
                <w:lang w:val="en-US" w:eastAsia="zh-CN" w:bidi="ar-SA"/>
              </w:rPr>
              <w:t>燃烧爆炸危险</w:t>
            </w:r>
          </w:p>
        </w:tc>
        <w:tc>
          <w:tcPr>
            <w:tcW w:w="517" w:type="pct"/>
            <w:noWrap w:val="0"/>
            <w:vAlign w:val="center"/>
          </w:tcPr>
          <w:p w14:paraId="3A880C3D">
            <w:pPr>
              <w:pStyle w:val="48"/>
              <w:bidi w:val="0"/>
              <w:jc w:val="center"/>
              <w:rPr>
                <w:b w:val="0"/>
                <w:bCs/>
                <w:color w:val="00B050"/>
                <w:sz w:val="21"/>
                <w:szCs w:val="21"/>
                <w:lang w:val="en-US" w:eastAsia="zh-CN" w:bidi="ar-SA"/>
              </w:rPr>
            </w:pPr>
            <w:r>
              <w:rPr>
                <w:b w:val="0"/>
                <w:bCs/>
                <w:color w:val="00B050"/>
                <w:sz w:val="21"/>
                <w:szCs w:val="21"/>
                <w:lang w:val="en-US" w:eastAsia="zh-CN" w:bidi="ar-SA"/>
              </w:rPr>
              <w:t>危险特性</w:t>
            </w:r>
          </w:p>
        </w:tc>
        <w:tc>
          <w:tcPr>
            <w:tcW w:w="1745" w:type="pct"/>
            <w:gridSpan w:val="2"/>
            <w:noWrap w:val="0"/>
            <w:vAlign w:val="center"/>
          </w:tcPr>
          <w:p w14:paraId="061D38F7">
            <w:pPr>
              <w:pStyle w:val="48"/>
              <w:bidi w:val="0"/>
              <w:jc w:val="center"/>
              <w:rPr>
                <w:b w:val="0"/>
                <w:bCs/>
                <w:color w:val="00B050"/>
                <w:sz w:val="21"/>
                <w:szCs w:val="21"/>
                <w:lang w:val="en-US" w:eastAsia="zh-CN" w:bidi="ar-SA"/>
              </w:rPr>
            </w:pPr>
            <w:r>
              <w:rPr>
                <w:b w:val="0"/>
                <w:bCs/>
                <w:color w:val="00B050"/>
                <w:sz w:val="21"/>
                <w:szCs w:val="21"/>
                <w:lang w:val="en-US" w:eastAsia="zh-CN" w:bidi="ar-SA"/>
              </w:rPr>
              <w:t>可燃液体，火灾危险性为丙B类：遇明火、高热可燃。</w:t>
            </w:r>
          </w:p>
        </w:tc>
        <w:tc>
          <w:tcPr>
            <w:tcW w:w="731" w:type="pct"/>
            <w:noWrap w:val="0"/>
            <w:vAlign w:val="center"/>
          </w:tcPr>
          <w:p w14:paraId="7B5327BF">
            <w:pPr>
              <w:pStyle w:val="48"/>
              <w:bidi w:val="0"/>
              <w:jc w:val="center"/>
              <w:rPr>
                <w:b w:val="0"/>
                <w:bCs/>
                <w:color w:val="00B050"/>
                <w:sz w:val="21"/>
                <w:szCs w:val="21"/>
                <w:lang w:val="en-US" w:eastAsia="zh-CN" w:bidi="ar-SA"/>
              </w:rPr>
            </w:pPr>
            <w:r>
              <w:rPr>
                <w:b w:val="0"/>
                <w:bCs/>
                <w:color w:val="00B050"/>
                <w:sz w:val="21"/>
                <w:szCs w:val="21"/>
                <w:lang w:val="en-US" w:eastAsia="zh-CN" w:bidi="ar-SA"/>
              </w:rPr>
              <w:t>燃烧分解产物</w:t>
            </w:r>
          </w:p>
        </w:tc>
        <w:tc>
          <w:tcPr>
            <w:tcW w:w="1455" w:type="pct"/>
            <w:gridSpan w:val="2"/>
            <w:noWrap w:val="0"/>
            <w:vAlign w:val="center"/>
          </w:tcPr>
          <w:p w14:paraId="62535DFE">
            <w:pPr>
              <w:pStyle w:val="48"/>
              <w:bidi w:val="0"/>
              <w:jc w:val="center"/>
              <w:rPr>
                <w:b w:val="0"/>
                <w:bCs/>
                <w:color w:val="00B050"/>
                <w:sz w:val="21"/>
                <w:szCs w:val="21"/>
                <w:lang w:val="en-US" w:eastAsia="zh-CN" w:bidi="ar-SA"/>
              </w:rPr>
            </w:pPr>
            <w:r>
              <w:rPr>
                <w:b w:val="0"/>
                <w:bCs/>
                <w:color w:val="00B050"/>
                <w:sz w:val="21"/>
                <w:szCs w:val="21"/>
                <w:lang w:val="en-US" w:eastAsia="zh-CN" w:bidi="ar-SA"/>
              </w:rPr>
              <w:t>CO等有毒有害气体</w:t>
            </w:r>
          </w:p>
        </w:tc>
      </w:tr>
      <w:tr w14:paraId="6E20F0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549" w:type="pct"/>
            <w:vMerge w:val="continue"/>
            <w:noWrap w:val="0"/>
            <w:vAlign w:val="center"/>
          </w:tcPr>
          <w:p w14:paraId="2B527A63">
            <w:pPr>
              <w:pStyle w:val="48"/>
              <w:bidi w:val="0"/>
              <w:jc w:val="center"/>
              <w:rPr>
                <w:b w:val="0"/>
                <w:bCs/>
                <w:color w:val="00B050"/>
                <w:sz w:val="21"/>
                <w:szCs w:val="21"/>
                <w:lang w:val="en-US" w:eastAsia="zh-CN" w:bidi="ar-SA"/>
              </w:rPr>
            </w:pPr>
          </w:p>
        </w:tc>
        <w:tc>
          <w:tcPr>
            <w:tcW w:w="517" w:type="pct"/>
            <w:noWrap w:val="0"/>
            <w:vAlign w:val="center"/>
          </w:tcPr>
          <w:p w14:paraId="106E9DB3">
            <w:pPr>
              <w:pStyle w:val="48"/>
              <w:bidi w:val="0"/>
              <w:jc w:val="center"/>
              <w:rPr>
                <w:b w:val="0"/>
                <w:bCs/>
                <w:color w:val="00B050"/>
                <w:sz w:val="21"/>
                <w:szCs w:val="21"/>
                <w:lang w:val="en-US" w:eastAsia="zh-CN" w:bidi="ar-SA"/>
              </w:rPr>
            </w:pPr>
            <w:r>
              <w:rPr>
                <w:b w:val="0"/>
                <w:bCs/>
                <w:color w:val="00B050"/>
                <w:sz w:val="21"/>
                <w:szCs w:val="21"/>
                <w:lang w:val="en-US" w:eastAsia="zh-CN" w:bidi="ar-SA"/>
              </w:rPr>
              <w:t>稳定性</w:t>
            </w:r>
          </w:p>
        </w:tc>
        <w:tc>
          <w:tcPr>
            <w:tcW w:w="1745" w:type="pct"/>
            <w:gridSpan w:val="2"/>
            <w:noWrap w:val="0"/>
            <w:vAlign w:val="center"/>
          </w:tcPr>
          <w:p w14:paraId="1C904958">
            <w:pPr>
              <w:pStyle w:val="48"/>
              <w:bidi w:val="0"/>
              <w:jc w:val="center"/>
              <w:rPr>
                <w:b w:val="0"/>
                <w:bCs/>
                <w:color w:val="00B050"/>
                <w:sz w:val="21"/>
                <w:szCs w:val="21"/>
                <w:lang w:val="en-US" w:eastAsia="zh-CN" w:bidi="ar-SA"/>
              </w:rPr>
            </w:pPr>
            <w:r>
              <w:rPr>
                <w:b w:val="0"/>
                <w:bCs/>
                <w:color w:val="00B050"/>
                <w:sz w:val="21"/>
                <w:szCs w:val="21"/>
                <w:lang w:val="en-US" w:eastAsia="zh-CN" w:bidi="ar-SA"/>
              </w:rPr>
              <w:t>稳定</w:t>
            </w:r>
          </w:p>
        </w:tc>
        <w:tc>
          <w:tcPr>
            <w:tcW w:w="731" w:type="pct"/>
            <w:noWrap w:val="0"/>
            <w:vAlign w:val="center"/>
          </w:tcPr>
          <w:p w14:paraId="3390AEC7">
            <w:pPr>
              <w:pStyle w:val="48"/>
              <w:bidi w:val="0"/>
              <w:jc w:val="center"/>
              <w:rPr>
                <w:b w:val="0"/>
                <w:bCs/>
                <w:color w:val="00B050"/>
                <w:sz w:val="21"/>
                <w:szCs w:val="21"/>
                <w:lang w:val="en-US" w:eastAsia="zh-CN" w:bidi="ar-SA"/>
              </w:rPr>
            </w:pPr>
            <w:r>
              <w:rPr>
                <w:b w:val="0"/>
                <w:bCs/>
                <w:color w:val="00B050"/>
                <w:sz w:val="21"/>
                <w:szCs w:val="21"/>
                <w:lang w:val="en-US" w:eastAsia="zh-CN" w:bidi="ar-SA"/>
              </w:rPr>
              <w:t>禁忌物</w:t>
            </w:r>
          </w:p>
        </w:tc>
        <w:tc>
          <w:tcPr>
            <w:tcW w:w="1455" w:type="pct"/>
            <w:gridSpan w:val="2"/>
            <w:noWrap w:val="0"/>
            <w:vAlign w:val="center"/>
          </w:tcPr>
          <w:p w14:paraId="32B1D7AE">
            <w:pPr>
              <w:pStyle w:val="48"/>
              <w:bidi w:val="0"/>
              <w:jc w:val="center"/>
              <w:rPr>
                <w:b w:val="0"/>
                <w:bCs/>
                <w:color w:val="00B050"/>
                <w:sz w:val="21"/>
                <w:szCs w:val="21"/>
                <w:lang w:val="en-US" w:eastAsia="zh-CN" w:bidi="ar-SA"/>
              </w:rPr>
            </w:pPr>
            <w:r>
              <w:rPr>
                <w:b w:val="0"/>
                <w:bCs/>
                <w:color w:val="00B050"/>
                <w:sz w:val="21"/>
                <w:szCs w:val="21"/>
                <w:lang w:val="en-US" w:eastAsia="zh-CN" w:bidi="ar-SA"/>
              </w:rPr>
              <w:t>硝酸等强氧化剂。</w:t>
            </w:r>
          </w:p>
        </w:tc>
      </w:tr>
      <w:tr w14:paraId="44EEE2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8" w:hRule="atLeast"/>
        </w:trPr>
        <w:tc>
          <w:tcPr>
            <w:tcW w:w="549" w:type="pct"/>
            <w:vMerge w:val="continue"/>
            <w:noWrap w:val="0"/>
            <w:vAlign w:val="center"/>
          </w:tcPr>
          <w:p w14:paraId="573A270E">
            <w:pPr>
              <w:pStyle w:val="48"/>
              <w:bidi w:val="0"/>
              <w:jc w:val="center"/>
              <w:rPr>
                <w:b w:val="0"/>
                <w:bCs/>
                <w:color w:val="00B050"/>
                <w:sz w:val="21"/>
                <w:szCs w:val="21"/>
                <w:lang w:val="en-US" w:eastAsia="zh-CN" w:bidi="ar-SA"/>
              </w:rPr>
            </w:pPr>
          </w:p>
        </w:tc>
        <w:tc>
          <w:tcPr>
            <w:tcW w:w="517" w:type="pct"/>
            <w:noWrap w:val="0"/>
            <w:vAlign w:val="center"/>
          </w:tcPr>
          <w:p w14:paraId="6141523A">
            <w:pPr>
              <w:pStyle w:val="48"/>
              <w:bidi w:val="0"/>
              <w:jc w:val="center"/>
              <w:rPr>
                <w:b w:val="0"/>
                <w:bCs/>
                <w:color w:val="00B050"/>
                <w:sz w:val="21"/>
                <w:szCs w:val="21"/>
                <w:lang w:val="en-US" w:eastAsia="zh-CN" w:bidi="ar-SA"/>
              </w:rPr>
            </w:pPr>
            <w:r>
              <w:rPr>
                <w:b w:val="0"/>
                <w:bCs/>
                <w:color w:val="00B050"/>
                <w:sz w:val="21"/>
                <w:szCs w:val="21"/>
                <w:lang w:val="en-US" w:eastAsia="zh-CN" w:bidi="ar-SA"/>
              </w:rPr>
              <w:t>灭火方法</w:t>
            </w:r>
          </w:p>
        </w:tc>
        <w:tc>
          <w:tcPr>
            <w:tcW w:w="3932" w:type="pct"/>
            <w:gridSpan w:val="5"/>
            <w:noWrap w:val="0"/>
            <w:vAlign w:val="center"/>
          </w:tcPr>
          <w:p w14:paraId="47148E41">
            <w:pPr>
              <w:pStyle w:val="48"/>
              <w:bidi w:val="0"/>
              <w:jc w:val="center"/>
              <w:rPr>
                <w:b w:val="0"/>
                <w:bCs/>
                <w:color w:val="00B050"/>
                <w:sz w:val="21"/>
                <w:szCs w:val="21"/>
                <w:lang w:val="en-US" w:eastAsia="zh-CN" w:bidi="ar-SA"/>
              </w:rPr>
            </w:pPr>
            <w:r>
              <w:rPr>
                <w:b w:val="0"/>
                <w:bCs/>
                <w:color w:val="00B050"/>
                <w:sz w:val="21"/>
                <w:szCs w:val="21"/>
                <w:lang w:val="en-US" w:eastAsia="zh-CN" w:bidi="ar-SA"/>
              </w:rPr>
              <w:t>消防人员须佩戴防毒面具、穿全身消防服，在上风向灭火。尽可能将容器从火场移至空旷处。喷水保持火场容器冷却，直至灭火结束。处在火场中的容器若已变色或从安全泄压装置中产生声音，必须立即撤离。灭火剂：雾状水、泡沫、干粉、二氧化碳、砂土。</w:t>
            </w:r>
          </w:p>
        </w:tc>
      </w:tr>
      <w:tr w14:paraId="1DB834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1067" w:type="pct"/>
            <w:gridSpan w:val="2"/>
            <w:noWrap w:val="0"/>
            <w:vAlign w:val="center"/>
          </w:tcPr>
          <w:p w14:paraId="00CEEDEA">
            <w:pPr>
              <w:pStyle w:val="48"/>
              <w:bidi w:val="0"/>
              <w:jc w:val="center"/>
              <w:rPr>
                <w:b w:val="0"/>
                <w:bCs/>
                <w:color w:val="00B050"/>
                <w:sz w:val="21"/>
                <w:szCs w:val="21"/>
                <w:lang w:val="en-US" w:eastAsia="zh-CN" w:bidi="ar-SA"/>
              </w:rPr>
            </w:pPr>
            <w:r>
              <w:rPr>
                <w:b w:val="0"/>
                <w:bCs/>
                <w:color w:val="00B050"/>
                <w:sz w:val="21"/>
                <w:szCs w:val="21"/>
                <w:lang w:val="en-US" w:eastAsia="zh-CN" w:bidi="ar-SA"/>
              </w:rPr>
              <w:t>健康危害</w:t>
            </w:r>
          </w:p>
        </w:tc>
        <w:tc>
          <w:tcPr>
            <w:tcW w:w="3932" w:type="pct"/>
            <w:gridSpan w:val="5"/>
            <w:noWrap w:val="0"/>
            <w:vAlign w:val="center"/>
          </w:tcPr>
          <w:p w14:paraId="4652238D">
            <w:pPr>
              <w:pStyle w:val="48"/>
              <w:bidi w:val="0"/>
              <w:jc w:val="center"/>
              <w:rPr>
                <w:b w:val="0"/>
                <w:bCs/>
                <w:color w:val="00B050"/>
                <w:sz w:val="21"/>
                <w:szCs w:val="21"/>
                <w:lang w:val="en-US" w:eastAsia="zh-CN" w:bidi="ar-SA"/>
              </w:rPr>
            </w:pPr>
            <w:r>
              <w:rPr>
                <w:b w:val="0"/>
                <w:bCs/>
                <w:color w:val="00B050"/>
                <w:sz w:val="21"/>
                <w:szCs w:val="21"/>
                <w:lang w:val="en-US" w:eastAsia="zh-CN" w:bidi="ar-SA"/>
              </w:rPr>
              <w:t>急性吸入，可出现乏力、头晕、头痛、恶心，严重者可引起油脂性肺炎。</w:t>
            </w:r>
          </w:p>
          <w:p w14:paraId="047B2BDD">
            <w:pPr>
              <w:pStyle w:val="48"/>
              <w:bidi w:val="0"/>
              <w:jc w:val="center"/>
              <w:rPr>
                <w:b w:val="0"/>
                <w:bCs/>
                <w:color w:val="00B050"/>
                <w:sz w:val="21"/>
                <w:szCs w:val="21"/>
                <w:lang w:val="en-US" w:eastAsia="zh-CN" w:bidi="ar-SA"/>
              </w:rPr>
            </w:pPr>
            <w:r>
              <w:rPr>
                <w:b w:val="0"/>
                <w:bCs/>
                <w:color w:val="00B050"/>
                <w:sz w:val="21"/>
                <w:szCs w:val="21"/>
                <w:lang w:val="en-US" w:eastAsia="zh-CN" w:bidi="ar-SA"/>
              </w:rPr>
              <w:t>慢接触者，暴露部位可发生油性疮和接触性皮炎。可引发神经哀弱综合症，呼吸道和眼刺激症状及慢性油脂性肺炎。</w:t>
            </w:r>
          </w:p>
        </w:tc>
      </w:tr>
      <w:tr w14:paraId="2958F3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1067" w:type="pct"/>
            <w:gridSpan w:val="2"/>
            <w:noWrap w:val="0"/>
            <w:vAlign w:val="center"/>
          </w:tcPr>
          <w:p w14:paraId="5B7B4096">
            <w:pPr>
              <w:pStyle w:val="48"/>
              <w:bidi w:val="0"/>
              <w:jc w:val="center"/>
              <w:rPr>
                <w:b w:val="0"/>
                <w:bCs/>
                <w:color w:val="00B050"/>
                <w:sz w:val="21"/>
                <w:szCs w:val="21"/>
                <w:lang w:val="en-US" w:eastAsia="zh-CN" w:bidi="ar-SA"/>
              </w:rPr>
            </w:pPr>
            <w:r>
              <w:rPr>
                <w:b w:val="0"/>
                <w:bCs/>
                <w:color w:val="00B050"/>
                <w:sz w:val="21"/>
                <w:szCs w:val="21"/>
                <w:lang w:val="en-US" w:eastAsia="zh-CN" w:bidi="ar-SA"/>
              </w:rPr>
              <w:t>急救措施</w:t>
            </w:r>
          </w:p>
        </w:tc>
        <w:tc>
          <w:tcPr>
            <w:tcW w:w="3932" w:type="pct"/>
            <w:gridSpan w:val="5"/>
            <w:noWrap w:val="0"/>
            <w:vAlign w:val="center"/>
          </w:tcPr>
          <w:p w14:paraId="6A44AD44">
            <w:pPr>
              <w:pStyle w:val="48"/>
              <w:bidi w:val="0"/>
              <w:jc w:val="center"/>
              <w:rPr>
                <w:b w:val="0"/>
                <w:bCs/>
                <w:color w:val="00B050"/>
                <w:sz w:val="21"/>
                <w:szCs w:val="21"/>
                <w:lang w:val="en-US" w:eastAsia="zh-CN" w:bidi="ar-SA"/>
              </w:rPr>
            </w:pPr>
            <w:r>
              <w:rPr>
                <w:b w:val="0"/>
                <w:bCs/>
                <w:color w:val="00B050"/>
                <w:sz w:val="21"/>
                <w:szCs w:val="21"/>
                <w:lang w:val="en-US" w:eastAsia="zh-CN" w:bidi="ar-SA"/>
              </w:rPr>
              <w:t>皮肤接触：脱去污染者衣着，用大量流动清水清洗。就医。眼接触：提起眼脸，用流动清水或生理盐水冲洗。就医。吸入：迅速脱离现场至空气新鲜处，保持呼吸通畅。如呼吸困难，给输氧。如呼吸停止，立即进行人工呼吸。就医。食用：饮适量温水，催吐。就医。</w:t>
            </w:r>
          </w:p>
        </w:tc>
      </w:tr>
      <w:tr w14:paraId="62FC5A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1067" w:type="pct"/>
            <w:gridSpan w:val="2"/>
            <w:noWrap w:val="0"/>
            <w:vAlign w:val="center"/>
          </w:tcPr>
          <w:p w14:paraId="7A2F5A4E">
            <w:pPr>
              <w:pStyle w:val="48"/>
              <w:bidi w:val="0"/>
              <w:jc w:val="center"/>
              <w:rPr>
                <w:b w:val="0"/>
                <w:bCs/>
                <w:color w:val="00B050"/>
                <w:sz w:val="21"/>
                <w:szCs w:val="21"/>
                <w:lang w:val="en-US" w:eastAsia="zh-CN" w:bidi="ar-SA"/>
              </w:rPr>
            </w:pPr>
            <w:r>
              <w:rPr>
                <w:b w:val="0"/>
                <w:bCs/>
                <w:color w:val="00B050"/>
                <w:sz w:val="21"/>
                <w:szCs w:val="21"/>
                <w:lang w:val="en-US" w:eastAsia="zh-CN" w:bidi="ar-SA"/>
              </w:rPr>
              <w:t>防护处理</w:t>
            </w:r>
          </w:p>
        </w:tc>
        <w:tc>
          <w:tcPr>
            <w:tcW w:w="3932" w:type="pct"/>
            <w:gridSpan w:val="5"/>
            <w:noWrap w:val="0"/>
            <w:vAlign w:val="center"/>
          </w:tcPr>
          <w:p w14:paraId="4E39A5A8">
            <w:pPr>
              <w:pStyle w:val="48"/>
              <w:bidi w:val="0"/>
              <w:jc w:val="center"/>
              <w:rPr>
                <w:b w:val="0"/>
                <w:bCs/>
                <w:color w:val="00B050"/>
                <w:sz w:val="21"/>
                <w:szCs w:val="21"/>
                <w:lang w:val="en-US" w:eastAsia="zh-CN" w:bidi="ar-SA"/>
              </w:rPr>
            </w:pPr>
            <w:r>
              <w:rPr>
                <w:b w:val="0"/>
                <w:bCs/>
                <w:color w:val="00B050"/>
                <w:sz w:val="21"/>
                <w:szCs w:val="21"/>
                <w:lang w:val="en-US" w:eastAsia="zh-CN" w:bidi="ar-SA"/>
              </w:rPr>
              <w:t>呼吸系统防护：空气中浓度超标时，必须佩戴自吸过滤防毒面具（半面罩）；紧急事态抢救或撤离时，应佩戴空气呼吸器。眼睛防护：戴化学安全防护眼镜。身体防护：穿防毒渗透工作服。手防护：戴橡胶耐油手套。其他：工作现场严禁吸烟，避免长期反复接触。</w:t>
            </w:r>
          </w:p>
        </w:tc>
      </w:tr>
      <w:tr w14:paraId="4233B5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trPr>
        <w:tc>
          <w:tcPr>
            <w:tcW w:w="1067" w:type="pct"/>
            <w:gridSpan w:val="2"/>
            <w:noWrap w:val="0"/>
            <w:vAlign w:val="center"/>
          </w:tcPr>
          <w:p w14:paraId="591C49FC">
            <w:pPr>
              <w:pStyle w:val="48"/>
              <w:bidi w:val="0"/>
              <w:jc w:val="center"/>
              <w:rPr>
                <w:b w:val="0"/>
                <w:bCs/>
                <w:color w:val="00B050"/>
                <w:sz w:val="21"/>
                <w:szCs w:val="21"/>
                <w:lang w:val="en-US" w:eastAsia="zh-CN" w:bidi="ar-SA"/>
              </w:rPr>
            </w:pPr>
            <w:r>
              <w:rPr>
                <w:b w:val="0"/>
                <w:bCs/>
                <w:color w:val="00B050"/>
                <w:sz w:val="21"/>
                <w:szCs w:val="21"/>
                <w:lang w:val="en-US" w:eastAsia="zh-CN" w:bidi="ar-SA"/>
              </w:rPr>
              <w:t>泄漏处理</w:t>
            </w:r>
          </w:p>
        </w:tc>
        <w:tc>
          <w:tcPr>
            <w:tcW w:w="3932" w:type="pct"/>
            <w:gridSpan w:val="5"/>
            <w:noWrap w:val="0"/>
            <w:vAlign w:val="center"/>
          </w:tcPr>
          <w:p w14:paraId="518D1AB9">
            <w:pPr>
              <w:pStyle w:val="48"/>
              <w:bidi w:val="0"/>
              <w:jc w:val="center"/>
              <w:rPr>
                <w:b w:val="0"/>
                <w:bCs/>
                <w:color w:val="00B050"/>
                <w:sz w:val="21"/>
                <w:szCs w:val="21"/>
                <w:lang w:val="en-US" w:eastAsia="zh-CN" w:bidi="ar-SA"/>
              </w:rPr>
            </w:pPr>
            <w:r>
              <w:rPr>
                <w:b w:val="0"/>
                <w:bCs/>
                <w:color w:val="00B050"/>
                <w:sz w:val="21"/>
                <w:szCs w:val="21"/>
                <w:lang w:val="en-US" w:eastAsia="zh-CN" w:bidi="ar-SA"/>
              </w:rPr>
              <w:t>迅速撤离泄漏污染区人员至安全区，并进行隔离，严格限制出入。切断火源建议应急处理人员戴自给正式呼吸器，穿防毒服。尽可能切断泄漏源。防止流入下水道、排洪沟等限制性空间小量泄漏:用砂土或其它不燃材料吸附或吸收，减少挥发。大量泄漏:构筑围提或挖坑收容。用泵转移至槽车或专用收集容器内，回收或运至废物处理场所处置。</w:t>
            </w:r>
          </w:p>
        </w:tc>
      </w:tr>
      <w:tr w14:paraId="68047E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1067" w:type="pct"/>
            <w:gridSpan w:val="2"/>
            <w:noWrap w:val="0"/>
            <w:vAlign w:val="center"/>
          </w:tcPr>
          <w:p w14:paraId="2EF8BFAC">
            <w:pPr>
              <w:pStyle w:val="48"/>
              <w:bidi w:val="0"/>
              <w:jc w:val="center"/>
              <w:rPr>
                <w:b w:val="0"/>
                <w:bCs/>
                <w:color w:val="00B050"/>
                <w:sz w:val="21"/>
                <w:szCs w:val="21"/>
                <w:lang w:val="en-US" w:eastAsia="zh-CN" w:bidi="ar-SA"/>
              </w:rPr>
            </w:pPr>
            <w:r>
              <w:rPr>
                <w:b w:val="0"/>
                <w:bCs/>
                <w:color w:val="00B050"/>
                <w:sz w:val="21"/>
                <w:szCs w:val="21"/>
                <w:lang w:val="en-US" w:eastAsia="zh-CN" w:bidi="ar-SA"/>
              </w:rPr>
              <w:t>储存要求</w:t>
            </w:r>
          </w:p>
        </w:tc>
        <w:tc>
          <w:tcPr>
            <w:tcW w:w="3932" w:type="pct"/>
            <w:gridSpan w:val="5"/>
            <w:noWrap w:val="0"/>
            <w:vAlign w:val="center"/>
          </w:tcPr>
          <w:p w14:paraId="3C950E40">
            <w:pPr>
              <w:pStyle w:val="48"/>
              <w:bidi w:val="0"/>
              <w:jc w:val="center"/>
              <w:rPr>
                <w:b w:val="0"/>
                <w:bCs/>
                <w:color w:val="00B050"/>
                <w:sz w:val="21"/>
                <w:szCs w:val="21"/>
                <w:lang w:val="en-US" w:eastAsia="zh-CN" w:bidi="ar-SA"/>
              </w:rPr>
            </w:pPr>
            <w:r>
              <w:rPr>
                <w:b w:val="0"/>
                <w:bCs/>
                <w:color w:val="00B050"/>
                <w:sz w:val="21"/>
                <w:szCs w:val="21"/>
                <w:lang w:val="en-US" w:eastAsia="zh-CN" w:bidi="ar-SA"/>
              </w:rPr>
              <w:t>储存于阴凉、通风的库房。远离火种、热源。应与氧化剂分开存放，切忌混储。配备相应品种和数虽的消防器材。储区应备有泄漏应急处理设备和合适的收容材料。</w:t>
            </w:r>
          </w:p>
        </w:tc>
      </w:tr>
      <w:tr w14:paraId="635EF5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8" w:hRule="atLeast"/>
        </w:trPr>
        <w:tc>
          <w:tcPr>
            <w:tcW w:w="1067" w:type="pct"/>
            <w:gridSpan w:val="2"/>
            <w:noWrap w:val="0"/>
            <w:vAlign w:val="center"/>
          </w:tcPr>
          <w:p w14:paraId="577659EF">
            <w:pPr>
              <w:pStyle w:val="48"/>
              <w:bidi w:val="0"/>
              <w:jc w:val="center"/>
              <w:rPr>
                <w:b w:val="0"/>
                <w:bCs/>
                <w:color w:val="00B050"/>
                <w:sz w:val="21"/>
                <w:szCs w:val="21"/>
                <w:lang w:val="en-US" w:eastAsia="zh-CN" w:bidi="ar-SA"/>
              </w:rPr>
            </w:pPr>
            <w:r>
              <w:rPr>
                <w:b w:val="0"/>
                <w:bCs/>
                <w:color w:val="00B050"/>
                <w:sz w:val="21"/>
                <w:szCs w:val="21"/>
                <w:lang w:val="en-US" w:eastAsia="zh-CN" w:bidi="ar-SA"/>
              </w:rPr>
              <w:t>运输要求</w:t>
            </w:r>
          </w:p>
        </w:tc>
        <w:tc>
          <w:tcPr>
            <w:tcW w:w="3932" w:type="pct"/>
            <w:gridSpan w:val="5"/>
            <w:noWrap w:val="0"/>
            <w:vAlign w:val="center"/>
          </w:tcPr>
          <w:p w14:paraId="60251AD8">
            <w:pPr>
              <w:pStyle w:val="48"/>
              <w:bidi w:val="0"/>
              <w:jc w:val="center"/>
              <w:rPr>
                <w:b w:val="0"/>
                <w:bCs/>
                <w:color w:val="00B050"/>
                <w:sz w:val="21"/>
                <w:szCs w:val="21"/>
                <w:lang w:val="en-US" w:eastAsia="zh-CN" w:bidi="ar-SA"/>
              </w:rPr>
            </w:pPr>
            <w:r>
              <w:rPr>
                <w:b w:val="0"/>
                <w:bCs/>
                <w:color w:val="00B050"/>
                <w:sz w:val="21"/>
                <w:szCs w:val="21"/>
                <w:lang w:val="en-US" w:eastAsia="zh-CN" w:bidi="ar-SA"/>
              </w:rPr>
              <w:t>用油罐、油罐车、油船、铁桶、塑料桶等盛装，盛装时切不可装满，要留必要的安全空问。运输前应先检查包装容器是否完整、密封，运输过程中要确保容器不泄漏、不倒塌、不坠落、不损坏。严禁与氧化剂、食用化学品等混装混运公路运输时要按规定路线行驶。</w:t>
            </w:r>
          </w:p>
        </w:tc>
      </w:tr>
    </w:tbl>
    <w:p w14:paraId="08203955">
      <w:pPr>
        <w:pStyle w:val="27"/>
        <w:autoSpaceDE/>
        <w:autoSpaceDN/>
        <w:adjustRightInd/>
        <w:snapToGrid w:val="0"/>
        <w:spacing w:before="0" w:beforeLines="0" w:beforeAutospacing="0" w:after="0" w:afterLines="0" w:afterAutospacing="0"/>
        <w:ind w:firstLine="480"/>
        <w:rPr>
          <w:rFonts w:hint="default" w:ascii="Times New Roman" w:hAnsi="Times New Roman" w:cs="Times New Roman"/>
          <w:color w:val="00B050"/>
          <w:sz w:val="24"/>
          <w:szCs w:val="24"/>
          <w:highlight w:val="none"/>
        </w:rPr>
      </w:pPr>
      <w:r>
        <w:rPr>
          <w:rFonts w:hint="default" w:ascii="Times New Roman" w:hAnsi="Times New Roman" w:cs="Times New Roman"/>
          <w:color w:val="00B050"/>
          <w:sz w:val="24"/>
          <w:szCs w:val="24"/>
          <w:highlight w:val="none"/>
        </w:rPr>
        <w:t>（2）环境风险趋势初判</w:t>
      </w:r>
    </w:p>
    <w:p w14:paraId="2F76C35F">
      <w:pPr>
        <w:pStyle w:val="27"/>
        <w:autoSpaceDE/>
        <w:autoSpaceDN/>
        <w:adjustRightInd/>
        <w:snapToGrid w:val="0"/>
        <w:spacing w:before="0" w:beforeLines="0" w:beforeAutospacing="0" w:after="0" w:afterLines="0" w:afterAutospacing="0"/>
        <w:ind w:firstLine="480"/>
        <w:rPr>
          <w:rFonts w:hint="default" w:ascii="Times New Roman" w:hAnsi="Times New Roman" w:cs="Times New Roman"/>
          <w:color w:val="00B050"/>
          <w:sz w:val="24"/>
          <w:szCs w:val="24"/>
          <w:highlight w:val="none"/>
        </w:rPr>
      </w:pPr>
      <w:r>
        <w:rPr>
          <w:rFonts w:hint="default" w:ascii="Times New Roman" w:hAnsi="Times New Roman" w:cs="Times New Roman"/>
          <w:color w:val="00B050"/>
          <w:sz w:val="24"/>
          <w:szCs w:val="24"/>
          <w:highlight w:val="none"/>
        </w:rPr>
        <w:t>1）危险物质数量与临界量比值(Q)</w:t>
      </w:r>
    </w:p>
    <w:p w14:paraId="71D426BA">
      <w:pPr>
        <w:pStyle w:val="27"/>
        <w:autoSpaceDE/>
        <w:autoSpaceDN/>
        <w:adjustRightInd/>
        <w:snapToGrid w:val="0"/>
        <w:spacing w:before="0" w:beforeLines="0" w:beforeAutospacing="0" w:after="0" w:afterLines="0" w:afterAutospacing="0"/>
        <w:ind w:firstLine="480"/>
        <w:rPr>
          <w:rFonts w:hint="default" w:ascii="Times New Roman" w:hAnsi="Times New Roman" w:cs="Times New Roman"/>
          <w:color w:val="00B050"/>
          <w:sz w:val="24"/>
          <w:szCs w:val="24"/>
          <w:highlight w:val="none"/>
        </w:rPr>
      </w:pPr>
      <w:r>
        <w:rPr>
          <w:rFonts w:hint="default" w:ascii="Times New Roman" w:hAnsi="Times New Roman" w:cs="Times New Roman"/>
          <w:color w:val="00B050"/>
          <w:sz w:val="24"/>
          <w:szCs w:val="24"/>
          <w:highlight w:val="none"/>
        </w:rPr>
        <w:t>根据《建设项目环境风险评价技术导则》(HJ 169-2018)，计算所涉及的每种危险物质在厂界内的最大存在总量与其在HJ169-2018附录B中对应临界量的比值Q。</w:t>
      </w:r>
    </w:p>
    <w:p w14:paraId="21F080E4">
      <w:pPr>
        <w:pStyle w:val="27"/>
        <w:autoSpaceDE/>
        <w:autoSpaceDN/>
        <w:adjustRightInd/>
        <w:snapToGrid w:val="0"/>
        <w:spacing w:before="0" w:beforeLines="0" w:beforeAutospacing="0" w:after="0" w:afterLines="0" w:afterAutospacing="0"/>
        <w:ind w:firstLine="480"/>
        <w:rPr>
          <w:rFonts w:hint="default" w:ascii="Times New Roman" w:hAnsi="Times New Roman" w:cs="Times New Roman"/>
          <w:color w:val="00B050"/>
          <w:sz w:val="24"/>
          <w:szCs w:val="24"/>
          <w:highlight w:val="none"/>
        </w:rPr>
      </w:pPr>
      <w:r>
        <w:rPr>
          <w:rFonts w:hint="default" w:ascii="Times New Roman" w:hAnsi="Times New Roman" w:cs="Times New Roman"/>
          <w:color w:val="00B050"/>
          <w:sz w:val="24"/>
          <w:szCs w:val="24"/>
          <w:highlight w:val="none"/>
        </w:rPr>
        <w:t>根据HJ169-2018附录C，按下式计算物质总量与其临界量比值(Q)：</w:t>
      </w:r>
    </w:p>
    <w:p w14:paraId="2E1E27C2">
      <w:pPr>
        <w:pStyle w:val="27"/>
        <w:autoSpaceDE/>
        <w:autoSpaceDN/>
        <w:adjustRightInd/>
        <w:snapToGrid w:val="0"/>
        <w:spacing w:beforeLines="0" w:after="0" w:afterLines="0" w:afterAutospacing="0"/>
        <w:ind w:firstLine="480"/>
        <w:jc w:val="center"/>
        <w:rPr>
          <w:rFonts w:hint="default" w:ascii="Times New Roman" w:hAnsi="Times New Roman" w:cs="Times New Roman"/>
          <w:color w:val="00B050"/>
          <w:sz w:val="24"/>
          <w:szCs w:val="24"/>
          <w:highlight w:val="none"/>
        </w:rPr>
      </w:pPr>
      <w:r>
        <w:rPr>
          <w:rFonts w:hint="default" w:ascii="Times New Roman" w:hAnsi="Times New Roman" w:cs="Times New Roman"/>
          <w:color w:val="00B050"/>
          <w:sz w:val="24"/>
          <w:szCs w:val="24"/>
          <w:highlight w:val="none"/>
        </w:rPr>
        <w:drawing>
          <wp:inline distT="0" distB="0" distL="114300" distR="114300">
            <wp:extent cx="1951355" cy="518795"/>
            <wp:effectExtent l="0" t="0" r="4445" b="1905"/>
            <wp:docPr id="15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36"/>
                    <pic:cNvPicPr>
                      <a:picLocks noChangeAspect="1"/>
                    </pic:cNvPicPr>
                  </pic:nvPicPr>
                  <pic:blipFill>
                    <a:blip r:embed="rId49"/>
                    <a:stretch>
                      <a:fillRect/>
                    </a:stretch>
                  </pic:blipFill>
                  <pic:spPr>
                    <a:xfrm>
                      <a:off x="0" y="0"/>
                      <a:ext cx="1951355" cy="518795"/>
                    </a:xfrm>
                    <a:prstGeom prst="rect">
                      <a:avLst/>
                    </a:prstGeom>
                    <a:noFill/>
                    <a:ln>
                      <a:noFill/>
                    </a:ln>
                  </pic:spPr>
                </pic:pic>
              </a:graphicData>
            </a:graphic>
          </wp:inline>
        </w:drawing>
      </w:r>
    </w:p>
    <w:p w14:paraId="1415337B">
      <w:pPr>
        <w:pStyle w:val="27"/>
        <w:autoSpaceDE/>
        <w:autoSpaceDN/>
        <w:adjustRightInd/>
        <w:snapToGrid w:val="0"/>
        <w:spacing w:before="0" w:beforeLines="0" w:beforeAutospacing="0" w:after="0" w:afterLines="0" w:afterAutospacing="0"/>
        <w:ind w:firstLine="480"/>
        <w:rPr>
          <w:rFonts w:hint="default" w:ascii="Times New Roman" w:hAnsi="Times New Roman" w:cs="Times New Roman"/>
          <w:color w:val="00B050"/>
          <w:sz w:val="24"/>
          <w:szCs w:val="24"/>
          <w:highlight w:val="none"/>
        </w:rPr>
      </w:pPr>
      <w:r>
        <w:rPr>
          <w:rFonts w:hint="default" w:ascii="Times New Roman" w:hAnsi="Times New Roman" w:cs="Times New Roman"/>
          <w:color w:val="00B050"/>
          <w:sz w:val="24"/>
          <w:szCs w:val="24"/>
          <w:highlight w:val="none"/>
        </w:rPr>
        <w:t>式中：q</w:t>
      </w:r>
      <w:r>
        <w:rPr>
          <w:rFonts w:hint="default" w:ascii="Times New Roman" w:hAnsi="Times New Roman" w:cs="Times New Roman"/>
          <w:color w:val="00B050"/>
          <w:sz w:val="24"/>
          <w:szCs w:val="24"/>
          <w:highlight w:val="none"/>
          <w:vertAlign w:val="subscript"/>
        </w:rPr>
        <w:t>1</w:t>
      </w:r>
      <w:r>
        <w:rPr>
          <w:rFonts w:hint="default" w:ascii="Times New Roman" w:hAnsi="Times New Roman" w:cs="Times New Roman"/>
          <w:color w:val="00B050"/>
          <w:sz w:val="24"/>
          <w:szCs w:val="24"/>
          <w:highlight w:val="none"/>
        </w:rPr>
        <w:t>，q</w:t>
      </w:r>
      <w:r>
        <w:rPr>
          <w:rFonts w:hint="default" w:ascii="Times New Roman" w:hAnsi="Times New Roman" w:cs="Times New Roman"/>
          <w:color w:val="00B050"/>
          <w:sz w:val="24"/>
          <w:szCs w:val="24"/>
          <w:highlight w:val="none"/>
          <w:vertAlign w:val="subscript"/>
        </w:rPr>
        <w:t>2</w:t>
      </w:r>
      <w:r>
        <w:rPr>
          <w:rFonts w:hint="default" w:ascii="Times New Roman" w:hAnsi="Times New Roman" w:cs="Times New Roman"/>
          <w:color w:val="00B050"/>
          <w:sz w:val="24"/>
          <w:szCs w:val="24"/>
          <w:highlight w:val="none"/>
        </w:rPr>
        <w:t>，...，q</w:t>
      </w:r>
      <w:r>
        <w:rPr>
          <w:rFonts w:hint="default" w:ascii="Times New Roman" w:hAnsi="Times New Roman" w:cs="Times New Roman"/>
          <w:color w:val="00B050"/>
          <w:sz w:val="24"/>
          <w:szCs w:val="24"/>
          <w:highlight w:val="none"/>
          <w:vertAlign w:val="subscript"/>
        </w:rPr>
        <w:t>n</w:t>
      </w:r>
      <w:r>
        <w:rPr>
          <w:rFonts w:hint="default" w:ascii="Times New Roman" w:hAnsi="Times New Roman" w:cs="Times New Roman"/>
          <w:color w:val="00B050"/>
          <w:sz w:val="24"/>
          <w:szCs w:val="24"/>
          <w:highlight w:val="none"/>
        </w:rPr>
        <w:t>——每种危险物质的最大存在总量，t；</w:t>
      </w:r>
    </w:p>
    <w:p w14:paraId="4DA20089">
      <w:pPr>
        <w:pStyle w:val="27"/>
        <w:autoSpaceDE/>
        <w:autoSpaceDN/>
        <w:adjustRightInd/>
        <w:snapToGrid w:val="0"/>
        <w:spacing w:before="0" w:beforeLines="0" w:beforeAutospacing="0" w:after="0" w:afterLines="0" w:afterAutospacing="0"/>
        <w:ind w:firstLine="1200" w:firstLineChars="500"/>
        <w:rPr>
          <w:rFonts w:hint="default" w:ascii="Times New Roman" w:hAnsi="Times New Roman" w:cs="Times New Roman"/>
          <w:color w:val="00B050"/>
          <w:sz w:val="24"/>
          <w:szCs w:val="24"/>
          <w:highlight w:val="none"/>
        </w:rPr>
      </w:pPr>
      <w:r>
        <w:rPr>
          <w:rFonts w:hint="default" w:ascii="Times New Roman" w:hAnsi="Times New Roman" w:cs="Times New Roman"/>
          <w:color w:val="00B050"/>
          <w:sz w:val="24"/>
          <w:szCs w:val="24"/>
          <w:highlight w:val="none"/>
        </w:rPr>
        <w:t>Q</w:t>
      </w:r>
      <w:r>
        <w:rPr>
          <w:rFonts w:hint="default" w:ascii="Times New Roman" w:hAnsi="Times New Roman" w:cs="Times New Roman"/>
          <w:color w:val="00B050"/>
          <w:sz w:val="24"/>
          <w:szCs w:val="24"/>
          <w:highlight w:val="none"/>
          <w:vertAlign w:val="subscript"/>
        </w:rPr>
        <w:t>1</w:t>
      </w:r>
      <w:r>
        <w:rPr>
          <w:rFonts w:hint="default" w:ascii="Times New Roman" w:hAnsi="Times New Roman" w:cs="Times New Roman"/>
          <w:color w:val="00B050"/>
          <w:sz w:val="24"/>
          <w:szCs w:val="24"/>
          <w:highlight w:val="none"/>
        </w:rPr>
        <w:t>，Q</w:t>
      </w:r>
      <w:r>
        <w:rPr>
          <w:rFonts w:hint="default" w:ascii="Times New Roman" w:hAnsi="Times New Roman" w:cs="Times New Roman"/>
          <w:color w:val="00B050"/>
          <w:sz w:val="24"/>
          <w:szCs w:val="24"/>
          <w:highlight w:val="none"/>
          <w:vertAlign w:val="subscript"/>
        </w:rPr>
        <w:t>2</w:t>
      </w:r>
      <w:r>
        <w:rPr>
          <w:rFonts w:hint="default" w:ascii="Times New Roman" w:hAnsi="Times New Roman" w:cs="Times New Roman"/>
          <w:color w:val="00B050"/>
          <w:sz w:val="24"/>
          <w:szCs w:val="24"/>
          <w:highlight w:val="none"/>
        </w:rPr>
        <w:t>，...，Q</w:t>
      </w:r>
      <w:r>
        <w:rPr>
          <w:rFonts w:hint="default" w:ascii="Times New Roman" w:hAnsi="Times New Roman" w:cs="Times New Roman"/>
          <w:color w:val="00B050"/>
          <w:sz w:val="24"/>
          <w:szCs w:val="24"/>
          <w:highlight w:val="none"/>
          <w:vertAlign w:val="subscript"/>
        </w:rPr>
        <w:t>n</w:t>
      </w:r>
      <w:r>
        <w:rPr>
          <w:rFonts w:hint="default" w:ascii="Times New Roman" w:hAnsi="Times New Roman" w:cs="Times New Roman"/>
          <w:color w:val="00B050"/>
          <w:sz w:val="24"/>
          <w:szCs w:val="24"/>
          <w:highlight w:val="none"/>
        </w:rPr>
        <w:t>——每种危险物质的临界量，t。</w:t>
      </w:r>
    </w:p>
    <w:p w14:paraId="0FFA3F4F">
      <w:pPr>
        <w:pStyle w:val="27"/>
        <w:autoSpaceDE/>
        <w:autoSpaceDN/>
        <w:adjustRightInd/>
        <w:snapToGrid w:val="0"/>
        <w:spacing w:before="0" w:beforeLines="0" w:beforeAutospacing="0" w:after="0" w:afterLines="0" w:afterAutospacing="0"/>
        <w:ind w:firstLine="480"/>
        <w:rPr>
          <w:rFonts w:hint="default" w:ascii="Times New Roman" w:hAnsi="Times New Roman" w:cs="Times New Roman"/>
          <w:color w:val="00B050"/>
          <w:sz w:val="24"/>
          <w:szCs w:val="24"/>
          <w:highlight w:val="none"/>
        </w:rPr>
      </w:pPr>
      <w:r>
        <w:rPr>
          <w:rFonts w:hint="default" w:ascii="Times New Roman" w:hAnsi="Times New Roman" w:cs="Times New Roman"/>
          <w:color w:val="00B050"/>
          <w:sz w:val="24"/>
          <w:szCs w:val="24"/>
          <w:highlight w:val="none"/>
        </w:rPr>
        <w:t>当Q＜1时，该项目环境风险潜势为Ⅰ。</w:t>
      </w:r>
    </w:p>
    <w:p w14:paraId="2226560C">
      <w:pPr>
        <w:pStyle w:val="27"/>
        <w:autoSpaceDE/>
        <w:autoSpaceDN/>
        <w:adjustRightInd/>
        <w:snapToGrid w:val="0"/>
        <w:spacing w:before="0" w:beforeLines="0" w:beforeAutospacing="0" w:after="0" w:afterLines="0" w:afterAutospacing="0"/>
        <w:ind w:firstLine="480"/>
        <w:rPr>
          <w:rFonts w:hint="default" w:ascii="Times New Roman" w:hAnsi="Times New Roman" w:cs="Times New Roman"/>
          <w:color w:val="00B050"/>
          <w:sz w:val="24"/>
          <w:szCs w:val="24"/>
          <w:highlight w:val="none"/>
        </w:rPr>
      </w:pPr>
      <w:r>
        <w:rPr>
          <w:rFonts w:hint="default" w:ascii="Times New Roman" w:hAnsi="Times New Roman" w:cs="Times New Roman"/>
          <w:color w:val="00B050"/>
          <w:sz w:val="24"/>
          <w:szCs w:val="24"/>
          <w:highlight w:val="none"/>
        </w:rPr>
        <w:t>当Q≥1时，将Q值划分为：(1)1≤Q＜10；(2)10≤Q＜100；(3)Q≥100。</w:t>
      </w:r>
    </w:p>
    <w:p w14:paraId="53C44255">
      <w:pPr>
        <w:pStyle w:val="13"/>
        <w:spacing w:beforeLines="0" w:afterLines="0"/>
        <w:rPr>
          <w:rFonts w:hint="default" w:ascii="Times New Roman" w:hAnsi="Times New Roman" w:cs="Times New Roman"/>
          <w:color w:val="00B050"/>
          <w:sz w:val="24"/>
          <w:szCs w:val="24"/>
          <w:highlight w:val="none"/>
        </w:rPr>
      </w:pPr>
      <w:r>
        <w:rPr>
          <w:rFonts w:hint="default" w:ascii="Times New Roman" w:hAnsi="Times New Roman" w:cs="Times New Roman"/>
          <w:color w:val="00B050"/>
          <w:sz w:val="24"/>
          <w:szCs w:val="24"/>
          <w:highlight w:val="none"/>
        </w:rPr>
        <w:t>根据《建设项目环境风险评价技术导则》</w:t>
      </w:r>
      <w:r>
        <w:rPr>
          <w:rFonts w:hint="default" w:ascii="Times New Roman" w:hAnsi="Times New Roman" w:cs="Times New Roman"/>
          <w:color w:val="00B050"/>
          <w:sz w:val="24"/>
          <w:szCs w:val="24"/>
          <w:highlight w:val="none"/>
          <w:lang w:eastAsia="zh-CN"/>
        </w:rPr>
        <w:t>(</w:t>
      </w:r>
      <w:r>
        <w:rPr>
          <w:rFonts w:hint="default" w:ascii="Times New Roman" w:hAnsi="Times New Roman" w:cs="Times New Roman"/>
          <w:color w:val="00B050"/>
          <w:sz w:val="24"/>
          <w:szCs w:val="24"/>
          <w:highlight w:val="none"/>
        </w:rPr>
        <w:t>HJ</w:t>
      </w:r>
      <w:r>
        <w:rPr>
          <w:rFonts w:hint="default" w:ascii="Times New Roman" w:hAnsi="Times New Roman" w:cs="Times New Roman"/>
          <w:color w:val="00B050"/>
          <w:sz w:val="24"/>
          <w:szCs w:val="24"/>
          <w:highlight w:val="none"/>
          <w:lang w:val="en-US" w:eastAsia="zh-CN"/>
        </w:rPr>
        <w:t xml:space="preserve"> </w:t>
      </w:r>
      <w:r>
        <w:rPr>
          <w:rFonts w:hint="default" w:ascii="Times New Roman" w:hAnsi="Times New Roman" w:cs="Times New Roman"/>
          <w:color w:val="00B050"/>
          <w:sz w:val="24"/>
          <w:szCs w:val="24"/>
          <w:highlight w:val="none"/>
        </w:rPr>
        <w:t>169-2018</w:t>
      </w:r>
      <w:r>
        <w:rPr>
          <w:rFonts w:hint="default" w:ascii="Times New Roman" w:hAnsi="Times New Roman" w:cs="Times New Roman"/>
          <w:color w:val="00B050"/>
          <w:sz w:val="24"/>
          <w:szCs w:val="24"/>
          <w:highlight w:val="none"/>
          <w:lang w:eastAsia="zh-CN"/>
        </w:rPr>
        <w:t>)</w:t>
      </w:r>
      <w:r>
        <w:rPr>
          <w:rFonts w:hint="default" w:ascii="Times New Roman" w:hAnsi="Times New Roman" w:cs="Times New Roman"/>
          <w:color w:val="00B050"/>
          <w:sz w:val="24"/>
          <w:szCs w:val="24"/>
          <w:highlight w:val="none"/>
        </w:rPr>
        <w:t>附录B，本项目</w:t>
      </w:r>
      <w:r>
        <w:rPr>
          <w:rFonts w:hint="default" w:ascii="Times New Roman" w:hAnsi="Times New Roman" w:cs="Times New Roman"/>
          <w:color w:val="00B050"/>
          <w:sz w:val="24"/>
          <w:szCs w:val="24"/>
          <w:highlight w:val="none"/>
          <w:lang w:val="en-US" w:eastAsia="zh-CN"/>
        </w:rPr>
        <w:t>评价的环境风险物质主要为</w:t>
      </w:r>
      <w:r>
        <w:rPr>
          <w:rFonts w:hint="eastAsia" w:cs="Times New Roman"/>
          <w:color w:val="00B050"/>
          <w:sz w:val="24"/>
          <w:szCs w:val="24"/>
          <w:highlight w:val="none"/>
          <w:lang w:val="en-US" w:eastAsia="zh-CN"/>
        </w:rPr>
        <w:t>废矿物油，</w:t>
      </w:r>
      <w:r>
        <w:rPr>
          <w:rFonts w:hint="default" w:ascii="Times New Roman" w:hAnsi="Times New Roman" w:cs="Times New Roman"/>
          <w:color w:val="00B050"/>
          <w:sz w:val="24"/>
          <w:szCs w:val="24"/>
          <w:highlight w:val="none"/>
          <w:lang w:val="en-US" w:eastAsia="zh-CN"/>
        </w:rPr>
        <w:t>贮存量为</w:t>
      </w:r>
      <w:r>
        <w:rPr>
          <w:rFonts w:hint="eastAsia" w:cs="Times New Roman"/>
          <w:color w:val="00B050"/>
          <w:sz w:val="24"/>
          <w:szCs w:val="24"/>
          <w:highlight w:val="none"/>
          <w:lang w:val="en-US" w:eastAsia="zh-CN"/>
        </w:rPr>
        <w:t>0.5</w:t>
      </w:r>
      <w:r>
        <w:rPr>
          <w:rFonts w:hint="default" w:ascii="Times New Roman" w:hAnsi="Times New Roman" w:cs="Times New Roman"/>
          <w:color w:val="00B050"/>
          <w:sz w:val="24"/>
          <w:szCs w:val="24"/>
          <w:highlight w:val="none"/>
          <w:lang w:val="en-US" w:eastAsia="zh-CN"/>
        </w:rPr>
        <w:t>t，与其临界量比值(</w:t>
      </w:r>
      <w:r>
        <w:rPr>
          <w:rFonts w:hint="default" w:ascii="Times New Roman" w:hAnsi="Times New Roman" w:cs="Times New Roman"/>
          <w:color w:val="00B050"/>
          <w:sz w:val="24"/>
          <w:szCs w:val="24"/>
          <w:highlight w:val="none"/>
        </w:rPr>
        <w:t>Q</w:t>
      </w:r>
      <w:r>
        <w:rPr>
          <w:rFonts w:hint="default" w:ascii="Times New Roman" w:hAnsi="Times New Roman" w:cs="Times New Roman"/>
          <w:color w:val="00B050"/>
          <w:sz w:val="24"/>
          <w:szCs w:val="24"/>
          <w:highlight w:val="none"/>
          <w:lang w:eastAsia="zh-CN"/>
        </w:rPr>
        <w:t>)</w:t>
      </w:r>
      <w:r>
        <w:rPr>
          <w:rFonts w:hint="default" w:ascii="Times New Roman" w:hAnsi="Times New Roman" w:cs="Times New Roman"/>
          <w:color w:val="00B050"/>
          <w:sz w:val="24"/>
          <w:szCs w:val="24"/>
          <w:highlight w:val="none"/>
        </w:rPr>
        <w:t>具体见下表。</w:t>
      </w:r>
    </w:p>
    <w:p w14:paraId="0049EC61">
      <w:pPr>
        <w:widowControl/>
        <w:autoSpaceDE/>
        <w:autoSpaceDN/>
        <w:adjustRightInd/>
        <w:snapToGrid w:val="0"/>
        <w:spacing w:beforeLines="0" w:afterLines="0" w:line="240" w:lineRule="auto"/>
        <w:ind w:firstLine="482"/>
        <w:jc w:val="center"/>
        <w:rPr>
          <w:rFonts w:hint="default" w:ascii="Times New Roman" w:hAnsi="Times New Roman" w:cs="Times New Roman"/>
          <w:b/>
          <w:color w:val="00B050"/>
          <w:sz w:val="24"/>
          <w:szCs w:val="24"/>
          <w:highlight w:val="none"/>
          <w:lang w:val="en-US" w:eastAsia="zh-CN"/>
        </w:rPr>
      </w:pPr>
      <w:r>
        <w:rPr>
          <w:rFonts w:hint="default" w:ascii="Times New Roman" w:hAnsi="Times New Roman" w:cs="Times New Roman"/>
          <w:b/>
          <w:color w:val="00B050"/>
          <w:sz w:val="24"/>
          <w:szCs w:val="24"/>
          <w:highlight w:val="none"/>
          <w:lang w:val="en-US" w:eastAsia="zh-CN"/>
        </w:rPr>
        <w:t>表5.2-</w:t>
      </w:r>
      <w:r>
        <w:rPr>
          <w:rFonts w:hint="eastAsia" w:cs="Times New Roman"/>
          <w:b/>
          <w:color w:val="00B050"/>
          <w:sz w:val="24"/>
          <w:szCs w:val="24"/>
          <w:highlight w:val="none"/>
          <w:lang w:val="en-US" w:eastAsia="zh-CN"/>
        </w:rPr>
        <w:t>31</w:t>
      </w:r>
      <w:r>
        <w:rPr>
          <w:rFonts w:hint="default" w:ascii="Times New Roman" w:hAnsi="Times New Roman" w:cs="Times New Roman"/>
          <w:b/>
          <w:color w:val="00B050"/>
          <w:sz w:val="24"/>
          <w:szCs w:val="24"/>
          <w:highlight w:val="none"/>
          <w:lang w:val="en-US" w:eastAsia="zh-CN"/>
        </w:rPr>
        <w:t xml:space="preserve">     本项目环境风险物质总量与其临界量比值(Q)</w:t>
      </w:r>
    </w:p>
    <w:tbl>
      <w:tblPr>
        <w:tblStyle w:val="31"/>
        <w:tblW w:w="0" w:type="auto"/>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57" w:type="dxa"/>
          <w:bottom w:w="0" w:type="dxa"/>
          <w:right w:w="57" w:type="dxa"/>
        </w:tblCellMar>
      </w:tblPr>
      <w:tblGrid>
        <w:gridCol w:w="655"/>
        <w:gridCol w:w="1532"/>
        <w:gridCol w:w="1244"/>
        <w:gridCol w:w="1091"/>
        <w:gridCol w:w="709"/>
        <w:gridCol w:w="1437"/>
        <w:gridCol w:w="1156"/>
        <w:gridCol w:w="1243"/>
      </w:tblGrid>
      <w:tr w14:paraId="59CB3B1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57" w:type="dxa"/>
            <w:bottom w:w="0" w:type="dxa"/>
            <w:right w:w="57" w:type="dxa"/>
          </w:tblCellMar>
        </w:tblPrEx>
        <w:trPr>
          <w:trHeight w:val="351" w:hRule="atLeast"/>
        </w:trPr>
        <w:tc>
          <w:tcPr>
            <w:tcW w:w="655" w:type="dxa"/>
            <w:tcBorders>
              <w:top w:val="single" w:color="auto" w:sz="4" w:space="0"/>
              <w:left w:val="single" w:color="auto" w:sz="4" w:space="0"/>
              <w:bottom w:val="single" w:color="auto" w:sz="4" w:space="0"/>
              <w:right w:val="single" w:color="auto" w:sz="4" w:space="0"/>
              <w:tl2br w:val="nil"/>
              <w:tr2bl w:val="nil"/>
            </w:tcBorders>
            <w:noWrap w:val="0"/>
            <w:vAlign w:val="top"/>
          </w:tcPr>
          <w:p w14:paraId="3319E84E">
            <w:pPr>
              <w:pStyle w:val="42"/>
              <w:spacing w:beforeLines="0" w:afterLines="0"/>
              <w:rPr>
                <w:rFonts w:hint="default" w:ascii="Times New Roman" w:hAnsi="Times New Roman" w:cs="Times New Roman"/>
                <w:color w:val="00B050"/>
                <w:spacing w:val="0"/>
                <w:sz w:val="21"/>
                <w:szCs w:val="21"/>
                <w:highlight w:val="none"/>
              </w:rPr>
            </w:pPr>
            <w:r>
              <w:rPr>
                <w:rFonts w:hint="default" w:ascii="Times New Roman" w:hAnsi="Times New Roman" w:cs="Times New Roman"/>
                <w:color w:val="00B050"/>
                <w:spacing w:val="0"/>
                <w:sz w:val="21"/>
                <w:szCs w:val="21"/>
                <w:highlight w:val="none"/>
              </w:rPr>
              <w:t>序号</w:t>
            </w:r>
          </w:p>
        </w:tc>
        <w:tc>
          <w:tcPr>
            <w:tcW w:w="1532" w:type="dxa"/>
            <w:tcBorders>
              <w:top w:val="single" w:color="auto" w:sz="4" w:space="0"/>
              <w:left w:val="single" w:color="auto" w:sz="4" w:space="0"/>
              <w:bottom w:val="single" w:color="auto" w:sz="4" w:space="0"/>
              <w:right w:val="single" w:color="auto" w:sz="4" w:space="0"/>
              <w:tl2br w:val="nil"/>
              <w:tr2bl w:val="nil"/>
            </w:tcBorders>
            <w:noWrap w:val="0"/>
            <w:vAlign w:val="top"/>
          </w:tcPr>
          <w:p w14:paraId="6756C480">
            <w:pPr>
              <w:pStyle w:val="42"/>
              <w:spacing w:beforeLines="0" w:afterLines="0"/>
              <w:rPr>
                <w:rFonts w:hint="default" w:ascii="Times New Roman" w:hAnsi="Times New Roman" w:cs="Times New Roman"/>
                <w:color w:val="00B050"/>
                <w:spacing w:val="0"/>
                <w:sz w:val="21"/>
                <w:szCs w:val="21"/>
                <w:highlight w:val="none"/>
              </w:rPr>
            </w:pPr>
            <w:r>
              <w:rPr>
                <w:rFonts w:hint="default" w:ascii="Times New Roman" w:hAnsi="Times New Roman" w:cs="Times New Roman"/>
                <w:color w:val="00B050"/>
                <w:spacing w:val="0"/>
                <w:sz w:val="21"/>
                <w:szCs w:val="21"/>
                <w:highlight w:val="none"/>
              </w:rPr>
              <w:t>物质名称</w:t>
            </w:r>
          </w:p>
        </w:tc>
        <w:tc>
          <w:tcPr>
            <w:tcW w:w="1244" w:type="dxa"/>
            <w:tcBorders>
              <w:top w:val="single" w:color="auto" w:sz="4" w:space="0"/>
              <w:left w:val="single" w:color="auto" w:sz="4" w:space="0"/>
              <w:bottom w:val="single" w:color="auto" w:sz="4" w:space="0"/>
              <w:right w:val="single" w:color="auto" w:sz="4" w:space="0"/>
              <w:tl2br w:val="nil"/>
              <w:tr2bl w:val="nil"/>
            </w:tcBorders>
            <w:noWrap w:val="0"/>
            <w:vAlign w:val="top"/>
          </w:tcPr>
          <w:p w14:paraId="2E7B602B">
            <w:pPr>
              <w:pStyle w:val="42"/>
              <w:spacing w:beforeLines="0" w:afterLines="0"/>
              <w:rPr>
                <w:rFonts w:hint="default" w:ascii="Times New Roman" w:hAnsi="Times New Roman" w:cs="Times New Roman"/>
                <w:color w:val="00B050"/>
                <w:spacing w:val="0"/>
                <w:sz w:val="21"/>
                <w:szCs w:val="21"/>
                <w:highlight w:val="none"/>
              </w:rPr>
            </w:pPr>
            <w:r>
              <w:rPr>
                <w:rFonts w:hint="default" w:ascii="Times New Roman" w:hAnsi="Times New Roman" w:cs="Times New Roman"/>
                <w:color w:val="00B050"/>
                <w:spacing w:val="0"/>
                <w:sz w:val="21"/>
                <w:szCs w:val="21"/>
                <w:highlight w:val="none"/>
              </w:rPr>
              <w:t>CAS号</w:t>
            </w:r>
          </w:p>
        </w:tc>
        <w:tc>
          <w:tcPr>
            <w:tcW w:w="1091" w:type="dxa"/>
            <w:tcBorders>
              <w:top w:val="single" w:color="auto" w:sz="4" w:space="0"/>
              <w:left w:val="single" w:color="auto" w:sz="4" w:space="0"/>
              <w:bottom w:val="single" w:color="auto" w:sz="4" w:space="0"/>
              <w:right w:val="single" w:color="auto" w:sz="4" w:space="0"/>
              <w:tl2br w:val="nil"/>
              <w:tr2bl w:val="nil"/>
            </w:tcBorders>
            <w:noWrap w:val="0"/>
            <w:vAlign w:val="top"/>
          </w:tcPr>
          <w:p w14:paraId="507D2E16">
            <w:pPr>
              <w:pStyle w:val="42"/>
              <w:spacing w:beforeLines="0" w:afterLines="0"/>
              <w:rPr>
                <w:rFonts w:hint="default" w:ascii="Times New Roman" w:hAnsi="Times New Roman" w:cs="Times New Roman"/>
                <w:color w:val="00B050"/>
                <w:spacing w:val="0"/>
                <w:sz w:val="21"/>
                <w:szCs w:val="21"/>
                <w:highlight w:val="none"/>
              </w:rPr>
            </w:pPr>
            <w:r>
              <w:rPr>
                <w:rFonts w:hint="default" w:ascii="Times New Roman" w:hAnsi="Times New Roman" w:cs="Times New Roman"/>
                <w:color w:val="00B050"/>
                <w:spacing w:val="0"/>
                <w:sz w:val="21"/>
                <w:szCs w:val="21"/>
                <w:highlight w:val="none"/>
              </w:rPr>
              <w:t>储存方式</w:t>
            </w:r>
          </w:p>
        </w:tc>
        <w:tc>
          <w:tcPr>
            <w:tcW w:w="709" w:type="dxa"/>
            <w:tcBorders>
              <w:top w:val="single" w:color="auto" w:sz="4" w:space="0"/>
              <w:left w:val="single" w:color="auto" w:sz="4" w:space="0"/>
              <w:bottom w:val="single" w:color="auto" w:sz="4" w:space="0"/>
              <w:right w:val="single" w:color="auto" w:sz="4" w:space="0"/>
              <w:tl2br w:val="nil"/>
              <w:tr2bl w:val="nil"/>
            </w:tcBorders>
            <w:noWrap w:val="0"/>
            <w:vAlign w:val="top"/>
          </w:tcPr>
          <w:p w14:paraId="27C6A4E5">
            <w:pPr>
              <w:pStyle w:val="42"/>
              <w:spacing w:beforeLines="0" w:afterLines="0"/>
              <w:rPr>
                <w:rFonts w:hint="default" w:ascii="Times New Roman" w:hAnsi="Times New Roman" w:cs="Times New Roman"/>
                <w:color w:val="00B050"/>
                <w:spacing w:val="0"/>
                <w:sz w:val="21"/>
                <w:szCs w:val="21"/>
                <w:highlight w:val="none"/>
              </w:rPr>
            </w:pPr>
            <w:r>
              <w:rPr>
                <w:rFonts w:hint="default" w:ascii="Times New Roman" w:hAnsi="Times New Roman" w:cs="Times New Roman"/>
                <w:color w:val="00B050"/>
                <w:spacing w:val="0"/>
                <w:sz w:val="21"/>
                <w:szCs w:val="21"/>
                <w:highlight w:val="none"/>
              </w:rPr>
              <w:t>状态</w:t>
            </w:r>
          </w:p>
        </w:tc>
        <w:tc>
          <w:tcPr>
            <w:tcW w:w="1437" w:type="dxa"/>
            <w:tcBorders>
              <w:top w:val="single" w:color="auto" w:sz="4" w:space="0"/>
              <w:left w:val="single" w:color="auto" w:sz="4" w:space="0"/>
              <w:bottom w:val="single" w:color="auto" w:sz="4" w:space="0"/>
              <w:right w:val="single" w:color="auto" w:sz="4" w:space="0"/>
              <w:tl2br w:val="nil"/>
              <w:tr2bl w:val="nil"/>
            </w:tcBorders>
            <w:noWrap w:val="0"/>
            <w:vAlign w:val="top"/>
          </w:tcPr>
          <w:p w14:paraId="4E219D2C">
            <w:pPr>
              <w:pStyle w:val="42"/>
              <w:spacing w:beforeLines="0" w:afterLines="0"/>
              <w:rPr>
                <w:rFonts w:hint="default" w:ascii="Times New Roman" w:hAnsi="Times New Roman" w:cs="Times New Roman"/>
                <w:color w:val="00B050"/>
                <w:spacing w:val="0"/>
                <w:sz w:val="21"/>
                <w:szCs w:val="21"/>
                <w:highlight w:val="none"/>
                <w:lang w:eastAsia="zh-CN"/>
              </w:rPr>
            </w:pPr>
            <w:r>
              <w:rPr>
                <w:rFonts w:hint="default" w:ascii="Times New Roman" w:hAnsi="Times New Roman" w:cs="Times New Roman"/>
                <w:color w:val="00B050"/>
                <w:spacing w:val="0"/>
                <w:sz w:val="21"/>
                <w:szCs w:val="21"/>
                <w:highlight w:val="none"/>
              </w:rPr>
              <w:t>最大储存量</w:t>
            </w:r>
            <w:r>
              <w:rPr>
                <w:rFonts w:hint="default" w:ascii="Times New Roman" w:hAnsi="Times New Roman" w:cs="Times New Roman"/>
                <w:color w:val="00B050"/>
                <w:spacing w:val="0"/>
                <w:sz w:val="21"/>
                <w:szCs w:val="21"/>
                <w:highlight w:val="none"/>
                <w:lang w:eastAsia="zh-CN"/>
              </w:rPr>
              <w:t>(</w:t>
            </w:r>
            <w:r>
              <w:rPr>
                <w:rFonts w:hint="default" w:ascii="Times New Roman" w:hAnsi="Times New Roman" w:cs="Times New Roman"/>
                <w:color w:val="00B050"/>
                <w:spacing w:val="0"/>
                <w:sz w:val="21"/>
                <w:szCs w:val="21"/>
                <w:highlight w:val="none"/>
              </w:rPr>
              <w:t>t</w:t>
            </w:r>
            <w:r>
              <w:rPr>
                <w:rFonts w:hint="default" w:ascii="Times New Roman" w:hAnsi="Times New Roman" w:cs="Times New Roman"/>
                <w:color w:val="00B050"/>
                <w:spacing w:val="0"/>
                <w:sz w:val="21"/>
                <w:szCs w:val="21"/>
                <w:highlight w:val="none"/>
                <w:lang w:eastAsia="zh-CN"/>
              </w:rPr>
              <w:t>)</w:t>
            </w:r>
          </w:p>
        </w:tc>
        <w:tc>
          <w:tcPr>
            <w:tcW w:w="1156" w:type="dxa"/>
            <w:tcBorders>
              <w:top w:val="single" w:color="auto" w:sz="4" w:space="0"/>
              <w:left w:val="single" w:color="auto" w:sz="4" w:space="0"/>
              <w:bottom w:val="single" w:color="auto" w:sz="4" w:space="0"/>
              <w:right w:val="single" w:color="auto" w:sz="4" w:space="0"/>
              <w:tl2br w:val="nil"/>
              <w:tr2bl w:val="nil"/>
            </w:tcBorders>
            <w:noWrap w:val="0"/>
            <w:vAlign w:val="top"/>
          </w:tcPr>
          <w:p w14:paraId="0068F470">
            <w:pPr>
              <w:pStyle w:val="42"/>
              <w:spacing w:beforeLines="0" w:afterLines="0"/>
              <w:rPr>
                <w:rFonts w:hint="default" w:ascii="Times New Roman" w:hAnsi="Times New Roman" w:cs="Times New Roman"/>
                <w:color w:val="00B050"/>
                <w:spacing w:val="0"/>
                <w:sz w:val="21"/>
                <w:szCs w:val="21"/>
                <w:highlight w:val="none"/>
                <w:lang w:eastAsia="zh-CN"/>
              </w:rPr>
            </w:pPr>
            <w:r>
              <w:rPr>
                <w:rFonts w:hint="default" w:ascii="Times New Roman" w:hAnsi="Times New Roman" w:cs="Times New Roman"/>
                <w:color w:val="00B050"/>
                <w:spacing w:val="0"/>
                <w:sz w:val="21"/>
                <w:szCs w:val="21"/>
                <w:highlight w:val="none"/>
              </w:rPr>
              <w:t>临界量</w:t>
            </w:r>
            <w:r>
              <w:rPr>
                <w:rFonts w:hint="default" w:ascii="Times New Roman" w:hAnsi="Times New Roman" w:cs="Times New Roman"/>
                <w:color w:val="00B050"/>
                <w:spacing w:val="0"/>
                <w:sz w:val="21"/>
                <w:szCs w:val="21"/>
                <w:highlight w:val="none"/>
                <w:lang w:eastAsia="zh-CN"/>
              </w:rPr>
              <w:t>(</w:t>
            </w:r>
            <w:r>
              <w:rPr>
                <w:rFonts w:hint="default" w:ascii="Times New Roman" w:hAnsi="Times New Roman" w:cs="Times New Roman"/>
                <w:color w:val="00B050"/>
                <w:spacing w:val="0"/>
                <w:sz w:val="21"/>
                <w:szCs w:val="21"/>
                <w:highlight w:val="none"/>
              </w:rPr>
              <w:t>t</w:t>
            </w:r>
            <w:r>
              <w:rPr>
                <w:rFonts w:hint="default" w:ascii="Times New Roman" w:hAnsi="Times New Roman" w:cs="Times New Roman"/>
                <w:color w:val="00B050"/>
                <w:spacing w:val="0"/>
                <w:sz w:val="21"/>
                <w:szCs w:val="21"/>
                <w:highlight w:val="none"/>
                <w:lang w:eastAsia="zh-CN"/>
              </w:rPr>
              <w:t>)</w:t>
            </w:r>
          </w:p>
        </w:tc>
        <w:tc>
          <w:tcPr>
            <w:tcW w:w="1243" w:type="dxa"/>
            <w:tcBorders>
              <w:top w:val="single" w:color="auto" w:sz="4" w:space="0"/>
              <w:left w:val="single" w:color="auto" w:sz="4" w:space="0"/>
              <w:bottom w:val="single" w:color="auto" w:sz="4" w:space="0"/>
              <w:right w:val="single" w:color="auto" w:sz="4" w:space="0"/>
              <w:tl2br w:val="nil"/>
              <w:tr2bl w:val="nil"/>
            </w:tcBorders>
            <w:noWrap w:val="0"/>
            <w:vAlign w:val="top"/>
          </w:tcPr>
          <w:p w14:paraId="1B888152">
            <w:pPr>
              <w:pStyle w:val="42"/>
              <w:spacing w:beforeLines="0" w:afterLines="0"/>
              <w:rPr>
                <w:rFonts w:hint="default" w:ascii="Times New Roman" w:hAnsi="Times New Roman" w:cs="Times New Roman"/>
                <w:color w:val="00B050"/>
                <w:spacing w:val="0"/>
                <w:sz w:val="21"/>
                <w:szCs w:val="21"/>
                <w:highlight w:val="none"/>
              </w:rPr>
            </w:pPr>
            <w:r>
              <w:rPr>
                <w:rFonts w:hint="default" w:ascii="Times New Roman" w:hAnsi="Times New Roman" w:cs="Times New Roman"/>
                <w:color w:val="00B050"/>
                <w:spacing w:val="0"/>
                <w:sz w:val="21"/>
                <w:szCs w:val="21"/>
                <w:highlight w:val="none"/>
              </w:rPr>
              <w:t>该物质Q值</w:t>
            </w:r>
          </w:p>
        </w:tc>
      </w:tr>
      <w:tr w14:paraId="5B8EA88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57" w:type="dxa"/>
            <w:bottom w:w="0" w:type="dxa"/>
            <w:right w:w="57" w:type="dxa"/>
          </w:tblCellMar>
        </w:tblPrEx>
        <w:trPr>
          <w:trHeight w:val="345" w:hRule="atLeast"/>
        </w:trPr>
        <w:tc>
          <w:tcPr>
            <w:tcW w:w="65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CAFDF88">
            <w:pPr>
              <w:pStyle w:val="42"/>
              <w:spacing w:beforeLines="0" w:afterLines="0"/>
              <w:rPr>
                <w:rFonts w:hint="default" w:ascii="Times New Roman" w:hAnsi="Times New Roman" w:cs="Times New Roman"/>
                <w:color w:val="00B050"/>
                <w:spacing w:val="0"/>
                <w:sz w:val="21"/>
                <w:szCs w:val="21"/>
                <w:highlight w:val="none"/>
              </w:rPr>
            </w:pPr>
            <w:r>
              <w:rPr>
                <w:rFonts w:hint="default" w:ascii="Times New Roman" w:hAnsi="Times New Roman" w:cs="Times New Roman"/>
                <w:color w:val="00B050"/>
                <w:spacing w:val="0"/>
                <w:sz w:val="21"/>
                <w:szCs w:val="21"/>
                <w:highlight w:val="none"/>
              </w:rPr>
              <w:t>1</w:t>
            </w:r>
          </w:p>
        </w:tc>
        <w:tc>
          <w:tcPr>
            <w:tcW w:w="153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D9D3F90">
            <w:pPr>
              <w:pStyle w:val="42"/>
              <w:spacing w:beforeLines="0" w:afterLines="0"/>
              <w:jc w:val="both"/>
              <w:rPr>
                <w:rFonts w:hint="default" w:ascii="Times New Roman" w:hAnsi="Times New Roman" w:cs="Times New Roman"/>
                <w:color w:val="00B050"/>
                <w:spacing w:val="0"/>
                <w:sz w:val="21"/>
                <w:szCs w:val="21"/>
                <w:highlight w:val="none"/>
                <w:lang w:val="en-US" w:eastAsia="zh-CN"/>
              </w:rPr>
            </w:pPr>
            <w:r>
              <w:rPr>
                <w:rFonts w:hint="eastAsia" w:ascii="Times New Roman" w:hAnsi="Times New Roman" w:cs="Times New Roman"/>
                <w:color w:val="00B050"/>
                <w:spacing w:val="0"/>
                <w:sz w:val="21"/>
                <w:szCs w:val="21"/>
                <w:highlight w:val="none"/>
                <w:lang w:val="en-US" w:eastAsia="zh-CN"/>
              </w:rPr>
              <w:t>废矿物油</w:t>
            </w:r>
          </w:p>
        </w:tc>
        <w:tc>
          <w:tcPr>
            <w:tcW w:w="124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F99E773">
            <w:pPr>
              <w:pStyle w:val="42"/>
              <w:spacing w:beforeLines="0" w:afterLines="0"/>
              <w:rPr>
                <w:rFonts w:hint="default" w:ascii="Times New Roman" w:hAnsi="Times New Roman" w:cs="Times New Roman"/>
                <w:color w:val="00B050"/>
                <w:spacing w:val="0"/>
                <w:sz w:val="21"/>
                <w:szCs w:val="21"/>
                <w:highlight w:val="none"/>
                <w:lang w:val="en-US" w:eastAsia="zh-CN"/>
              </w:rPr>
            </w:pPr>
            <w:r>
              <w:rPr>
                <w:rFonts w:hint="eastAsia" w:ascii="Times New Roman" w:hAnsi="Times New Roman" w:cs="Times New Roman"/>
                <w:color w:val="00B050"/>
                <w:spacing w:val="0"/>
                <w:sz w:val="21"/>
                <w:szCs w:val="21"/>
                <w:highlight w:val="none"/>
                <w:lang w:val="en-US" w:eastAsia="zh-CN"/>
              </w:rPr>
              <w:t>/</w:t>
            </w:r>
          </w:p>
        </w:tc>
        <w:tc>
          <w:tcPr>
            <w:tcW w:w="109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B5635C3">
            <w:pPr>
              <w:pStyle w:val="42"/>
              <w:spacing w:beforeLines="0" w:afterLines="0"/>
              <w:rPr>
                <w:rFonts w:hint="default" w:ascii="Times New Roman" w:hAnsi="Times New Roman" w:cs="Times New Roman"/>
                <w:color w:val="00B050"/>
                <w:spacing w:val="0"/>
                <w:sz w:val="21"/>
                <w:szCs w:val="21"/>
                <w:highlight w:val="none"/>
                <w:lang w:val="en-US" w:eastAsia="zh-CN"/>
              </w:rPr>
            </w:pPr>
            <w:r>
              <w:rPr>
                <w:rFonts w:hint="eastAsia" w:ascii="Times New Roman" w:hAnsi="Times New Roman" w:cs="Times New Roman"/>
                <w:color w:val="00B050"/>
                <w:spacing w:val="0"/>
                <w:sz w:val="21"/>
                <w:szCs w:val="21"/>
                <w:highlight w:val="none"/>
                <w:lang w:val="en-US" w:eastAsia="zh-CN"/>
              </w:rPr>
              <w:t>桶装</w:t>
            </w:r>
          </w:p>
        </w:tc>
        <w:tc>
          <w:tcPr>
            <w:tcW w:w="70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51EAC3D">
            <w:pPr>
              <w:pStyle w:val="42"/>
              <w:spacing w:beforeLines="0" w:afterLines="0"/>
              <w:rPr>
                <w:rFonts w:hint="default" w:ascii="Times New Roman" w:hAnsi="Times New Roman" w:cs="Times New Roman"/>
                <w:color w:val="00B050"/>
                <w:spacing w:val="0"/>
                <w:sz w:val="21"/>
                <w:szCs w:val="21"/>
                <w:highlight w:val="none"/>
              </w:rPr>
            </w:pPr>
            <w:r>
              <w:rPr>
                <w:rFonts w:hint="default" w:ascii="Times New Roman" w:hAnsi="Times New Roman" w:cs="Times New Roman"/>
                <w:color w:val="00B050"/>
                <w:spacing w:val="0"/>
                <w:sz w:val="21"/>
                <w:szCs w:val="21"/>
                <w:highlight w:val="none"/>
                <w:lang w:val="en-US" w:eastAsia="zh-CN"/>
              </w:rPr>
              <w:t>液</w:t>
            </w:r>
            <w:r>
              <w:rPr>
                <w:rFonts w:hint="default" w:ascii="Times New Roman" w:hAnsi="Times New Roman" w:cs="Times New Roman"/>
                <w:color w:val="00B050"/>
                <w:spacing w:val="0"/>
                <w:sz w:val="21"/>
                <w:szCs w:val="21"/>
                <w:highlight w:val="none"/>
              </w:rPr>
              <w:t>态</w:t>
            </w:r>
          </w:p>
        </w:tc>
        <w:tc>
          <w:tcPr>
            <w:tcW w:w="143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E3A6802">
            <w:pPr>
              <w:pStyle w:val="42"/>
              <w:spacing w:beforeLines="0" w:afterLines="0"/>
              <w:rPr>
                <w:rFonts w:hint="default" w:ascii="Times New Roman" w:hAnsi="Times New Roman" w:cs="Times New Roman"/>
                <w:color w:val="00B050"/>
                <w:spacing w:val="0"/>
                <w:sz w:val="21"/>
                <w:szCs w:val="21"/>
                <w:highlight w:val="none"/>
                <w:lang w:val="en-US" w:eastAsia="zh-CN"/>
              </w:rPr>
            </w:pPr>
            <w:r>
              <w:rPr>
                <w:rFonts w:hint="eastAsia" w:ascii="Times New Roman" w:hAnsi="Times New Roman" w:cs="Times New Roman"/>
                <w:color w:val="00B050"/>
                <w:spacing w:val="0"/>
                <w:sz w:val="21"/>
                <w:szCs w:val="21"/>
                <w:highlight w:val="none"/>
                <w:lang w:val="en-US" w:eastAsia="zh-CN"/>
              </w:rPr>
              <w:t>0.5</w:t>
            </w:r>
          </w:p>
        </w:tc>
        <w:tc>
          <w:tcPr>
            <w:tcW w:w="115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12649BF">
            <w:pPr>
              <w:pStyle w:val="42"/>
              <w:spacing w:beforeLines="0" w:afterLines="0"/>
              <w:rPr>
                <w:rFonts w:hint="default" w:ascii="Times New Roman" w:hAnsi="Times New Roman" w:cs="Times New Roman"/>
                <w:color w:val="00B050"/>
                <w:spacing w:val="0"/>
                <w:sz w:val="21"/>
                <w:szCs w:val="21"/>
                <w:highlight w:val="none"/>
                <w:lang w:val="en-US" w:eastAsia="zh-CN"/>
              </w:rPr>
            </w:pPr>
            <w:r>
              <w:rPr>
                <w:rFonts w:hint="eastAsia" w:ascii="Times New Roman" w:hAnsi="Times New Roman" w:cs="Times New Roman"/>
                <w:color w:val="00B050"/>
                <w:spacing w:val="0"/>
                <w:sz w:val="21"/>
                <w:szCs w:val="21"/>
                <w:highlight w:val="none"/>
                <w:lang w:val="en-US" w:eastAsia="zh-CN"/>
              </w:rPr>
              <w:t>2500</w:t>
            </w:r>
          </w:p>
        </w:tc>
        <w:tc>
          <w:tcPr>
            <w:tcW w:w="124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426A33F">
            <w:pPr>
              <w:pStyle w:val="42"/>
              <w:spacing w:beforeLines="0" w:afterLines="0"/>
              <w:rPr>
                <w:rFonts w:hint="default" w:ascii="Times New Roman" w:hAnsi="Times New Roman" w:cs="Times New Roman"/>
                <w:color w:val="00B050"/>
                <w:spacing w:val="0"/>
                <w:sz w:val="21"/>
                <w:szCs w:val="21"/>
                <w:highlight w:val="none"/>
                <w:lang w:val="en-US" w:eastAsia="zh-CN"/>
              </w:rPr>
            </w:pPr>
            <w:r>
              <w:rPr>
                <w:rFonts w:hint="default" w:ascii="Times New Roman" w:hAnsi="Times New Roman" w:cs="Times New Roman"/>
                <w:color w:val="00B050"/>
                <w:spacing w:val="0"/>
                <w:sz w:val="21"/>
                <w:szCs w:val="21"/>
                <w:highlight w:val="none"/>
                <w:lang w:val="en-US" w:eastAsia="zh-CN"/>
              </w:rPr>
              <w:t>0.</w:t>
            </w:r>
            <w:r>
              <w:rPr>
                <w:rFonts w:hint="eastAsia" w:ascii="Times New Roman" w:hAnsi="Times New Roman" w:cs="Times New Roman"/>
                <w:color w:val="00B050"/>
                <w:spacing w:val="0"/>
                <w:sz w:val="21"/>
                <w:szCs w:val="21"/>
                <w:highlight w:val="none"/>
                <w:lang w:val="en-US" w:eastAsia="zh-CN"/>
              </w:rPr>
              <w:t>0002</w:t>
            </w:r>
          </w:p>
        </w:tc>
      </w:tr>
    </w:tbl>
    <w:p w14:paraId="08E7A262">
      <w:pPr>
        <w:autoSpaceDE/>
        <w:autoSpaceDN/>
        <w:adjustRightInd/>
        <w:snapToGrid w:val="0"/>
        <w:spacing w:beforeLines="0" w:afterLines="0"/>
        <w:ind w:firstLine="480"/>
        <w:rPr>
          <w:rFonts w:hint="default" w:ascii="Times New Roman" w:hAnsi="Times New Roman" w:cs="Times New Roman"/>
          <w:color w:val="00B050"/>
          <w:sz w:val="24"/>
          <w:szCs w:val="24"/>
          <w:highlight w:val="none"/>
        </w:rPr>
      </w:pPr>
      <w:r>
        <w:rPr>
          <w:rFonts w:hint="default" w:ascii="Times New Roman" w:hAnsi="Times New Roman" w:cs="Times New Roman"/>
          <w:color w:val="00B050"/>
          <w:sz w:val="24"/>
          <w:szCs w:val="24"/>
          <w:highlight w:val="none"/>
        </w:rPr>
        <w:t>根据上表计算结果，本项目环境风险物质总量与其临界量比值</w:t>
      </w:r>
      <w:r>
        <w:rPr>
          <w:rFonts w:hint="default" w:ascii="Times New Roman" w:hAnsi="Times New Roman" w:cs="Times New Roman"/>
          <w:color w:val="00B050"/>
          <w:sz w:val="24"/>
          <w:szCs w:val="24"/>
          <w:highlight w:val="none"/>
          <w:lang w:eastAsia="zh-CN"/>
        </w:rPr>
        <w:t>(</w:t>
      </w:r>
      <w:r>
        <w:rPr>
          <w:rFonts w:hint="default" w:ascii="Times New Roman" w:hAnsi="Times New Roman" w:cs="Times New Roman"/>
          <w:color w:val="00B050"/>
          <w:sz w:val="24"/>
          <w:szCs w:val="24"/>
          <w:highlight w:val="none"/>
        </w:rPr>
        <w:t>Q</w:t>
      </w:r>
      <w:r>
        <w:rPr>
          <w:rFonts w:hint="default" w:ascii="Times New Roman" w:hAnsi="Times New Roman" w:cs="Times New Roman"/>
          <w:color w:val="00B050"/>
          <w:sz w:val="24"/>
          <w:szCs w:val="24"/>
          <w:highlight w:val="none"/>
          <w:lang w:eastAsia="zh-CN"/>
        </w:rPr>
        <w:t>)</w:t>
      </w:r>
      <w:r>
        <w:rPr>
          <w:rFonts w:hint="default" w:ascii="Times New Roman" w:hAnsi="Times New Roman" w:cs="Times New Roman"/>
          <w:color w:val="00B050"/>
          <w:sz w:val="24"/>
          <w:szCs w:val="24"/>
          <w:highlight w:val="none"/>
        </w:rPr>
        <w:t>为Q</w:t>
      </w:r>
      <w:r>
        <w:rPr>
          <w:rFonts w:hint="default" w:ascii="Times New Roman" w:hAnsi="Times New Roman" w:cs="Times New Roman"/>
          <w:color w:val="00B050"/>
          <w:sz w:val="24"/>
          <w:szCs w:val="24"/>
          <w:highlight w:val="none"/>
          <w:lang w:val="en-US" w:eastAsia="zh-CN"/>
        </w:rPr>
        <w:t>＜</w:t>
      </w:r>
      <w:r>
        <w:rPr>
          <w:rFonts w:hint="default" w:ascii="Times New Roman" w:hAnsi="Times New Roman" w:cs="Times New Roman"/>
          <w:color w:val="00B050"/>
          <w:sz w:val="24"/>
          <w:szCs w:val="24"/>
          <w:highlight w:val="none"/>
        </w:rPr>
        <w:t>1水平。根据</w:t>
      </w:r>
      <w:r>
        <w:rPr>
          <w:rFonts w:hint="default" w:ascii="Times New Roman" w:hAnsi="Times New Roman" w:cs="Times New Roman"/>
          <w:color w:val="00B050"/>
          <w:sz w:val="24"/>
          <w:szCs w:val="24"/>
          <w:highlight w:val="none"/>
          <w:lang w:eastAsia="zh-CN"/>
        </w:rPr>
        <w:t>《</w:t>
      </w:r>
      <w:r>
        <w:rPr>
          <w:rFonts w:hint="default" w:ascii="Times New Roman" w:hAnsi="Times New Roman" w:cs="Times New Roman"/>
          <w:color w:val="00B050"/>
          <w:sz w:val="24"/>
          <w:szCs w:val="24"/>
          <w:highlight w:val="none"/>
        </w:rPr>
        <w:t>建设项目环境风险评价技术导则》</w:t>
      </w:r>
      <w:r>
        <w:rPr>
          <w:rFonts w:hint="default" w:ascii="Times New Roman" w:hAnsi="Times New Roman" w:cs="Times New Roman"/>
          <w:color w:val="00B050"/>
          <w:sz w:val="24"/>
          <w:szCs w:val="24"/>
          <w:highlight w:val="none"/>
          <w:lang w:eastAsia="zh-CN"/>
        </w:rPr>
        <w:t>(</w:t>
      </w:r>
      <w:r>
        <w:rPr>
          <w:rFonts w:hint="default" w:ascii="Times New Roman" w:hAnsi="Times New Roman" w:cs="Times New Roman"/>
          <w:color w:val="00B050"/>
          <w:sz w:val="24"/>
          <w:szCs w:val="24"/>
          <w:highlight w:val="none"/>
        </w:rPr>
        <w:t>HJ</w:t>
      </w:r>
      <w:r>
        <w:rPr>
          <w:rFonts w:hint="default" w:ascii="Times New Roman" w:hAnsi="Times New Roman" w:cs="Times New Roman"/>
          <w:color w:val="00B050"/>
          <w:sz w:val="24"/>
          <w:szCs w:val="24"/>
          <w:highlight w:val="none"/>
          <w:lang w:val="en-US" w:eastAsia="zh-CN"/>
        </w:rPr>
        <w:t xml:space="preserve"> </w:t>
      </w:r>
      <w:r>
        <w:rPr>
          <w:rFonts w:hint="default" w:ascii="Times New Roman" w:hAnsi="Times New Roman" w:cs="Times New Roman"/>
          <w:color w:val="00B050"/>
          <w:sz w:val="24"/>
          <w:szCs w:val="24"/>
          <w:highlight w:val="none"/>
        </w:rPr>
        <w:t>169-2018</w:t>
      </w:r>
      <w:r>
        <w:rPr>
          <w:rFonts w:hint="default" w:ascii="Times New Roman" w:hAnsi="Times New Roman" w:cs="Times New Roman"/>
          <w:color w:val="00B050"/>
          <w:sz w:val="24"/>
          <w:szCs w:val="24"/>
          <w:highlight w:val="none"/>
          <w:lang w:eastAsia="zh-CN"/>
        </w:rPr>
        <w:t>)</w:t>
      </w:r>
      <w:r>
        <w:rPr>
          <w:rFonts w:hint="default" w:ascii="Times New Roman" w:hAnsi="Times New Roman" w:cs="Times New Roman"/>
          <w:color w:val="00B050"/>
          <w:sz w:val="24"/>
          <w:szCs w:val="24"/>
          <w:highlight w:val="none"/>
        </w:rPr>
        <w:t>可知，本项目环境风险</w:t>
      </w:r>
      <w:r>
        <w:rPr>
          <w:rFonts w:hint="default" w:ascii="Times New Roman" w:hAnsi="Times New Roman" w:cs="Times New Roman"/>
          <w:color w:val="00B050"/>
          <w:sz w:val="24"/>
          <w:szCs w:val="24"/>
          <w:highlight w:val="none"/>
          <w:lang w:val="en-US" w:eastAsia="zh-CN"/>
        </w:rPr>
        <w:t>潜势</w:t>
      </w:r>
      <w:r>
        <w:rPr>
          <w:rFonts w:hint="default" w:ascii="Times New Roman" w:hAnsi="Times New Roman" w:cs="Times New Roman"/>
          <w:color w:val="00B050"/>
          <w:sz w:val="24"/>
          <w:szCs w:val="24"/>
          <w:highlight w:val="none"/>
        </w:rPr>
        <w:t>为</w:t>
      </w:r>
      <w:r>
        <w:rPr>
          <w:rFonts w:hint="default" w:ascii="Times New Roman" w:hAnsi="Times New Roman" w:cs="Times New Roman"/>
          <w:color w:val="00B050"/>
          <w:sz w:val="24"/>
          <w:szCs w:val="24"/>
          <w:highlight w:val="none"/>
          <w:lang w:val="en-US" w:eastAsia="zh-CN"/>
        </w:rPr>
        <w:t>I</w:t>
      </w:r>
      <w:r>
        <w:rPr>
          <w:rFonts w:hint="default" w:ascii="Times New Roman" w:hAnsi="Times New Roman" w:cs="Times New Roman"/>
          <w:color w:val="00B050"/>
          <w:sz w:val="24"/>
          <w:szCs w:val="24"/>
          <w:highlight w:val="none"/>
        </w:rPr>
        <w:t>。</w:t>
      </w:r>
    </w:p>
    <w:p w14:paraId="698B868F">
      <w:pPr>
        <w:autoSpaceDE/>
        <w:autoSpaceDN/>
        <w:adjustRightInd/>
        <w:snapToGrid w:val="0"/>
        <w:spacing w:beforeLines="0" w:afterLines="0"/>
        <w:ind w:firstLine="480"/>
        <w:rPr>
          <w:rFonts w:hint="default" w:ascii="Times New Roman" w:hAnsi="Times New Roman" w:cs="Times New Roman"/>
          <w:color w:val="auto"/>
          <w:sz w:val="24"/>
          <w:szCs w:val="24"/>
          <w:highlight w:val="none"/>
          <w:lang w:val="en-US"/>
        </w:rPr>
      </w:pPr>
      <w:r>
        <w:rPr>
          <w:rFonts w:hint="default"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lang w:eastAsia="zh-CN"/>
        </w:rPr>
        <w:t>环境风险</w:t>
      </w:r>
      <w:r>
        <w:rPr>
          <w:rFonts w:hint="default" w:ascii="Times New Roman" w:hAnsi="Times New Roman" w:cs="Times New Roman"/>
          <w:color w:val="auto"/>
          <w:sz w:val="24"/>
          <w:szCs w:val="24"/>
          <w:highlight w:val="none"/>
          <w:lang w:val="en-US" w:eastAsia="zh-CN"/>
        </w:rPr>
        <w:t>潜势判定</w:t>
      </w:r>
    </w:p>
    <w:p w14:paraId="01D5EC59">
      <w:pPr>
        <w:autoSpaceDE/>
        <w:autoSpaceDN/>
        <w:adjustRightInd/>
        <w:snapToGrid w:val="0"/>
        <w:spacing w:beforeLines="0" w:afterLines="0"/>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建设项目环境风险评价技术导则》</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HJ</w:t>
      </w: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rPr>
        <w:t>169-2018</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可知，</w:t>
      </w:r>
      <w:r>
        <w:rPr>
          <w:rFonts w:hint="default" w:ascii="Times New Roman" w:hAnsi="Times New Roman" w:cs="Times New Roman"/>
          <w:color w:val="auto"/>
          <w:sz w:val="24"/>
          <w:szCs w:val="24"/>
          <w:highlight w:val="none"/>
          <w:lang w:val="en-US" w:eastAsia="zh-CN"/>
        </w:rPr>
        <w:t>当</w:t>
      </w:r>
      <w:r>
        <w:rPr>
          <w:rFonts w:hint="default" w:ascii="Times New Roman" w:hAnsi="Times New Roman" w:cs="Times New Roman"/>
          <w:color w:val="auto"/>
          <w:sz w:val="24"/>
          <w:szCs w:val="24"/>
          <w:highlight w:val="none"/>
        </w:rPr>
        <w:t>环境风险物质总量与其临界量比值</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Q</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为Q</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1水平</w:t>
      </w:r>
      <w:r>
        <w:rPr>
          <w:rFonts w:hint="default" w:ascii="Times New Roman" w:hAnsi="Times New Roman" w:cs="Times New Roman"/>
          <w:color w:val="auto"/>
          <w:sz w:val="24"/>
          <w:szCs w:val="24"/>
          <w:highlight w:val="none"/>
          <w:lang w:val="en-US" w:eastAsia="zh-CN"/>
        </w:rPr>
        <w:t>时，</w:t>
      </w:r>
      <w:r>
        <w:rPr>
          <w:rFonts w:hint="default" w:ascii="Times New Roman" w:hAnsi="Times New Roman" w:cs="Times New Roman"/>
          <w:color w:val="auto"/>
          <w:sz w:val="24"/>
          <w:szCs w:val="24"/>
          <w:highlight w:val="none"/>
        </w:rPr>
        <w:t>本项目环境风险</w:t>
      </w:r>
      <w:r>
        <w:rPr>
          <w:rFonts w:hint="default" w:ascii="Times New Roman" w:hAnsi="Times New Roman" w:cs="Times New Roman"/>
          <w:color w:val="auto"/>
          <w:sz w:val="24"/>
          <w:szCs w:val="24"/>
          <w:highlight w:val="none"/>
          <w:lang w:val="en-US" w:eastAsia="zh-CN"/>
        </w:rPr>
        <w:t>潜势</w:t>
      </w:r>
      <w:r>
        <w:rPr>
          <w:rFonts w:hint="default" w:ascii="Times New Roman" w:hAnsi="Times New Roman" w:cs="Times New Roman"/>
          <w:color w:val="auto"/>
          <w:sz w:val="24"/>
          <w:szCs w:val="24"/>
          <w:highlight w:val="none"/>
        </w:rPr>
        <w:t>为</w:t>
      </w:r>
      <w:r>
        <w:rPr>
          <w:rFonts w:hint="default" w:ascii="Times New Roman" w:hAnsi="Times New Roman" w:cs="Times New Roman"/>
          <w:color w:val="auto"/>
          <w:sz w:val="24"/>
          <w:szCs w:val="24"/>
          <w:highlight w:val="none"/>
          <w:lang w:val="en-US" w:eastAsia="zh-CN"/>
        </w:rPr>
        <w:t>I</w:t>
      </w:r>
      <w:r>
        <w:rPr>
          <w:rFonts w:hint="default" w:ascii="Times New Roman" w:hAnsi="Times New Roman" w:cs="Times New Roman"/>
          <w:color w:val="auto"/>
          <w:sz w:val="24"/>
          <w:szCs w:val="24"/>
          <w:highlight w:val="none"/>
        </w:rPr>
        <w:t>。</w:t>
      </w:r>
    </w:p>
    <w:p w14:paraId="4C7E3D74">
      <w:pPr>
        <w:numPr>
          <w:ilvl w:val="0"/>
          <w:numId w:val="42"/>
        </w:numPr>
        <w:autoSpaceDE/>
        <w:autoSpaceDN/>
        <w:adjustRightInd/>
        <w:snapToGrid w:val="0"/>
        <w:spacing w:beforeLines="0" w:afterLines="0"/>
        <w:ind w:firstLine="48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评价等级</w:t>
      </w:r>
    </w:p>
    <w:p w14:paraId="7C5AC5A3">
      <w:pPr>
        <w:autoSpaceDE/>
        <w:autoSpaceDN/>
        <w:adjustRightInd/>
        <w:snapToGrid w:val="0"/>
        <w:spacing w:beforeLines="0" w:afterLines="0"/>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根据《建设项目环境风险评价技术导则》</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HJ169-2018</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，环境风险评价等级判别，见下表。</w:t>
      </w:r>
    </w:p>
    <w:p w14:paraId="11500F1C">
      <w:pPr>
        <w:widowControl/>
        <w:autoSpaceDE/>
        <w:autoSpaceDN/>
        <w:adjustRightInd/>
        <w:snapToGrid w:val="0"/>
        <w:spacing w:beforeLines="0" w:afterLines="0" w:line="240" w:lineRule="auto"/>
        <w:ind w:firstLine="482"/>
        <w:jc w:val="center"/>
        <w:rPr>
          <w:rFonts w:hint="default" w:ascii="Times New Roman" w:hAnsi="Times New Roman" w:cs="Times New Roman"/>
          <w:b/>
          <w:color w:val="auto"/>
          <w:sz w:val="24"/>
          <w:szCs w:val="24"/>
          <w:highlight w:val="none"/>
          <w:lang w:val="en-US" w:eastAsia="zh-CN"/>
        </w:rPr>
      </w:pPr>
      <w:r>
        <w:rPr>
          <w:rFonts w:hint="default" w:ascii="Times New Roman" w:hAnsi="Times New Roman" w:cs="Times New Roman"/>
          <w:b/>
          <w:color w:val="auto"/>
          <w:sz w:val="24"/>
          <w:szCs w:val="24"/>
          <w:highlight w:val="none"/>
          <w:lang w:val="en-US" w:eastAsia="zh-CN"/>
        </w:rPr>
        <w:t>表5.2-</w:t>
      </w:r>
      <w:r>
        <w:rPr>
          <w:rFonts w:hint="eastAsia" w:cs="Times New Roman"/>
          <w:b/>
          <w:color w:val="auto"/>
          <w:sz w:val="24"/>
          <w:szCs w:val="24"/>
          <w:highlight w:val="none"/>
          <w:lang w:val="en-US" w:eastAsia="zh-CN"/>
        </w:rPr>
        <w:t>32</w:t>
      </w:r>
      <w:r>
        <w:rPr>
          <w:rFonts w:hint="default" w:ascii="Times New Roman" w:hAnsi="Times New Roman" w:cs="Times New Roman"/>
          <w:b/>
          <w:color w:val="auto"/>
          <w:sz w:val="24"/>
          <w:szCs w:val="24"/>
          <w:highlight w:val="none"/>
          <w:lang w:val="en-US" w:eastAsia="zh-CN"/>
        </w:rPr>
        <w:t xml:space="preserve">      环境风险评价工作等级划分表</w:t>
      </w:r>
    </w:p>
    <w:tbl>
      <w:tblPr>
        <w:tblStyle w:val="31"/>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769"/>
        <w:gridCol w:w="1795"/>
        <w:gridCol w:w="2074"/>
        <w:gridCol w:w="1714"/>
        <w:gridCol w:w="1816"/>
      </w:tblGrid>
      <w:tr w14:paraId="331B4C6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0" w:hRule="atLeast"/>
          <w:jc w:val="center"/>
        </w:trPr>
        <w:tc>
          <w:tcPr>
            <w:tcW w:w="176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37C113A">
            <w:pPr>
              <w:pStyle w:val="42"/>
              <w:spacing w:beforeLines="0" w:afterLines="0"/>
              <w:rPr>
                <w:rFonts w:hint="default" w:ascii="Times New Roman" w:hAnsi="Times New Roman" w:cs="Times New Roman"/>
                <w:color w:val="auto"/>
                <w:spacing w:val="0"/>
                <w:sz w:val="21"/>
                <w:szCs w:val="21"/>
                <w:highlight w:val="none"/>
                <w:lang w:val="en-US" w:eastAsia="zh-CN"/>
              </w:rPr>
            </w:pPr>
            <w:r>
              <w:rPr>
                <w:rFonts w:hint="default" w:ascii="Times New Roman" w:hAnsi="Times New Roman" w:cs="Times New Roman"/>
                <w:color w:val="auto"/>
                <w:spacing w:val="0"/>
                <w:sz w:val="21"/>
                <w:szCs w:val="21"/>
                <w:highlight w:val="none"/>
                <w:lang w:val="en-US" w:eastAsia="zh-CN"/>
              </w:rPr>
              <w:t>环境风险潜势</w:t>
            </w:r>
          </w:p>
        </w:tc>
        <w:tc>
          <w:tcPr>
            <w:tcW w:w="179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04154B9">
            <w:pPr>
              <w:pStyle w:val="42"/>
              <w:spacing w:beforeLines="0" w:afterLines="0"/>
              <w:rPr>
                <w:rFonts w:hint="default" w:ascii="Times New Roman" w:hAnsi="Times New Roman" w:cs="Times New Roman"/>
                <w:color w:val="auto"/>
                <w:spacing w:val="0"/>
                <w:sz w:val="21"/>
                <w:szCs w:val="21"/>
                <w:highlight w:val="none"/>
                <w:lang w:val="en-US" w:eastAsia="zh-CN"/>
              </w:rPr>
            </w:pPr>
            <w:r>
              <w:rPr>
                <w:rFonts w:hint="default" w:ascii="Times New Roman" w:hAnsi="Times New Roman" w:cs="Times New Roman"/>
                <w:color w:val="auto"/>
                <w:spacing w:val="0"/>
                <w:sz w:val="21"/>
                <w:szCs w:val="21"/>
                <w:highlight w:val="none"/>
                <w:lang w:val="en-US" w:eastAsia="zh-CN"/>
              </w:rPr>
              <w:t>Ⅳ、Ⅳ＋</w:t>
            </w:r>
          </w:p>
        </w:tc>
        <w:tc>
          <w:tcPr>
            <w:tcW w:w="207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8E1B1AA">
            <w:pPr>
              <w:pStyle w:val="42"/>
              <w:spacing w:beforeLines="0" w:afterLines="0"/>
              <w:rPr>
                <w:rFonts w:hint="default" w:ascii="Times New Roman" w:hAnsi="Times New Roman" w:cs="Times New Roman"/>
                <w:color w:val="auto"/>
                <w:spacing w:val="0"/>
                <w:sz w:val="21"/>
                <w:szCs w:val="21"/>
                <w:highlight w:val="none"/>
                <w:lang w:val="en-US" w:eastAsia="zh-CN"/>
              </w:rPr>
            </w:pPr>
            <w:r>
              <w:rPr>
                <w:rFonts w:hint="default" w:ascii="Times New Roman" w:hAnsi="Times New Roman" w:cs="Times New Roman"/>
                <w:color w:val="auto"/>
                <w:spacing w:val="0"/>
                <w:sz w:val="21"/>
                <w:szCs w:val="21"/>
                <w:highlight w:val="none"/>
                <w:lang w:val="en-US" w:eastAsia="zh-CN"/>
              </w:rPr>
              <w:t>Ⅲ</w:t>
            </w:r>
          </w:p>
        </w:tc>
        <w:tc>
          <w:tcPr>
            <w:tcW w:w="171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095CA52">
            <w:pPr>
              <w:pStyle w:val="42"/>
              <w:spacing w:beforeLines="0" w:afterLines="0"/>
              <w:rPr>
                <w:rFonts w:hint="default" w:ascii="Times New Roman" w:hAnsi="Times New Roman" w:cs="Times New Roman"/>
                <w:color w:val="auto"/>
                <w:spacing w:val="0"/>
                <w:sz w:val="21"/>
                <w:szCs w:val="21"/>
                <w:highlight w:val="none"/>
                <w:lang w:val="en-US" w:eastAsia="zh-CN"/>
              </w:rPr>
            </w:pPr>
            <w:r>
              <w:rPr>
                <w:rFonts w:hint="default" w:ascii="Times New Roman" w:hAnsi="Times New Roman" w:cs="Times New Roman"/>
                <w:color w:val="auto"/>
                <w:spacing w:val="0"/>
                <w:sz w:val="21"/>
                <w:szCs w:val="21"/>
                <w:highlight w:val="none"/>
                <w:lang w:val="en-US" w:eastAsia="zh-CN"/>
              </w:rPr>
              <w:t>Ⅱ</w:t>
            </w:r>
          </w:p>
        </w:tc>
        <w:tc>
          <w:tcPr>
            <w:tcW w:w="181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D569E72">
            <w:pPr>
              <w:pStyle w:val="42"/>
              <w:spacing w:beforeLines="0" w:afterLines="0"/>
              <w:rPr>
                <w:rFonts w:hint="default" w:ascii="Times New Roman" w:hAnsi="Times New Roman" w:cs="Times New Roman"/>
                <w:color w:val="auto"/>
                <w:spacing w:val="0"/>
                <w:sz w:val="21"/>
                <w:szCs w:val="21"/>
                <w:highlight w:val="none"/>
                <w:lang w:val="en-US" w:eastAsia="zh-CN"/>
              </w:rPr>
            </w:pPr>
            <w:r>
              <w:rPr>
                <w:rFonts w:hint="default" w:ascii="Times New Roman" w:hAnsi="Times New Roman" w:cs="Times New Roman"/>
                <w:color w:val="auto"/>
                <w:spacing w:val="0"/>
                <w:sz w:val="21"/>
                <w:szCs w:val="21"/>
                <w:highlight w:val="none"/>
                <w:lang w:val="en-US" w:eastAsia="zh-CN"/>
              </w:rPr>
              <w:t>Ⅰ</w:t>
            </w:r>
          </w:p>
        </w:tc>
      </w:tr>
      <w:tr w14:paraId="3DDCE94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4" w:hRule="atLeast"/>
          <w:jc w:val="center"/>
        </w:trPr>
        <w:tc>
          <w:tcPr>
            <w:tcW w:w="176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10FE243">
            <w:pPr>
              <w:pStyle w:val="42"/>
              <w:spacing w:beforeLines="0" w:afterLines="0"/>
              <w:rPr>
                <w:rFonts w:hint="default" w:ascii="Times New Roman" w:hAnsi="Times New Roman" w:cs="Times New Roman"/>
                <w:color w:val="auto"/>
                <w:spacing w:val="0"/>
                <w:sz w:val="21"/>
                <w:szCs w:val="21"/>
                <w:highlight w:val="none"/>
                <w:lang w:val="en-US" w:eastAsia="zh-CN"/>
              </w:rPr>
            </w:pPr>
            <w:r>
              <w:rPr>
                <w:rFonts w:hint="default" w:ascii="Times New Roman" w:hAnsi="Times New Roman" w:cs="Times New Roman"/>
                <w:color w:val="auto"/>
                <w:spacing w:val="0"/>
                <w:sz w:val="21"/>
                <w:szCs w:val="21"/>
                <w:highlight w:val="none"/>
                <w:lang w:val="en-US" w:eastAsia="zh-CN"/>
              </w:rPr>
              <w:t>评价工作等级</w:t>
            </w:r>
          </w:p>
        </w:tc>
        <w:tc>
          <w:tcPr>
            <w:tcW w:w="179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B87E5A8">
            <w:pPr>
              <w:pStyle w:val="42"/>
              <w:spacing w:beforeLines="0" w:afterLines="0"/>
              <w:rPr>
                <w:rFonts w:hint="default" w:ascii="Times New Roman" w:hAnsi="Times New Roman" w:cs="Times New Roman"/>
                <w:color w:val="auto"/>
                <w:spacing w:val="0"/>
                <w:sz w:val="21"/>
                <w:szCs w:val="21"/>
                <w:highlight w:val="none"/>
                <w:lang w:val="en-US" w:eastAsia="zh-CN"/>
              </w:rPr>
            </w:pPr>
            <w:r>
              <w:rPr>
                <w:rFonts w:hint="default" w:ascii="Times New Roman" w:hAnsi="Times New Roman" w:cs="Times New Roman"/>
                <w:color w:val="auto"/>
                <w:spacing w:val="0"/>
                <w:sz w:val="21"/>
                <w:szCs w:val="21"/>
                <w:highlight w:val="none"/>
                <w:lang w:val="en-US" w:eastAsia="zh-CN"/>
              </w:rPr>
              <w:t>一</w:t>
            </w:r>
          </w:p>
        </w:tc>
        <w:tc>
          <w:tcPr>
            <w:tcW w:w="207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E2CEB65">
            <w:pPr>
              <w:pStyle w:val="42"/>
              <w:spacing w:beforeLines="0" w:afterLines="0"/>
              <w:rPr>
                <w:rFonts w:hint="default" w:ascii="Times New Roman" w:hAnsi="Times New Roman" w:cs="Times New Roman"/>
                <w:color w:val="auto"/>
                <w:spacing w:val="0"/>
                <w:sz w:val="21"/>
                <w:szCs w:val="21"/>
                <w:highlight w:val="none"/>
                <w:lang w:val="en-US" w:eastAsia="zh-CN"/>
              </w:rPr>
            </w:pPr>
            <w:r>
              <w:rPr>
                <w:rFonts w:hint="default" w:ascii="Times New Roman" w:hAnsi="Times New Roman" w:cs="Times New Roman"/>
                <w:color w:val="auto"/>
                <w:spacing w:val="0"/>
                <w:sz w:val="21"/>
                <w:szCs w:val="21"/>
                <w:highlight w:val="none"/>
                <w:lang w:val="en-US" w:eastAsia="zh-CN"/>
              </w:rPr>
              <w:t>二</w:t>
            </w:r>
          </w:p>
        </w:tc>
        <w:tc>
          <w:tcPr>
            <w:tcW w:w="171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221D98A">
            <w:pPr>
              <w:pStyle w:val="42"/>
              <w:spacing w:beforeLines="0" w:afterLines="0"/>
              <w:rPr>
                <w:rFonts w:hint="default" w:ascii="Times New Roman" w:hAnsi="Times New Roman" w:cs="Times New Roman"/>
                <w:color w:val="auto"/>
                <w:spacing w:val="0"/>
                <w:sz w:val="21"/>
                <w:szCs w:val="21"/>
                <w:highlight w:val="none"/>
                <w:lang w:val="en-US" w:eastAsia="zh-CN"/>
              </w:rPr>
            </w:pPr>
            <w:r>
              <w:rPr>
                <w:rFonts w:hint="default" w:ascii="Times New Roman" w:hAnsi="Times New Roman" w:cs="Times New Roman"/>
                <w:color w:val="auto"/>
                <w:spacing w:val="0"/>
                <w:sz w:val="21"/>
                <w:szCs w:val="21"/>
                <w:highlight w:val="none"/>
                <w:lang w:val="en-US" w:eastAsia="zh-CN"/>
              </w:rPr>
              <w:t>三</w:t>
            </w:r>
          </w:p>
        </w:tc>
        <w:tc>
          <w:tcPr>
            <w:tcW w:w="181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E7CCF92">
            <w:pPr>
              <w:pStyle w:val="42"/>
              <w:spacing w:beforeLines="0" w:afterLines="0"/>
              <w:rPr>
                <w:rFonts w:hint="default" w:ascii="Times New Roman" w:hAnsi="Times New Roman" w:cs="Times New Roman"/>
                <w:color w:val="auto"/>
                <w:spacing w:val="0"/>
                <w:sz w:val="21"/>
                <w:szCs w:val="21"/>
                <w:highlight w:val="none"/>
                <w:lang w:val="en-US" w:eastAsia="zh-CN"/>
              </w:rPr>
            </w:pPr>
            <w:r>
              <w:rPr>
                <w:rFonts w:hint="default" w:ascii="Times New Roman" w:hAnsi="Times New Roman" w:cs="Times New Roman"/>
                <w:color w:val="auto"/>
                <w:spacing w:val="0"/>
                <w:sz w:val="21"/>
                <w:szCs w:val="21"/>
                <w:highlight w:val="none"/>
                <w:lang w:val="en-US" w:eastAsia="zh-CN"/>
              </w:rPr>
              <w:t>简单分析a</w:t>
            </w:r>
          </w:p>
        </w:tc>
      </w:tr>
      <w:tr w14:paraId="51C6DEC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705" w:hRule="atLeast"/>
          <w:jc w:val="center"/>
        </w:trPr>
        <w:tc>
          <w:tcPr>
            <w:tcW w:w="9168" w:type="dxa"/>
            <w:gridSpan w:val="5"/>
            <w:tcBorders>
              <w:top w:val="single" w:color="auto" w:sz="4" w:space="0"/>
              <w:left w:val="single" w:color="auto" w:sz="4" w:space="0"/>
              <w:bottom w:val="single" w:color="auto" w:sz="4" w:space="0"/>
              <w:right w:val="single" w:color="auto" w:sz="4" w:space="0"/>
              <w:tl2br w:val="nil"/>
              <w:tr2bl w:val="nil"/>
            </w:tcBorders>
            <w:noWrap w:val="0"/>
            <w:vAlign w:val="center"/>
          </w:tcPr>
          <w:p w14:paraId="7BDC99DE">
            <w:pPr>
              <w:pStyle w:val="42"/>
              <w:spacing w:beforeLines="0" w:afterLines="0"/>
              <w:rPr>
                <w:rFonts w:hint="default" w:ascii="Times New Roman" w:hAnsi="Times New Roman" w:cs="Times New Roman"/>
                <w:color w:val="auto"/>
                <w:spacing w:val="0"/>
                <w:sz w:val="21"/>
                <w:szCs w:val="21"/>
                <w:highlight w:val="none"/>
                <w:lang w:val="en-US" w:eastAsia="zh-CN"/>
              </w:rPr>
            </w:pPr>
            <w:r>
              <w:rPr>
                <w:rFonts w:hint="default" w:ascii="Times New Roman" w:hAnsi="Times New Roman" w:cs="Times New Roman"/>
                <w:color w:val="auto"/>
                <w:spacing w:val="0"/>
                <w:sz w:val="21"/>
                <w:szCs w:val="21"/>
                <w:highlight w:val="none"/>
                <w:lang w:val="en-US" w:eastAsia="zh-CN"/>
              </w:rPr>
              <w:t>a是相对于详细评价工作内容而言，在描述危险物质、环境影响途径、环境危害后果、风险防范措施等方面给出定性的说明。见附录A。</w:t>
            </w:r>
          </w:p>
        </w:tc>
      </w:tr>
    </w:tbl>
    <w:p w14:paraId="423037AC">
      <w:pPr>
        <w:autoSpaceDE/>
        <w:autoSpaceDN/>
        <w:adjustRightInd/>
        <w:snapToGrid w:val="0"/>
        <w:spacing w:beforeLines="0" w:afterLines="0"/>
        <w:ind w:firstLine="48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rPr>
        <w:t>本项目环境风险</w:t>
      </w:r>
      <w:r>
        <w:rPr>
          <w:rFonts w:hint="default" w:ascii="Times New Roman" w:hAnsi="Times New Roman" w:cs="Times New Roman"/>
          <w:color w:val="auto"/>
          <w:sz w:val="24"/>
          <w:szCs w:val="24"/>
          <w:highlight w:val="none"/>
          <w:lang w:val="en-US" w:eastAsia="zh-CN"/>
        </w:rPr>
        <w:t>潜势</w:t>
      </w:r>
      <w:r>
        <w:rPr>
          <w:rFonts w:hint="default" w:ascii="Times New Roman" w:hAnsi="Times New Roman" w:cs="Times New Roman"/>
          <w:color w:val="auto"/>
          <w:sz w:val="24"/>
          <w:szCs w:val="24"/>
          <w:highlight w:val="none"/>
        </w:rPr>
        <w:t>为</w:t>
      </w: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 1 \* ROMAN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I</w:t>
      </w:r>
      <w:r>
        <w:rPr>
          <w:rFonts w:hint="default" w:ascii="Times New Roman" w:hAnsi="Times New Roman" w:cs="Times New Roman"/>
          <w:color w:val="auto"/>
          <w:sz w:val="24"/>
          <w:szCs w:val="24"/>
          <w:highlight w:val="none"/>
        </w:rPr>
        <w:fldChar w:fldCharType="end"/>
      </w:r>
      <w:r>
        <w:rPr>
          <w:rFonts w:hint="default" w:ascii="Times New Roman" w:hAnsi="Times New Roman" w:cs="Times New Roman"/>
          <w:color w:val="auto"/>
          <w:sz w:val="24"/>
          <w:szCs w:val="24"/>
          <w:highlight w:val="none"/>
          <w:lang w:val="en-US" w:eastAsia="zh-CN"/>
        </w:rPr>
        <w:t>I</w:t>
      </w:r>
      <w:r>
        <w:rPr>
          <w:rFonts w:hint="default" w:ascii="Times New Roman" w:hAnsi="Times New Roman" w:cs="Times New Roman"/>
          <w:color w:val="auto"/>
          <w:sz w:val="24"/>
          <w:szCs w:val="24"/>
          <w:highlight w:val="none"/>
        </w:rPr>
        <w:t>级，因此，环境风险评价工作等级判定为</w:t>
      </w:r>
      <w:r>
        <w:rPr>
          <w:rFonts w:hint="default" w:ascii="Times New Roman" w:hAnsi="Times New Roman" w:cs="Times New Roman"/>
          <w:color w:val="auto"/>
          <w:sz w:val="24"/>
          <w:szCs w:val="24"/>
          <w:highlight w:val="none"/>
          <w:lang w:val="en-US" w:eastAsia="zh-CN"/>
        </w:rPr>
        <w:t>简单分析</w:t>
      </w:r>
      <w:r>
        <w:rPr>
          <w:rFonts w:hint="default" w:ascii="Times New Roman" w:hAnsi="Times New Roman" w:cs="Times New Roman"/>
          <w:color w:val="auto"/>
          <w:sz w:val="24"/>
          <w:szCs w:val="24"/>
          <w:highlight w:val="none"/>
        </w:rPr>
        <w:t>。</w:t>
      </w:r>
    </w:p>
    <w:p w14:paraId="384D4CF1">
      <w:pPr>
        <w:pStyle w:val="5"/>
        <w:bidi w:val="0"/>
        <w:rPr>
          <w:rFonts w:hint="default"/>
        </w:rPr>
      </w:pPr>
      <w:bookmarkStart w:id="413" w:name="_Toc1952"/>
      <w:r>
        <w:rPr>
          <w:rFonts w:hint="default"/>
        </w:rPr>
        <w:t>环境敏感目标概况</w:t>
      </w:r>
      <w:bookmarkEnd w:id="413"/>
    </w:p>
    <w:p w14:paraId="566102FA">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本项目位于位于阜康市</w:t>
      </w:r>
      <w:r>
        <w:rPr>
          <w:rFonts w:hint="default" w:ascii="Times New Roman" w:hAnsi="Times New Roman" w:cs="Times New Roman"/>
          <w:color w:val="auto"/>
          <w:sz w:val="24"/>
          <w:szCs w:val="24"/>
          <w:highlight w:val="none"/>
          <w:lang w:val="en-US" w:eastAsia="zh-CN"/>
        </w:rPr>
        <w:t>20</w:t>
      </w:r>
      <w:r>
        <w:rPr>
          <w:rFonts w:hint="default" w:ascii="Times New Roman" w:hAnsi="Times New Roman" w:cs="Times New Roman"/>
          <w:color w:val="auto"/>
          <w:sz w:val="24"/>
          <w:szCs w:val="24"/>
          <w:highlight w:val="none"/>
        </w:rPr>
        <w:t>°方位，直线距离</w:t>
      </w:r>
      <w:r>
        <w:rPr>
          <w:rFonts w:hint="default" w:ascii="Times New Roman" w:hAnsi="Times New Roman" w:cs="Times New Roman"/>
          <w:color w:val="auto"/>
          <w:sz w:val="24"/>
          <w:szCs w:val="24"/>
          <w:highlight w:val="none"/>
          <w:lang w:val="en-US" w:eastAsia="zh-CN"/>
        </w:rPr>
        <w:t>6</w:t>
      </w:r>
      <w:r>
        <w:rPr>
          <w:rFonts w:hint="eastAsia" w:ascii="Times New Roman" w:hAnsi="Times New Roman" w:cs="Times New Roman"/>
          <w:color w:val="auto"/>
          <w:sz w:val="24"/>
          <w:szCs w:val="24"/>
          <w:highlight w:val="none"/>
          <w:lang w:val="en-US" w:eastAsia="zh-CN"/>
        </w:rPr>
        <w:t>0</w:t>
      </w:r>
      <w:r>
        <w:rPr>
          <w:rFonts w:hint="default" w:ascii="Times New Roman" w:hAnsi="Times New Roman" w:cs="Times New Roman"/>
          <w:color w:val="auto"/>
          <w:sz w:val="24"/>
          <w:szCs w:val="24"/>
          <w:highlight w:val="none"/>
        </w:rPr>
        <w:t>km处，矿区属荒漠丘陵区，周边5km范围内，人口总数小于500人；</w:t>
      </w:r>
      <w:r>
        <w:rPr>
          <w:rFonts w:hint="default" w:ascii="Times New Roman" w:hAnsi="Times New Roman" w:cs="Times New Roman"/>
          <w:color w:val="auto"/>
          <w:sz w:val="24"/>
          <w:szCs w:val="24"/>
          <w:highlight w:val="none"/>
          <w:lang w:val="en-US" w:eastAsia="zh-CN"/>
        </w:rPr>
        <w:t>且不存在</w:t>
      </w:r>
      <w:r>
        <w:rPr>
          <w:rFonts w:hint="default" w:ascii="Times New Roman" w:hAnsi="Times New Roman" w:cs="Times New Roman"/>
          <w:color w:val="auto"/>
          <w:sz w:val="24"/>
          <w:szCs w:val="24"/>
          <w:highlight w:val="none"/>
        </w:rPr>
        <w:t>集中式饮用水水源准保护区</w:t>
      </w:r>
      <w:r>
        <w:rPr>
          <w:rFonts w:hint="default" w:ascii="Times New Roman" w:hAnsi="Times New Roman" w:cs="Times New Roman"/>
          <w:color w:val="auto"/>
          <w:sz w:val="24"/>
          <w:szCs w:val="24"/>
          <w:highlight w:val="none"/>
          <w:lang w:val="en-US" w:eastAsia="zh-CN"/>
        </w:rPr>
        <w:t>及</w:t>
      </w:r>
      <w:r>
        <w:rPr>
          <w:rFonts w:hint="default" w:ascii="Times New Roman" w:hAnsi="Times New Roman" w:cs="Times New Roman"/>
          <w:color w:val="auto"/>
          <w:sz w:val="24"/>
          <w:szCs w:val="24"/>
          <w:highlight w:val="none"/>
        </w:rPr>
        <w:t>分散式饮用水水源地</w:t>
      </w:r>
      <w:r>
        <w:rPr>
          <w:rFonts w:hint="default" w:ascii="Times New Roman" w:hAnsi="Times New Roman" w:cs="Times New Roman"/>
          <w:color w:val="auto"/>
          <w:sz w:val="24"/>
          <w:szCs w:val="24"/>
          <w:highlight w:val="none"/>
          <w:lang w:val="en-US" w:eastAsia="zh-CN"/>
        </w:rPr>
        <w:t>等</w:t>
      </w:r>
      <w:r>
        <w:rPr>
          <w:rFonts w:hint="default" w:ascii="Times New Roman" w:hAnsi="Times New Roman" w:cs="Times New Roman"/>
          <w:color w:val="auto"/>
          <w:sz w:val="24"/>
          <w:szCs w:val="24"/>
          <w:highlight w:val="none"/>
        </w:rPr>
        <w:t>环境敏感区</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项目周边无地表水体，生产废水回用不外排，且生活污水经过地埋式一体化污水处理设施处理后用作</w:t>
      </w:r>
      <w:r>
        <w:rPr>
          <w:rFonts w:hint="eastAsia" w:cs="Times New Roman"/>
          <w:color w:val="auto"/>
          <w:sz w:val="24"/>
          <w:szCs w:val="24"/>
          <w:highlight w:val="none"/>
          <w:lang w:val="en-US" w:eastAsia="zh-CN"/>
        </w:rPr>
        <w:t>矿区洒水</w:t>
      </w:r>
      <w:r>
        <w:rPr>
          <w:rFonts w:hint="default" w:ascii="Times New Roman" w:hAnsi="Times New Roman" w:cs="Times New Roman"/>
          <w:color w:val="auto"/>
          <w:sz w:val="24"/>
          <w:szCs w:val="24"/>
          <w:highlight w:val="none"/>
          <w:lang w:val="en-US" w:eastAsia="zh-CN"/>
        </w:rPr>
        <w:t>降尘。</w:t>
      </w:r>
    </w:p>
    <w:p w14:paraId="649605B5">
      <w:pPr>
        <w:pStyle w:val="5"/>
        <w:bidi w:val="0"/>
        <w:rPr>
          <w:rFonts w:hint="default"/>
        </w:rPr>
      </w:pPr>
      <w:bookmarkStart w:id="414" w:name="_Toc973"/>
      <w:r>
        <w:rPr>
          <w:rFonts w:hint="default"/>
        </w:rPr>
        <w:t>环境风险识别</w:t>
      </w:r>
      <w:bookmarkEnd w:id="414"/>
    </w:p>
    <w:p w14:paraId="16AC1F19">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为天然石英砂矿采选项目，设计采用露天开采。根据《建设项目环境风险评价技术导则》（HJ169-2018），风险识别的范围包括生产设施风险识别和生产过程所涉及的物质风险识别。物质风险识别对项目涉及的主要原材料及辅料、燃料、中间产品、最终产品以及生产过程排放的“三废”污染物等，按其危险性或毒性，进行危险性识别；生产设施风险识别对项目主要生产装置、贮运系统、公用工程系统、工程环保设施及辅助设施，逐一划分功能单元，分别进行重大危险源判定。</w:t>
      </w:r>
    </w:p>
    <w:p w14:paraId="0C94FC5E">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（1）物质风险识别</w:t>
      </w:r>
    </w:p>
    <w:p w14:paraId="4AFC2642">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依据《危险化学品重大危险源辨识》（GB18218-2018）以及《建设项目环境风险评 价技术导则》（HJ169-2018），本项目在生产过程中主要原辅材料及产品涉及的危险性的物质为柴油。但项目柴油在矿区不设储罐，不在厂内存储，设备用柴油均依托附近加油站加油车。</w:t>
      </w:r>
      <w:r>
        <w:rPr>
          <w:rFonts w:hint="default" w:ascii="Times New Roman" w:hAnsi="Times New Roman" w:cs="Times New Roman"/>
          <w:color w:val="auto"/>
          <w:sz w:val="24"/>
          <w:szCs w:val="24"/>
          <w:highlight w:val="none"/>
          <w:lang w:val="en-US" w:eastAsia="zh-CN"/>
        </w:rPr>
        <w:t>主要风险物质为</w:t>
      </w:r>
      <w:r>
        <w:rPr>
          <w:rFonts w:hint="eastAsia" w:cs="Times New Roman"/>
          <w:color w:val="auto"/>
          <w:sz w:val="24"/>
          <w:szCs w:val="24"/>
          <w:highlight w:val="none"/>
          <w:lang w:val="en-US" w:eastAsia="zh-CN"/>
        </w:rPr>
        <w:t>废矿物油</w:t>
      </w:r>
      <w:r>
        <w:rPr>
          <w:rFonts w:hint="default" w:ascii="Times New Roman" w:hAnsi="Times New Roman" w:cs="Times New Roman"/>
          <w:color w:val="auto"/>
          <w:sz w:val="24"/>
          <w:szCs w:val="24"/>
          <w:highlight w:val="none"/>
        </w:rPr>
        <w:t>。</w:t>
      </w:r>
    </w:p>
    <w:p w14:paraId="746C491F">
      <w:pPr>
        <w:numPr>
          <w:ilvl w:val="0"/>
          <w:numId w:val="41"/>
        </w:numPr>
        <w:spacing w:beforeLines="0" w:afterLines="0"/>
        <w:ind w:firstLine="480"/>
        <w:rPr>
          <w:rFonts w:hint="default" w:ascii="Times New Roman" w:hAnsi="Times New Roman" w:cs="Times New Roman"/>
          <w:color w:val="00B050"/>
          <w:sz w:val="24"/>
          <w:szCs w:val="24"/>
          <w:highlight w:val="none"/>
        </w:rPr>
      </w:pPr>
      <w:r>
        <w:rPr>
          <w:rFonts w:hint="default" w:ascii="Times New Roman" w:hAnsi="Times New Roman" w:cs="Times New Roman"/>
          <w:color w:val="00B050"/>
          <w:sz w:val="24"/>
          <w:szCs w:val="24"/>
          <w:highlight w:val="none"/>
        </w:rPr>
        <w:t>生产设施风险识别</w:t>
      </w:r>
    </w:p>
    <w:p w14:paraId="3F51C6CE">
      <w:pPr>
        <w:spacing w:beforeLines="0" w:afterLines="0"/>
        <w:rPr>
          <w:rFonts w:hint="default" w:ascii="Times New Roman" w:hAnsi="Times New Roman" w:cs="Times New Roman"/>
          <w:color w:val="00B050"/>
          <w:sz w:val="24"/>
          <w:szCs w:val="24"/>
          <w:highlight w:val="none"/>
          <w:lang w:val="en-US" w:eastAsia="zh-CN"/>
        </w:rPr>
      </w:pPr>
      <w:r>
        <w:rPr>
          <w:rFonts w:hint="default" w:ascii="Times New Roman" w:hAnsi="Times New Roman" w:cs="Times New Roman"/>
          <w:color w:val="00B050"/>
          <w:sz w:val="24"/>
          <w:szCs w:val="24"/>
          <w:highlight w:val="none"/>
          <w:lang w:val="en-US" w:eastAsia="zh-CN"/>
        </w:rPr>
        <w:t>本项目在石英砂烘干环节，可能出现以下风险事故。</w:t>
      </w:r>
    </w:p>
    <w:p w14:paraId="3AA9335E">
      <w:pPr>
        <w:spacing w:beforeLines="0" w:afterLines="0"/>
        <w:ind w:firstLine="480"/>
        <w:rPr>
          <w:rFonts w:hint="eastAsia" w:ascii="Segoe UI" w:hAnsi="Segoe UI" w:eastAsia="宋体" w:cs="Segoe UI"/>
          <w:i w:val="0"/>
          <w:iCs w:val="0"/>
          <w:caps w:val="0"/>
          <w:color w:val="00B050"/>
          <w:spacing w:val="0"/>
          <w:sz w:val="16"/>
          <w:szCs w:val="16"/>
          <w:shd w:val="clear" w:fill="FFFFFF"/>
          <w:lang w:eastAsia="zh-CN"/>
        </w:rPr>
      </w:pPr>
      <w:r>
        <w:rPr>
          <w:rFonts w:hint="default" w:ascii="Times New Roman" w:hAnsi="Times New Roman" w:cs="Times New Roman"/>
          <w:color w:val="00B050"/>
          <w:sz w:val="24"/>
          <w:szCs w:val="24"/>
          <w:highlight w:val="none"/>
          <w:lang w:val="en-US" w:eastAsia="zh-CN"/>
        </w:rPr>
        <w:t>①电加热元件故障：电加热管（丝）老化、短路或接触不良时，可能产生电火花；若加热元件与易燃物接触，可能直接引发火灾</w:t>
      </w:r>
      <w:r>
        <w:rPr>
          <w:rFonts w:hint="eastAsia" w:ascii="Times New Roman" w:hAnsi="Times New Roman" w:cs="Times New Roman"/>
          <w:color w:val="00B050"/>
          <w:sz w:val="24"/>
          <w:szCs w:val="24"/>
          <w:highlight w:val="none"/>
          <w:lang w:val="en-US" w:eastAsia="zh-CN"/>
        </w:rPr>
        <w:t>；</w:t>
      </w:r>
    </w:p>
    <w:p w14:paraId="52E8DDAC">
      <w:pPr>
        <w:spacing w:beforeLines="0" w:afterLines="0"/>
        <w:ind w:firstLine="480"/>
        <w:rPr>
          <w:rFonts w:hint="default" w:ascii="Times New Roman" w:hAnsi="Times New Roman" w:cs="Times New Roman"/>
          <w:color w:val="00B050"/>
          <w:sz w:val="24"/>
          <w:szCs w:val="24"/>
          <w:highlight w:val="none"/>
          <w:lang w:val="en-US" w:eastAsia="zh-CN"/>
        </w:rPr>
      </w:pPr>
      <w:r>
        <w:rPr>
          <w:rFonts w:hint="default" w:ascii="Times New Roman" w:hAnsi="Times New Roman" w:cs="Times New Roman"/>
          <w:color w:val="00B050"/>
          <w:sz w:val="24"/>
          <w:szCs w:val="24"/>
          <w:highlight w:val="none"/>
          <w:lang w:val="en-US" w:eastAsia="zh-CN"/>
        </w:rPr>
        <w:t>②热气喷溅：当烘干炉的炉门、观察孔等部位密封不严，或者在加料、出料过程中，高温热气可能会喷溅出来，烫伤操作人员的面部、手部等暴露部位。此外，如果烘干炉发生故障，如炉内压力突然升高导致物料或热气喷出，也会造成大面积的灼烫事故。</w:t>
      </w:r>
    </w:p>
    <w:p w14:paraId="7FC74EE8">
      <w:pPr>
        <w:spacing w:beforeLines="0" w:afterLines="0"/>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00B050"/>
          <w:sz w:val="24"/>
          <w:szCs w:val="24"/>
          <w:highlight w:val="none"/>
          <w:lang w:val="en-US" w:eastAsia="zh-CN"/>
        </w:rPr>
        <w:t>③高温物料引燃风险：干燥后的物料温度较高（通常50~150℃），若出料口附近堆放易燃物（如纸箱、塑料），或物料本身为易燃品（如某些化工中间体），可能被引燃并扩散成火灾。</w:t>
      </w:r>
    </w:p>
    <w:p w14:paraId="10E6102B">
      <w:pPr>
        <w:pStyle w:val="5"/>
        <w:bidi w:val="0"/>
        <w:rPr>
          <w:rFonts w:hint="default"/>
          <w:color w:val="00B050"/>
        </w:rPr>
      </w:pPr>
      <w:bookmarkStart w:id="415" w:name="5.2.7.2环境敏感目标概况"/>
      <w:bookmarkEnd w:id="415"/>
      <w:bookmarkStart w:id="416" w:name="5.2.7.4环境风险分析"/>
      <w:bookmarkEnd w:id="416"/>
      <w:bookmarkStart w:id="417" w:name="5.2.7.3风险评价等级"/>
      <w:bookmarkEnd w:id="417"/>
      <w:bookmarkStart w:id="418" w:name="_Toc19496"/>
      <w:r>
        <w:rPr>
          <w:rFonts w:hint="default"/>
          <w:color w:val="00B050"/>
        </w:rPr>
        <w:t>环境风险分析</w:t>
      </w:r>
      <w:bookmarkEnd w:id="418"/>
    </w:p>
    <w:p w14:paraId="4166CDD0">
      <w:pPr>
        <w:numPr>
          <w:ilvl w:val="0"/>
          <w:numId w:val="43"/>
        </w:numPr>
        <w:spacing w:beforeLines="0" w:afterLines="0"/>
        <w:ind w:firstLine="500"/>
        <w:rPr>
          <w:rFonts w:hint="default" w:ascii="Times New Roman" w:hAnsi="Times New Roman" w:cs="Times New Roman"/>
          <w:color w:val="00B050"/>
          <w:sz w:val="24"/>
          <w:szCs w:val="24"/>
          <w:highlight w:val="none"/>
        </w:rPr>
      </w:pPr>
      <w:r>
        <w:rPr>
          <w:rFonts w:hint="default" w:ascii="Times New Roman" w:hAnsi="Times New Roman" w:cs="Times New Roman"/>
          <w:color w:val="00B050"/>
          <w:sz w:val="24"/>
          <w:szCs w:val="24"/>
          <w:highlight w:val="none"/>
          <w:lang w:val="en-US" w:eastAsia="zh-CN"/>
        </w:rPr>
        <w:t>泄露环境风险分析</w:t>
      </w:r>
    </w:p>
    <w:p w14:paraId="41119A5F">
      <w:pPr>
        <w:numPr>
          <w:ilvl w:val="0"/>
          <w:numId w:val="0"/>
        </w:numPr>
        <w:spacing w:beforeLines="0" w:afterLines="0"/>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00B050"/>
          <w:sz w:val="24"/>
          <w:szCs w:val="24"/>
          <w:highlight w:val="none"/>
          <w:lang w:val="en-US" w:eastAsia="zh-CN"/>
        </w:rPr>
        <w:t>本项目涉及的主要危险物质</w:t>
      </w:r>
      <w:r>
        <w:rPr>
          <w:rFonts w:hint="eastAsia" w:cs="Times New Roman"/>
          <w:color w:val="00B050"/>
          <w:sz w:val="24"/>
          <w:szCs w:val="24"/>
          <w:highlight w:val="none"/>
          <w:lang w:val="en-US" w:eastAsia="zh-CN"/>
        </w:rPr>
        <w:t>废矿物油</w:t>
      </w:r>
      <w:r>
        <w:rPr>
          <w:rFonts w:hint="default" w:ascii="Times New Roman" w:hAnsi="Times New Roman" w:cs="Times New Roman"/>
          <w:color w:val="00B050"/>
          <w:sz w:val="24"/>
          <w:szCs w:val="24"/>
          <w:highlight w:val="none"/>
          <w:lang w:val="en-US" w:eastAsia="zh-CN"/>
        </w:rPr>
        <w:t>物质泄露</w:t>
      </w:r>
      <w:r>
        <w:rPr>
          <w:rFonts w:hint="eastAsia" w:cs="Times New Roman"/>
          <w:color w:val="00B050"/>
          <w:sz w:val="24"/>
          <w:szCs w:val="24"/>
          <w:highlight w:val="none"/>
          <w:lang w:val="en-US" w:eastAsia="zh-CN"/>
        </w:rPr>
        <w:t>，</w:t>
      </w:r>
      <w:r>
        <w:rPr>
          <w:rFonts w:hint="default" w:ascii="Times New Roman" w:hAnsi="Times New Roman" w:cs="Times New Roman"/>
          <w:color w:val="00B050"/>
          <w:sz w:val="24"/>
          <w:szCs w:val="24"/>
          <w:highlight w:val="none"/>
          <w:lang w:val="en-US" w:eastAsia="zh-CN"/>
        </w:rPr>
        <w:t>可能会通过通过地面</w:t>
      </w:r>
      <w:r>
        <w:rPr>
          <w:rFonts w:hint="default" w:ascii="Times New Roman" w:hAnsi="Times New Roman" w:cs="Times New Roman"/>
          <w:color w:val="00B050"/>
          <w:sz w:val="24"/>
          <w:szCs w:val="24"/>
          <w:highlight w:val="none"/>
        </w:rPr>
        <w:t>渗透进入土壤。如果泄漏量较大，会在土壤中积累，改变土壤的物理和化学性质。它可能会影响土壤的孔隙度、透气性和保水性，不利于植物根系的生长和发育，导致植物生长不良甚至死亡。泄漏的</w:t>
      </w:r>
      <w:r>
        <w:rPr>
          <w:rFonts w:hint="eastAsia" w:cs="Times New Roman"/>
          <w:color w:val="00B050"/>
          <w:sz w:val="24"/>
          <w:szCs w:val="24"/>
          <w:highlight w:val="none"/>
          <w:lang w:val="en-US" w:eastAsia="zh-CN"/>
        </w:rPr>
        <w:t>废矿物油</w:t>
      </w:r>
      <w:r>
        <w:rPr>
          <w:rFonts w:hint="default" w:ascii="Times New Roman" w:hAnsi="Times New Roman" w:cs="Times New Roman"/>
          <w:color w:val="00B050"/>
          <w:sz w:val="24"/>
          <w:szCs w:val="24"/>
          <w:highlight w:val="none"/>
        </w:rPr>
        <w:t>有可能通过土壤孔隙向下渗漏，进入地下水层</w:t>
      </w:r>
      <w:r>
        <w:rPr>
          <w:rFonts w:hint="default" w:ascii="Times New Roman" w:hAnsi="Times New Roman" w:cs="Times New Roman"/>
          <w:color w:val="00B050"/>
          <w:sz w:val="24"/>
          <w:szCs w:val="24"/>
          <w:highlight w:val="none"/>
          <w:lang w:eastAsia="zh-CN"/>
        </w:rPr>
        <w:t>，</w:t>
      </w:r>
      <w:r>
        <w:rPr>
          <w:rFonts w:hint="default" w:ascii="Times New Roman" w:hAnsi="Times New Roman" w:cs="Times New Roman"/>
          <w:color w:val="00B050"/>
          <w:sz w:val="24"/>
          <w:szCs w:val="24"/>
          <w:highlight w:val="none"/>
        </w:rPr>
        <w:t>污染地下水资源</w:t>
      </w:r>
      <w:r>
        <w:rPr>
          <w:rFonts w:hint="default" w:ascii="Times New Roman" w:hAnsi="Times New Roman" w:cs="Times New Roman"/>
          <w:color w:val="auto"/>
          <w:sz w:val="24"/>
          <w:szCs w:val="24"/>
          <w:highlight w:val="none"/>
        </w:rPr>
        <w:t>。</w:t>
      </w:r>
    </w:p>
    <w:p w14:paraId="7AA07F92">
      <w:pPr>
        <w:numPr>
          <w:ilvl w:val="0"/>
          <w:numId w:val="43"/>
        </w:numPr>
        <w:spacing w:beforeLines="0" w:afterLines="0"/>
        <w:ind w:firstLine="500"/>
        <w:rPr>
          <w:rFonts w:hint="default" w:ascii="Times New Roman" w:hAnsi="Times New Roman" w:cs="Times New Roman"/>
          <w:color w:val="00B050"/>
          <w:sz w:val="24"/>
          <w:szCs w:val="24"/>
          <w:highlight w:val="none"/>
        </w:rPr>
      </w:pPr>
      <w:r>
        <w:rPr>
          <w:rFonts w:hint="default" w:ascii="Times New Roman" w:hAnsi="Times New Roman" w:cs="Times New Roman"/>
          <w:color w:val="00B050"/>
          <w:sz w:val="24"/>
          <w:szCs w:val="24"/>
          <w:highlight w:val="none"/>
        </w:rPr>
        <w:t>地质灾害风险分析</w:t>
      </w:r>
    </w:p>
    <w:p w14:paraId="2120E9DE">
      <w:pPr>
        <w:numPr>
          <w:ilvl w:val="0"/>
          <w:numId w:val="0"/>
        </w:numPr>
        <w:spacing w:beforeLines="0" w:afterLines="0"/>
        <w:ind w:firstLine="480"/>
        <w:rPr>
          <w:rFonts w:hint="default" w:ascii="Times New Roman" w:hAnsi="Times New Roman" w:cs="Times New Roman"/>
          <w:color w:val="00B050"/>
          <w:sz w:val="24"/>
          <w:szCs w:val="24"/>
          <w:highlight w:val="none"/>
        </w:rPr>
      </w:pPr>
      <w:r>
        <w:rPr>
          <w:rFonts w:hint="default" w:ascii="Times New Roman" w:hAnsi="Times New Roman" w:cs="Times New Roman"/>
          <w:color w:val="00B050"/>
          <w:sz w:val="24"/>
          <w:szCs w:val="24"/>
          <w:highlight w:val="none"/>
        </w:rPr>
        <w:t>地质灾害主要是由于采挖等作业造成的滑坡现象。滑坡是因边坡开挖后，破坏了矿体内部初始应力的平衡引起矿体大规模位移的现象。滑坡发生时对处于危险区的设备、设施可能造成破坏，对处于危险区人员可能构成伤亡。</w:t>
      </w:r>
    </w:p>
    <w:p w14:paraId="544C6719">
      <w:pPr>
        <w:numPr>
          <w:ilvl w:val="0"/>
          <w:numId w:val="43"/>
        </w:numPr>
        <w:spacing w:beforeLines="0" w:afterLines="0"/>
        <w:ind w:firstLine="480"/>
        <w:rPr>
          <w:rFonts w:hint="default" w:ascii="Times New Roman" w:hAnsi="Times New Roman" w:cs="Times New Roman"/>
          <w:color w:val="00B050"/>
          <w:sz w:val="24"/>
          <w:szCs w:val="24"/>
          <w:highlight w:val="none"/>
        </w:rPr>
      </w:pPr>
      <w:r>
        <w:rPr>
          <w:rFonts w:hint="default" w:ascii="Times New Roman" w:hAnsi="Times New Roman" w:cs="Times New Roman"/>
          <w:color w:val="00B050"/>
          <w:sz w:val="24"/>
          <w:szCs w:val="24"/>
          <w:highlight w:val="none"/>
        </w:rPr>
        <w:t>废料堆场环境风险分析</w:t>
      </w:r>
    </w:p>
    <w:p w14:paraId="6A8671DB">
      <w:pPr>
        <w:numPr>
          <w:ilvl w:val="0"/>
          <w:numId w:val="0"/>
        </w:numPr>
        <w:spacing w:beforeLines="0" w:afterLines="0"/>
        <w:ind w:firstLine="480"/>
        <w:rPr>
          <w:rFonts w:hint="default" w:ascii="Times New Roman" w:hAnsi="Times New Roman" w:cs="Times New Roman"/>
          <w:color w:val="00B050"/>
          <w:sz w:val="24"/>
          <w:szCs w:val="24"/>
          <w:highlight w:val="none"/>
        </w:rPr>
      </w:pPr>
      <w:r>
        <w:rPr>
          <w:rFonts w:hint="default" w:ascii="Times New Roman" w:hAnsi="Times New Roman" w:cs="Times New Roman"/>
          <w:color w:val="00B050"/>
          <w:sz w:val="24"/>
          <w:szCs w:val="24"/>
          <w:highlight w:val="none"/>
        </w:rPr>
        <w:t>废料堆场是露天矿组织生产不可缺少的附属工程，它作为露天矿山存放废石的场地，是以人工排入形式把生产废料堆积在一起，这些杂乱无章、离散分布的废料又承受着上方堆体荷重。废料堆场基底与废料之间接触是不连续的、离散的。特殊的结构极易使废料依附于其内在或潜在的软弱结构面（带），在重力、雨水等综合因素作用下，失去原有的平衡条件，长期堆放累积形成的废料堆场边坡失稳，致使松散废岩弃土整体大规模错动、滑移，造成滑坡。</w:t>
      </w:r>
    </w:p>
    <w:p w14:paraId="01A45E62">
      <w:pPr>
        <w:pStyle w:val="5"/>
        <w:bidi w:val="0"/>
        <w:rPr>
          <w:rFonts w:hint="default"/>
        </w:rPr>
      </w:pPr>
      <w:bookmarkStart w:id="419" w:name="5.2.7.5环境风险防范措施"/>
      <w:bookmarkEnd w:id="419"/>
      <w:bookmarkStart w:id="420" w:name="_Toc17509"/>
      <w:r>
        <w:rPr>
          <w:rFonts w:hint="default"/>
        </w:rPr>
        <w:t>环境风险防范措施</w:t>
      </w:r>
      <w:bookmarkEnd w:id="420"/>
    </w:p>
    <w:p w14:paraId="5BF6F531">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针对项目生产过程中可能产生的事故，要贯彻预防为主的原则，从上到下认清事故发生后的严重性，增强安全生产和保护意识，完善并严格执行各项工作规程，杜绝事故的发生。提高操作、管理人员的业务素质，加强对操作、管理人员的岗位培训，普及在岗职工对有害物质的性质、毒害和安全防护的基本知识，对操作人员进行岗位规范定期培训、考核，合格者方可上岗，并加强对职工和周围人员的自我保护常识宣传。</w:t>
      </w:r>
    </w:p>
    <w:p w14:paraId="34E44905">
      <w:pPr>
        <w:numPr>
          <w:ilvl w:val="0"/>
          <w:numId w:val="44"/>
        </w:numPr>
        <w:spacing w:beforeLines="0" w:afterLines="0"/>
        <w:ind w:firstLine="500"/>
        <w:rPr>
          <w:rFonts w:hint="default" w:ascii="Times New Roman" w:hAnsi="Times New Roman" w:cs="Times New Roman"/>
          <w:color w:val="00B050"/>
          <w:sz w:val="24"/>
          <w:szCs w:val="24"/>
          <w:highlight w:val="none"/>
          <w:lang w:val="en-US" w:eastAsia="zh-CN"/>
        </w:rPr>
      </w:pPr>
      <w:r>
        <w:rPr>
          <w:rFonts w:hint="default" w:ascii="Times New Roman" w:hAnsi="Times New Roman" w:cs="Times New Roman"/>
          <w:color w:val="00B050"/>
          <w:sz w:val="24"/>
          <w:szCs w:val="24"/>
          <w:highlight w:val="none"/>
          <w:lang w:val="en-US" w:eastAsia="zh-CN"/>
        </w:rPr>
        <w:t>泄露风险防范措施</w:t>
      </w:r>
    </w:p>
    <w:p w14:paraId="41A2480D">
      <w:pPr>
        <w:spacing w:beforeLines="0" w:afterLines="0"/>
        <w:rPr>
          <w:rFonts w:hint="default" w:ascii="Times New Roman" w:hAnsi="Times New Roman" w:cs="Times New Roman"/>
          <w:color w:val="00B050"/>
          <w:sz w:val="24"/>
          <w:szCs w:val="24"/>
          <w:highlight w:val="none"/>
        </w:rPr>
      </w:pPr>
      <w:r>
        <w:rPr>
          <w:rFonts w:hint="default" w:ascii="Times New Roman" w:hAnsi="Times New Roman" w:cs="Times New Roman"/>
          <w:color w:val="00B050"/>
          <w:sz w:val="24"/>
          <w:szCs w:val="24"/>
          <w:highlight w:val="none"/>
        </w:rPr>
        <w:t>①</w:t>
      </w:r>
      <w:r>
        <w:rPr>
          <w:rFonts w:hint="eastAsia" w:cs="Times New Roman"/>
          <w:color w:val="00B050"/>
          <w:sz w:val="24"/>
          <w:szCs w:val="24"/>
          <w:highlight w:val="none"/>
          <w:lang w:val="en-US" w:eastAsia="zh-CN"/>
        </w:rPr>
        <w:t>针对废矿物油</w:t>
      </w:r>
      <w:r>
        <w:rPr>
          <w:rFonts w:hint="default" w:ascii="Times New Roman" w:hAnsi="Times New Roman" w:cs="Times New Roman"/>
          <w:color w:val="00B050"/>
          <w:sz w:val="24"/>
          <w:szCs w:val="24"/>
          <w:highlight w:val="none"/>
        </w:rPr>
        <w:t>选用合适的储存容器和设施。</w:t>
      </w:r>
    </w:p>
    <w:p w14:paraId="2D243DA1">
      <w:pPr>
        <w:spacing w:beforeLines="0" w:afterLines="0"/>
        <w:rPr>
          <w:rFonts w:hint="default" w:ascii="Times New Roman" w:hAnsi="Times New Roman" w:cs="Times New Roman"/>
          <w:color w:val="00B050"/>
          <w:sz w:val="24"/>
          <w:szCs w:val="24"/>
          <w:highlight w:val="none"/>
        </w:rPr>
      </w:pPr>
      <w:r>
        <w:rPr>
          <w:rFonts w:hint="default" w:ascii="Times New Roman" w:hAnsi="Times New Roman" w:cs="Times New Roman"/>
          <w:color w:val="00B050"/>
          <w:sz w:val="24"/>
          <w:szCs w:val="24"/>
          <w:highlight w:val="none"/>
        </w:rPr>
        <w:t>②设置安全的储存环境：储存场所应阴凉、通风，远离火种、热源，避免阳光直射。储存区域应与其他建筑物、道路等保持足够的安全距离，并设置明显的警示标志。</w:t>
      </w:r>
    </w:p>
    <w:p w14:paraId="16C6BEB6">
      <w:pPr>
        <w:spacing w:beforeLines="0" w:afterLines="0"/>
        <w:rPr>
          <w:rFonts w:hint="default" w:ascii="Times New Roman" w:hAnsi="Times New Roman" w:cs="Times New Roman"/>
          <w:color w:val="00B050"/>
          <w:sz w:val="24"/>
          <w:szCs w:val="24"/>
          <w:highlight w:val="none"/>
        </w:rPr>
      </w:pPr>
      <w:r>
        <w:rPr>
          <w:rFonts w:hint="default" w:ascii="Times New Roman" w:hAnsi="Times New Roman" w:cs="Times New Roman"/>
          <w:color w:val="00B050"/>
          <w:sz w:val="24"/>
          <w:szCs w:val="24"/>
          <w:highlight w:val="none"/>
        </w:rPr>
        <w:t>③定期检查维护：对储存容器和设施进行定期检查、维护和保养，及时发现并处理容器的腐蚀、裂缝等问题。</w:t>
      </w:r>
    </w:p>
    <w:p w14:paraId="2EB83AAC">
      <w:pPr>
        <w:numPr>
          <w:ilvl w:val="0"/>
          <w:numId w:val="44"/>
        </w:numPr>
        <w:spacing w:beforeLines="0" w:afterLines="0"/>
        <w:ind w:firstLine="500"/>
        <w:rPr>
          <w:rFonts w:hint="default" w:ascii="Times New Roman" w:hAnsi="Times New Roman" w:cs="Times New Roman"/>
          <w:color w:val="00B050"/>
          <w:sz w:val="24"/>
          <w:szCs w:val="24"/>
          <w:highlight w:val="none"/>
          <w:lang w:val="en-US" w:eastAsia="zh-CN"/>
        </w:rPr>
      </w:pPr>
      <w:r>
        <w:rPr>
          <w:rFonts w:hint="default" w:ascii="Times New Roman" w:hAnsi="Times New Roman" w:cs="Times New Roman"/>
          <w:color w:val="00B050"/>
          <w:sz w:val="24"/>
          <w:szCs w:val="24"/>
          <w:highlight w:val="none"/>
          <w:lang w:val="en-US" w:eastAsia="zh-CN"/>
        </w:rPr>
        <w:t>烘干炉相关事故风险防范措施</w:t>
      </w:r>
    </w:p>
    <w:p w14:paraId="20E0041F">
      <w:pPr>
        <w:spacing w:beforeLines="0" w:afterLines="0"/>
        <w:rPr>
          <w:rFonts w:hint="default" w:ascii="Times New Roman" w:hAnsi="Times New Roman" w:cs="Times New Roman"/>
          <w:color w:val="00B050"/>
          <w:sz w:val="24"/>
          <w:szCs w:val="24"/>
          <w:highlight w:val="none"/>
        </w:rPr>
      </w:pPr>
      <w:r>
        <w:rPr>
          <w:rFonts w:hint="default" w:ascii="Times New Roman" w:hAnsi="Times New Roman" w:cs="Times New Roman"/>
          <w:color w:val="00B050"/>
          <w:sz w:val="24"/>
          <w:szCs w:val="24"/>
          <w:highlight w:val="none"/>
          <w:lang w:val="en-US" w:eastAsia="zh-CN"/>
        </w:rPr>
        <w:t>①</w:t>
      </w:r>
      <w:r>
        <w:rPr>
          <w:rFonts w:hint="default" w:ascii="Times New Roman" w:hAnsi="Times New Roman" w:cs="Times New Roman"/>
          <w:color w:val="00B050"/>
          <w:sz w:val="24"/>
          <w:szCs w:val="24"/>
          <w:highlight w:val="none"/>
        </w:rPr>
        <w:t>定期检查</w:t>
      </w:r>
      <w:r>
        <w:rPr>
          <w:rFonts w:hint="eastAsia" w:ascii="Times New Roman" w:hAnsi="Times New Roman" w:cs="Times New Roman"/>
          <w:color w:val="00B050"/>
          <w:sz w:val="24"/>
          <w:szCs w:val="24"/>
          <w:highlight w:val="none"/>
          <w:lang w:val="en-US" w:eastAsia="zh-CN"/>
        </w:rPr>
        <w:t>电路系统</w:t>
      </w:r>
      <w:r>
        <w:rPr>
          <w:rFonts w:hint="default" w:ascii="Times New Roman" w:hAnsi="Times New Roman" w:cs="Times New Roman"/>
          <w:color w:val="00B050"/>
          <w:sz w:val="24"/>
          <w:szCs w:val="24"/>
          <w:highlight w:val="none"/>
        </w:rPr>
        <w:t>系统</w:t>
      </w:r>
      <w:r>
        <w:rPr>
          <w:rFonts w:hint="eastAsia" w:ascii="Times New Roman" w:hAnsi="Times New Roman" w:cs="Times New Roman"/>
          <w:color w:val="00B050"/>
          <w:sz w:val="24"/>
          <w:szCs w:val="24"/>
          <w:highlight w:val="none"/>
          <w:lang w:eastAsia="zh-CN"/>
        </w:rPr>
        <w:t>，</w:t>
      </w:r>
      <w:r>
        <w:rPr>
          <w:rFonts w:hint="eastAsia" w:ascii="Times New Roman" w:hAnsi="Times New Roman" w:cs="Times New Roman"/>
          <w:color w:val="00B050"/>
          <w:sz w:val="24"/>
          <w:szCs w:val="24"/>
          <w:highlight w:val="none"/>
          <w:lang w:val="en-US" w:eastAsia="zh-CN"/>
        </w:rPr>
        <w:t>防止出现</w:t>
      </w:r>
      <w:r>
        <w:rPr>
          <w:rFonts w:hint="default" w:ascii="Times New Roman" w:hAnsi="Times New Roman" w:cs="Times New Roman"/>
          <w:color w:val="00B050"/>
          <w:sz w:val="24"/>
          <w:szCs w:val="24"/>
          <w:highlight w:val="none"/>
        </w:rPr>
        <w:t>电加热管（丝）老化、短路或接触不良时，确保其正常运行。</w:t>
      </w:r>
    </w:p>
    <w:p w14:paraId="41D29B7C">
      <w:pPr>
        <w:spacing w:beforeLines="0" w:afterLines="0"/>
        <w:rPr>
          <w:rFonts w:hint="default" w:ascii="Times New Roman" w:hAnsi="Times New Roman" w:cs="Times New Roman"/>
          <w:color w:val="00B050"/>
          <w:sz w:val="24"/>
          <w:szCs w:val="24"/>
          <w:highlight w:val="none"/>
        </w:rPr>
      </w:pPr>
      <w:r>
        <w:rPr>
          <w:rFonts w:hint="default" w:ascii="Times New Roman" w:hAnsi="Times New Roman" w:cs="Times New Roman"/>
          <w:color w:val="00B050"/>
          <w:sz w:val="24"/>
          <w:szCs w:val="24"/>
          <w:highlight w:val="none"/>
        </w:rPr>
        <w:t>②维护热风循环系统：检查热风循环系统的风机、风道、阀门等部件，确保其密封性良好，无泄漏现象。同时，保证热风循环顺畅，避免局部过热或温度分布不均，防止因高温损坏设备或引发火灾。</w:t>
      </w:r>
    </w:p>
    <w:p w14:paraId="57E15691">
      <w:pPr>
        <w:spacing w:beforeLines="0" w:afterLines="0"/>
        <w:rPr>
          <w:rFonts w:hint="default" w:ascii="Times New Roman" w:hAnsi="Times New Roman" w:cs="Times New Roman"/>
          <w:color w:val="00B050"/>
          <w:sz w:val="24"/>
          <w:szCs w:val="24"/>
          <w:highlight w:val="none"/>
          <w:lang w:val="en-US" w:eastAsia="zh-CN"/>
        </w:rPr>
      </w:pPr>
      <w:r>
        <w:rPr>
          <w:rFonts w:hint="default" w:ascii="Times New Roman" w:hAnsi="Times New Roman" w:cs="Times New Roman"/>
          <w:color w:val="00B050"/>
          <w:sz w:val="24"/>
          <w:szCs w:val="24"/>
          <w:highlight w:val="none"/>
        </w:rPr>
        <w:t>③操作人员要严格按照烘干炉的操作规程，控制好</w:t>
      </w:r>
      <w:r>
        <w:rPr>
          <w:rFonts w:hint="eastAsia" w:cs="Times New Roman"/>
          <w:color w:val="00B050"/>
          <w:sz w:val="24"/>
          <w:szCs w:val="24"/>
          <w:highlight w:val="none"/>
          <w:lang w:val="en-US" w:eastAsia="zh-CN"/>
        </w:rPr>
        <w:t>加热温度、物料</w:t>
      </w:r>
      <w:r>
        <w:rPr>
          <w:rFonts w:hint="default" w:ascii="Times New Roman" w:hAnsi="Times New Roman" w:cs="Times New Roman"/>
          <w:color w:val="00B050"/>
          <w:sz w:val="24"/>
          <w:szCs w:val="24"/>
          <w:highlight w:val="none"/>
        </w:rPr>
        <w:t>的进料量、热风流量等工艺参数。避免因参数设置不当导致烘干炉内温度过高、压力过大，引发安全事故。</w:t>
      </w:r>
    </w:p>
    <w:p w14:paraId="27C6D54D">
      <w:pPr>
        <w:numPr>
          <w:ilvl w:val="0"/>
          <w:numId w:val="44"/>
        </w:numPr>
        <w:spacing w:beforeLines="0" w:afterLines="0"/>
        <w:ind w:firstLine="5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露天采区风险防范措施</w:t>
      </w:r>
    </w:p>
    <w:p w14:paraId="269D09B1">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①采取自上而下开采方式，按设计形成边坡角，严禁平推式掏底作业；建立健全边坡管理制度和检查制度，对不稳定地段在暴雨后及时检查，发现异常及时处理；按设计形成边坡角，不得超挖。</w:t>
      </w:r>
    </w:p>
    <w:p w14:paraId="1A5BBEE3">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②开采境界外修建截水沟，将地表水导流至开采境界外，防止地表水流入采场，影响采场生产和边坡稳定。</w:t>
      </w:r>
    </w:p>
    <w:p w14:paraId="4E18E55E">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③在安全和清扫平台上设置排水沟，采场汇水经排水沟自流排至采场外。</w:t>
      </w:r>
    </w:p>
    <w:p w14:paraId="59B55D41">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④在距坠落基本面2m以上或在坡度超过30°的坡面上作业时，应当使用安全绳或安全带，安全绳应当拴在牢固地点上，严禁悬空作业。</w:t>
      </w:r>
    </w:p>
    <w:p w14:paraId="69354154">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⑤项目生产设备在运转时，禁止人员对其转动部分进行检修、注油和清扫；终止作业时需切断电源，关闭水、气阀门；高处作业时必须设置防护栏。</w:t>
      </w:r>
    </w:p>
    <w:p w14:paraId="7932BA0D">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（2）废料堆场风险防范措施</w:t>
      </w:r>
    </w:p>
    <w:p w14:paraId="39429425">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①堆场的设计要符合《金属非金属露天矿山安全规程》、</w:t>
      </w: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"http://down.foodmate.net/standard/sort/3/93012.html"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《一般工业固体废物贮存</w:t>
      </w:r>
      <w:r>
        <w:rPr>
          <w:rFonts w:hint="default" w:ascii="Times New Roman" w:hAnsi="Times New Roman" w:cs="Times New Roman"/>
          <w:color w:val="auto"/>
          <w:sz w:val="24"/>
          <w:szCs w:val="24"/>
          <w:highlight w:val="none"/>
        </w:rPr>
        <w:fldChar w:fldCharType="end"/>
      </w:r>
      <w:r>
        <w:rPr>
          <w:rFonts w:hint="default" w:ascii="Times New Roman" w:hAnsi="Times New Roman" w:cs="Times New Roman"/>
          <w:color w:val="auto"/>
          <w:sz w:val="24"/>
          <w:szCs w:val="24"/>
          <w:highlight w:val="none"/>
        </w:rPr>
        <w:t xml:space="preserve"> 和填埋污染控制标准》(GB18599-2020)的要求，严格设计和施工。</w:t>
      </w:r>
    </w:p>
    <w:p w14:paraId="3FD806AD">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②定期或不定期对废料堆场的截排水沟进行检查，确保废料堆场安全运行。</w:t>
      </w:r>
    </w:p>
    <w:p w14:paraId="0E4BDBAA">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③控制堆排废料推进强度和堆置边坡。在堆排过程中，应通过试验和观察确定合 理的堆排速度，严格控制，防止由于堆排物料及基底土层超载而导致边坡失稳，还应 注意废料堆场最终堆置边坡应小于最小安息角。</w:t>
      </w:r>
    </w:p>
    <w:p w14:paraId="43D66F15">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④排水。应沿废料堆场上游设排洪沟，将废料堆场上游水有组织引至废料堆场下游，废料堆场堆排平台应用推土机推成反向坡度，让平台上的雨水排入排水沟。汛期前对各种防洪设施进行严格检查和修理。</w:t>
      </w:r>
    </w:p>
    <w:p w14:paraId="46C583C0">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⑤项目矿区运营期满后，废料堆场暂存废料需全部用于采坑回填，并对废料堆场地进行平整、覆土和生态恢复。</w:t>
      </w:r>
    </w:p>
    <w:p w14:paraId="2BA75586">
      <w:pPr>
        <w:pStyle w:val="5"/>
        <w:bidi w:val="0"/>
        <w:rPr>
          <w:rFonts w:hint="default"/>
        </w:rPr>
      </w:pPr>
      <w:bookmarkStart w:id="421" w:name="5.2.7.6风险应急预案"/>
      <w:bookmarkEnd w:id="421"/>
      <w:r>
        <w:rPr>
          <w:rFonts w:hint="default"/>
        </w:rPr>
        <w:t xml:space="preserve"> </w:t>
      </w:r>
      <w:bookmarkStart w:id="422" w:name="_Toc4089"/>
      <w:r>
        <w:rPr>
          <w:rFonts w:hint="default"/>
        </w:rPr>
        <w:t>风险应急预案</w:t>
      </w:r>
      <w:bookmarkEnd w:id="422"/>
    </w:p>
    <w:p w14:paraId="71CF671A">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根据《建设项目环境风险评价技术导则》(HJ169-2018)要求，项目应制定事故应急 预案。根据《关于印发&lt;企业事业单位突发环境事件应急预案备案管理办法(试行)&gt;的通知》(环发[2015]4号)要求，企业需编制本项目突发环境事件应急预案。</w:t>
      </w:r>
    </w:p>
    <w:p w14:paraId="3CB4118A">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本次评价提出以下应急预案纲要，供企业及管理部门参考。企业应在安全管理中具体化和完善重大事故应急救援预案。</w:t>
      </w:r>
    </w:p>
    <w:p w14:paraId="04D917CA">
      <w:pPr>
        <w:numPr>
          <w:ilvl w:val="0"/>
          <w:numId w:val="45"/>
        </w:numPr>
        <w:spacing w:beforeLines="0" w:afterLines="0"/>
        <w:ind w:firstLine="5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组织机构及职责</w:t>
      </w:r>
    </w:p>
    <w:p w14:paraId="79CE67D8">
      <w:pPr>
        <w:numPr>
          <w:ilvl w:val="0"/>
          <w:numId w:val="0"/>
        </w:numPr>
        <w:spacing w:beforeLines="0" w:afterLines="0"/>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建设单位应设制专门机构负责项目建设及运营期的环境安全。其职责包括：</w:t>
      </w:r>
    </w:p>
    <w:p w14:paraId="63767DD3">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①负责统一协调突发环境事件的应对工作，负责应急统一指挥，同时还负责与开发区外界保持紧密联系，将事态的发展向外部的支持保障机构发出信号，并及时将反馈信息应用于事故应急的领导和指挥当中。</w:t>
      </w:r>
    </w:p>
    <w:p w14:paraId="21E7DF31">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②保证应对事故的各项资源，包括建立企业救援队，并与社会可利用资源建立长期合作关系；当建设单位内部资源不足、不能应对环境事故，需要区域内其他部门增援时，由建设单位的环境安全管理部门提出增援请求。</w:t>
      </w:r>
    </w:p>
    <w:p w14:paraId="77C72517">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③在事故处理终止或者处理过程中，要向公众及时、准确地发布反映环境安全事故的信息，引导正确的舆论导向，对社会和公众负责。</w:t>
      </w:r>
    </w:p>
    <w:p w14:paraId="758AEA7C">
      <w:pPr>
        <w:numPr>
          <w:ilvl w:val="0"/>
          <w:numId w:val="45"/>
        </w:numPr>
        <w:spacing w:beforeLines="0" w:afterLines="0"/>
        <w:ind w:left="0" w:leftChars="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应急预案内容</w:t>
      </w:r>
    </w:p>
    <w:p w14:paraId="6F513ABF">
      <w:pPr>
        <w:numPr>
          <w:ilvl w:val="0"/>
          <w:numId w:val="0"/>
        </w:numPr>
        <w:spacing w:beforeLines="0" w:afterLines="0"/>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从应急工作程序上，分为预防预警、应急响应、应急处理、应急终止、信息发布五个步骤。建设单位编制的环境事故应急预案应对以下内容进行细化，并明确各项工作的责任人。</w:t>
      </w:r>
    </w:p>
    <w:p w14:paraId="3C09679D">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①预防预警</w:t>
      </w:r>
    </w:p>
    <w:p w14:paraId="44BB6215">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预防与预警是处理环境安全突发事件的必要前提。根据突发事件的严重性、紧急程度和可能波及的范围，划分预警级别，并根据事态的发展情况和采取措施的效果，提高或者降低应急预警级别。</w:t>
      </w:r>
    </w:p>
    <w:p w14:paraId="232F1FE7">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②应急响应</w:t>
      </w:r>
    </w:p>
    <w:p w14:paraId="15341BD5">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环境安全突发环境事件发生后，应立即启动并实施相应应急预案，及时向生态环境局、政府部门上报；同时，启动建设单位应急专业指挥机构；应急救援力量应立即开展应急救援工作；需要其他应急救援力量支援时，应及时向市政府提出申请。</w:t>
      </w:r>
    </w:p>
    <w:p w14:paraId="0F2ACBDA">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③应急处理</w:t>
      </w:r>
    </w:p>
    <w:p w14:paraId="344EB121">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对各类环境事故，根据相应的救援方案进行救援的处理，同时应进行应急环境监测。</w:t>
      </w:r>
    </w:p>
    <w:p w14:paraId="031AE75B">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根据监测结果，综合分析突发环境事件污染变化趋势，并通过专家咨询和讨论的方式，预测并报告突发环境事件的发展情况和污染物的变化情况，作为突发环境事件应急决策的依据。</w:t>
      </w:r>
    </w:p>
    <w:p w14:paraId="6E352F25">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④应急终止</w:t>
      </w:r>
    </w:p>
    <w:p w14:paraId="7A79DAA8">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应急终止须经现场救援指挥部确认，由现场救援指挥部向所属各专业应急救援队伍下达应急终止命令。</w:t>
      </w:r>
    </w:p>
    <w:p w14:paraId="2D195C13">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应急状态终止后，建设单位应根据上级有关指示和实际情况，继续进行环境监测和评价工作，直至其他补救措施无需继续进行为止。</w:t>
      </w:r>
    </w:p>
    <w:p w14:paraId="62B4F2FA">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⑤信息发布</w:t>
      </w:r>
    </w:p>
    <w:p w14:paraId="03D7147A">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突发环境安全事件终止后，要通过报纸、广播、电视和网络等多种媒体方式，及时发布准确、权威的信息，正确引导社会舆论，增强对于环境安全应急措施的透明度。</w:t>
      </w:r>
    </w:p>
    <w:p w14:paraId="5559C495">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制定应急预案的标准见下表。</w:t>
      </w:r>
    </w:p>
    <w:p w14:paraId="54538359">
      <w:pPr>
        <w:pStyle w:val="45"/>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表5.2-</w:t>
      </w:r>
      <w:r>
        <w:rPr>
          <w:rFonts w:hint="eastAsia" w:ascii="Times New Roman" w:hAnsi="Times New Roman" w:cs="Times New Roman"/>
          <w:color w:val="auto"/>
          <w:sz w:val="24"/>
          <w:szCs w:val="24"/>
          <w:highlight w:val="none"/>
          <w:lang w:val="en-US" w:eastAsia="zh-CN"/>
        </w:rPr>
        <w:t>33</w:t>
      </w:r>
      <w:r>
        <w:rPr>
          <w:rFonts w:hint="default" w:ascii="Times New Roman" w:hAnsi="Times New Roman" w:cs="Times New Roman"/>
          <w:color w:val="auto"/>
          <w:sz w:val="24"/>
          <w:szCs w:val="24"/>
          <w:highlight w:val="none"/>
        </w:rPr>
        <w:tab/>
      </w:r>
      <w:r>
        <w:rPr>
          <w:rFonts w:hint="default" w:ascii="Times New Roman" w:hAnsi="Times New Roman" w:cs="Times New Roman"/>
          <w:color w:val="auto"/>
          <w:sz w:val="24"/>
          <w:szCs w:val="24"/>
          <w:highlight w:val="none"/>
        </w:rPr>
        <w:t>突发事故应急预案内容及要求</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4"/>
        <w:gridCol w:w="2931"/>
        <w:gridCol w:w="5511"/>
      </w:tblGrid>
      <w:tr w14:paraId="61277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25454DD">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序号</w:t>
            </w:r>
          </w:p>
        </w:tc>
        <w:tc>
          <w:tcPr>
            <w:tcW w:w="293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8DF218D">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w:t>
            </w:r>
          </w:p>
        </w:tc>
        <w:tc>
          <w:tcPr>
            <w:tcW w:w="551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6B0DD18">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内容及要求</w:t>
            </w:r>
          </w:p>
        </w:tc>
      </w:tr>
      <w:tr w14:paraId="6189D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E1FBD7B">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w:t>
            </w:r>
          </w:p>
        </w:tc>
        <w:tc>
          <w:tcPr>
            <w:tcW w:w="293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F99A67B">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应急计划区</w:t>
            </w:r>
          </w:p>
        </w:tc>
        <w:tc>
          <w:tcPr>
            <w:tcW w:w="551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209AD1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矿区</w:t>
            </w:r>
          </w:p>
        </w:tc>
      </w:tr>
      <w:tr w14:paraId="5E89F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92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007D53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w:t>
            </w:r>
          </w:p>
        </w:tc>
        <w:tc>
          <w:tcPr>
            <w:tcW w:w="293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F1E6177">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应急组织机构、人员</w:t>
            </w:r>
          </w:p>
        </w:tc>
        <w:tc>
          <w:tcPr>
            <w:tcW w:w="551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7C9BF3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建设单位全体管理人员。</w:t>
            </w:r>
          </w:p>
        </w:tc>
      </w:tr>
      <w:tr w14:paraId="01409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610CBE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w:t>
            </w:r>
          </w:p>
        </w:tc>
        <w:tc>
          <w:tcPr>
            <w:tcW w:w="293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26A7346">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预案分级响应条件</w:t>
            </w:r>
          </w:p>
        </w:tc>
        <w:tc>
          <w:tcPr>
            <w:tcW w:w="551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BF0FDDE">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规定预案的级别及分级响应程序。</w:t>
            </w:r>
          </w:p>
        </w:tc>
      </w:tr>
      <w:tr w14:paraId="5B4CB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091CDD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w:t>
            </w:r>
          </w:p>
        </w:tc>
        <w:tc>
          <w:tcPr>
            <w:tcW w:w="293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653ABFE">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应急救援保障</w:t>
            </w:r>
          </w:p>
        </w:tc>
        <w:tc>
          <w:tcPr>
            <w:tcW w:w="551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CAE86BD">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应急设施，设备与器材等。</w:t>
            </w:r>
          </w:p>
        </w:tc>
      </w:tr>
      <w:tr w14:paraId="4EBF6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59389A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5</w:t>
            </w:r>
          </w:p>
        </w:tc>
        <w:tc>
          <w:tcPr>
            <w:tcW w:w="293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920A59E">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报警、通讯联络方式</w:t>
            </w:r>
          </w:p>
        </w:tc>
        <w:tc>
          <w:tcPr>
            <w:tcW w:w="551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0C88410">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规定应急状态下的报警通讯方式、通知方式和交通保障、管制</w:t>
            </w:r>
          </w:p>
        </w:tc>
      </w:tr>
      <w:tr w14:paraId="787C8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trPr>
        <w:tc>
          <w:tcPr>
            <w:tcW w:w="92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19C9346">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6</w:t>
            </w:r>
          </w:p>
        </w:tc>
        <w:tc>
          <w:tcPr>
            <w:tcW w:w="293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A44D00F">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应急环境监测、抢险、救援及控制措施</w:t>
            </w:r>
          </w:p>
        </w:tc>
        <w:tc>
          <w:tcPr>
            <w:tcW w:w="551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D5668D6">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由专业队伍负责对事故现场进行侦察监测，对事故性质、参数与后果进行评估，为指挥部门提供决策依据。</w:t>
            </w:r>
          </w:p>
        </w:tc>
      </w:tr>
      <w:tr w14:paraId="7E167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92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1DD48EA">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7</w:t>
            </w:r>
          </w:p>
        </w:tc>
        <w:tc>
          <w:tcPr>
            <w:tcW w:w="293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1A0E767">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应急检测、防护措施、清</w:t>
            </w:r>
          </w:p>
          <w:p w14:paraId="0D3A6D4C">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除泄漏措施和器材</w:t>
            </w:r>
          </w:p>
        </w:tc>
        <w:tc>
          <w:tcPr>
            <w:tcW w:w="551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8140C9E">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事故现场、邻近区域、控制防火区域，控制和清除污染措施及相应设备。</w:t>
            </w:r>
          </w:p>
        </w:tc>
      </w:tr>
      <w:tr w14:paraId="4AF75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1" w:hRule="atLeast"/>
        </w:trPr>
        <w:tc>
          <w:tcPr>
            <w:tcW w:w="92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5E75C18">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8</w:t>
            </w:r>
          </w:p>
        </w:tc>
        <w:tc>
          <w:tcPr>
            <w:tcW w:w="293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6F3C705">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人员紧急撤离、疏散，应急剂量控制、撤离组织计划</w:t>
            </w:r>
          </w:p>
        </w:tc>
        <w:tc>
          <w:tcPr>
            <w:tcW w:w="551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BAF70FA">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事故现场、矿区邻近区域、受事故影响的区域人员及公众对毒物应急剂量控制规定，撤离组织计划及救护，医疗救护与公众健康。</w:t>
            </w:r>
          </w:p>
        </w:tc>
      </w:tr>
      <w:tr w14:paraId="4C0F1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92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B9680FB">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9</w:t>
            </w:r>
          </w:p>
        </w:tc>
        <w:tc>
          <w:tcPr>
            <w:tcW w:w="293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B5B1E3B">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事故应急救援关闭程序与恢复措施</w:t>
            </w:r>
          </w:p>
        </w:tc>
        <w:tc>
          <w:tcPr>
            <w:tcW w:w="551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C794DB1">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规定应急状态终止程序，事故现场善后处理，恢复措施，邻近区域解除事故警戒及善后恢复措施。</w:t>
            </w:r>
          </w:p>
        </w:tc>
      </w:tr>
      <w:tr w14:paraId="2066F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CA7D038">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10</w:t>
            </w:r>
          </w:p>
        </w:tc>
        <w:tc>
          <w:tcPr>
            <w:tcW w:w="293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C5EFC15">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应急培训计划</w:t>
            </w:r>
          </w:p>
        </w:tc>
        <w:tc>
          <w:tcPr>
            <w:tcW w:w="551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BD8E1D6">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应急计划制定后，平时安排人员培训与演练。</w:t>
            </w:r>
          </w:p>
        </w:tc>
      </w:tr>
      <w:tr w14:paraId="2D9EA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D41A8D1">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11</w:t>
            </w:r>
          </w:p>
        </w:tc>
        <w:tc>
          <w:tcPr>
            <w:tcW w:w="293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54B10C5">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公众教育和信息</w:t>
            </w:r>
          </w:p>
        </w:tc>
        <w:tc>
          <w:tcPr>
            <w:tcW w:w="551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B2D64C5">
            <w:pPr>
              <w:pStyle w:val="48"/>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对矿山邻近地区开展公众教育、培训和发布有关信息。</w:t>
            </w:r>
          </w:p>
        </w:tc>
      </w:tr>
    </w:tbl>
    <w:p w14:paraId="7340CE66">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（3）监督管理</w:t>
      </w:r>
    </w:p>
    <w:p w14:paraId="752D95D8">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①预案演练</w:t>
      </w:r>
    </w:p>
    <w:p w14:paraId="7EC4A951">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按照环境应急预案，建设单位应定期组织环境应急实战演练，提高防范和处置突发环境事件的技能，增强实战能力。</w:t>
      </w:r>
    </w:p>
    <w:p w14:paraId="7C4F1F9C">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②宣传与培训</w:t>
      </w:r>
    </w:p>
    <w:p w14:paraId="4E62749D">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建设单位加强环境保护科普宣传教育工作，普及环境污染事件预防常识，编印、发放有毒有害物质污染公众防护“明白卡”，增强公众的防范意识和相关心理准备，提高公众的防范能力。矿山工作人员应积极主动接受日常培训，公司应对重要目标工作人员进行培训和管理。</w:t>
      </w:r>
    </w:p>
    <w:p w14:paraId="6B5E1383">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③监督与评价</w:t>
      </w:r>
    </w:p>
    <w:p w14:paraId="58A36060">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为保障环境应急体系始终处于良好的战备状态，并实现持续改进，建设单位应在环境应急能力评价体系中实行自上而下的监督、检查和考核机制。监督和评价内容包括：应急机构的设置；应急工作程序的建立与执行情况；应急救援队伍的建设；应急人员培训与考核情况；应急装备使用和经费管理情况等。</w:t>
      </w:r>
    </w:p>
    <w:p w14:paraId="042763DA">
      <w:pPr>
        <w:pStyle w:val="5"/>
        <w:bidi w:val="0"/>
        <w:rPr>
          <w:rFonts w:hint="default"/>
        </w:rPr>
      </w:pPr>
      <w:bookmarkStart w:id="423" w:name="5.2.7.7风险评价结论"/>
      <w:bookmarkEnd w:id="423"/>
      <w:bookmarkStart w:id="424" w:name="_Toc22475"/>
      <w:r>
        <w:rPr>
          <w:rFonts w:hint="default"/>
        </w:rPr>
        <w:t>风险评价结论</w:t>
      </w:r>
      <w:bookmarkEnd w:id="424"/>
    </w:p>
    <w:p w14:paraId="65D780BA">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本工程不</w:t>
      </w:r>
      <w:r>
        <w:rPr>
          <w:rFonts w:hint="eastAsia" w:ascii="Times New Roman" w:hAnsi="Times New Roman" w:cs="Times New Roman"/>
          <w:color w:val="auto"/>
          <w:sz w:val="24"/>
          <w:szCs w:val="24"/>
          <w:highlight w:val="none"/>
          <w:lang w:val="en-US" w:eastAsia="zh-CN"/>
        </w:rPr>
        <w:t>存在</w:t>
      </w:r>
      <w:r>
        <w:rPr>
          <w:rFonts w:hint="default" w:ascii="Times New Roman" w:hAnsi="Times New Roman" w:cs="Times New Roman"/>
          <w:color w:val="auto"/>
          <w:sz w:val="24"/>
          <w:szCs w:val="24"/>
          <w:highlight w:val="none"/>
        </w:rPr>
        <w:t>重大危险源，虽然存在事故风险的可能性，但建设单位只要按照设计要求严格施工，认真执行评价所提出的各项综合风险防范措施后，可把事故发生的几率降至最低。采取有效的风险应急预案，对工程风险事故的环境影响控制在可接受范围内。</w:t>
      </w:r>
    </w:p>
    <w:p w14:paraId="4437B345">
      <w:pPr>
        <w:pStyle w:val="45"/>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表 5.2-</w:t>
      </w:r>
      <w:r>
        <w:rPr>
          <w:rFonts w:hint="eastAsia" w:ascii="Times New Roman" w:hAnsi="Times New Roman" w:cs="Times New Roman"/>
          <w:color w:val="auto"/>
          <w:sz w:val="24"/>
          <w:szCs w:val="24"/>
          <w:highlight w:val="none"/>
          <w:lang w:val="en-US" w:eastAsia="zh-CN"/>
        </w:rPr>
        <w:t>34</w:t>
      </w:r>
      <w:r>
        <w:rPr>
          <w:rFonts w:hint="default" w:ascii="Times New Roman" w:hAnsi="Times New Roman" w:cs="Times New Roman"/>
          <w:color w:val="auto"/>
          <w:sz w:val="24"/>
          <w:szCs w:val="24"/>
          <w:highlight w:val="none"/>
        </w:rPr>
        <w:tab/>
      </w:r>
      <w:r>
        <w:rPr>
          <w:rFonts w:hint="default" w:ascii="Times New Roman" w:hAnsi="Times New Roman" w:cs="Times New Roman"/>
          <w:color w:val="auto"/>
          <w:sz w:val="24"/>
          <w:szCs w:val="24"/>
          <w:highlight w:val="none"/>
        </w:rPr>
        <w:t>建设项目环境风险简单分析内容表</w:t>
      </w:r>
    </w:p>
    <w:tbl>
      <w:tblPr>
        <w:tblStyle w:val="31"/>
        <w:tblW w:w="9167" w:type="dxa"/>
        <w:tblInd w:w="2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7"/>
        <w:gridCol w:w="7630"/>
      </w:tblGrid>
      <w:tr w14:paraId="14DB9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trPr>
        <w:tc>
          <w:tcPr>
            <w:tcW w:w="153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E138E1A">
            <w:pPr>
              <w:pStyle w:val="48"/>
              <w:spacing w:beforeLines="0" w:afterLines="0"/>
              <w:rPr>
                <w:rFonts w:hint="default" w:ascii="Times New Roman" w:hAnsi="Times New Roman" w:cs="Times New Roman"/>
                <w:color w:val="00B050"/>
                <w:sz w:val="24"/>
                <w:szCs w:val="24"/>
                <w:highlight w:val="none"/>
              </w:rPr>
            </w:pPr>
            <w:r>
              <w:rPr>
                <w:rFonts w:hint="default" w:ascii="Times New Roman" w:hAnsi="Times New Roman" w:cs="Times New Roman"/>
                <w:color w:val="00B050"/>
                <w:sz w:val="24"/>
                <w:szCs w:val="24"/>
                <w:highlight w:val="none"/>
              </w:rPr>
              <w:t>建设项目</w:t>
            </w:r>
          </w:p>
          <w:p w14:paraId="5E0790AF">
            <w:pPr>
              <w:pStyle w:val="48"/>
              <w:spacing w:beforeLines="0" w:afterLines="0"/>
              <w:rPr>
                <w:rFonts w:hint="default" w:ascii="Times New Roman" w:hAnsi="Times New Roman" w:cs="Times New Roman"/>
                <w:color w:val="00B050"/>
                <w:sz w:val="24"/>
                <w:szCs w:val="24"/>
                <w:highlight w:val="none"/>
              </w:rPr>
            </w:pPr>
            <w:r>
              <w:rPr>
                <w:rFonts w:hint="default" w:ascii="Times New Roman" w:hAnsi="Times New Roman" w:cs="Times New Roman"/>
                <w:color w:val="00B050"/>
                <w:sz w:val="24"/>
                <w:szCs w:val="24"/>
                <w:highlight w:val="none"/>
              </w:rPr>
              <w:t>名称</w:t>
            </w:r>
          </w:p>
        </w:tc>
        <w:tc>
          <w:tcPr>
            <w:tcW w:w="763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BFEFCC6">
            <w:pPr>
              <w:pStyle w:val="48"/>
              <w:spacing w:beforeLines="0" w:afterLines="0"/>
              <w:rPr>
                <w:rFonts w:hint="default" w:ascii="Times New Roman" w:hAnsi="Times New Roman" w:cs="Times New Roman"/>
                <w:color w:val="00B050"/>
                <w:sz w:val="24"/>
                <w:szCs w:val="24"/>
                <w:highlight w:val="none"/>
                <w:lang w:eastAsia="zh-CN"/>
              </w:rPr>
            </w:pPr>
            <w:r>
              <w:rPr>
                <w:rFonts w:hint="eastAsia" w:ascii="Times New Roman" w:hAnsi="Times New Roman" w:cs="Times New Roman"/>
                <w:color w:val="00B050"/>
                <w:sz w:val="24"/>
                <w:szCs w:val="24"/>
                <w:highlight w:val="none"/>
                <w:lang w:eastAsia="zh-CN"/>
              </w:rPr>
              <w:t>新疆采虹矿业投资有限公司新疆阜康市北部沙漠天然石英砂矿（压裂用）项目</w:t>
            </w:r>
          </w:p>
        </w:tc>
      </w:tr>
      <w:tr w14:paraId="2F605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3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0926641">
            <w:pPr>
              <w:pStyle w:val="48"/>
              <w:spacing w:beforeLines="0" w:afterLines="0"/>
              <w:rPr>
                <w:rFonts w:hint="default" w:ascii="Times New Roman" w:hAnsi="Times New Roman" w:cs="Times New Roman"/>
                <w:color w:val="00B050"/>
                <w:sz w:val="24"/>
                <w:szCs w:val="24"/>
                <w:highlight w:val="none"/>
              </w:rPr>
            </w:pPr>
            <w:r>
              <w:rPr>
                <w:rFonts w:hint="default" w:ascii="Times New Roman" w:hAnsi="Times New Roman" w:cs="Times New Roman"/>
                <w:color w:val="00B050"/>
                <w:sz w:val="24"/>
                <w:szCs w:val="24"/>
                <w:highlight w:val="none"/>
              </w:rPr>
              <w:t>建设地点</w:t>
            </w:r>
          </w:p>
        </w:tc>
        <w:tc>
          <w:tcPr>
            <w:tcW w:w="763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4EA3D58">
            <w:pPr>
              <w:pStyle w:val="48"/>
              <w:spacing w:beforeLines="0" w:afterLines="0"/>
              <w:rPr>
                <w:rFonts w:hint="default" w:ascii="Times New Roman" w:hAnsi="Times New Roman" w:cs="Times New Roman"/>
                <w:color w:val="00B050"/>
                <w:sz w:val="24"/>
                <w:szCs w:val="24"/>
                <w:highlight w:val="none"/>
              </w:rPr>
            </w:pPr>
            <w:r>
              <w:rPr>
                <w:rFonts w:hint="eastAsia" w:ascii="Times New Roman" w:hAnsi="Times New Roman" w:cs="Times New Roman"/>
                <w:color w:val="00B050"/>
                <w:sz w:val="24"/>
                <w:szCs w:val="24"/>
                <w:highlight w:val="none"/>
                <w:lang w:eastAsia="zh-CN"/>
              </w:rPr>
              <w:t>新疆阜康市北部沙漠天然石英砂矿（压裂用）项目</w:t>
            </w:r>
            <w:r>
              <w:rPr>
                <w:rFonts w:hint="default" w:ascii="Times New Roman" w:hAnsi="Times New Roman" w:cs="Times New Roman"/>
                <w:color w:val="00B050"/>
                <w:sz w:val="24"/>
                <w:szCs w:val="24"/>
                <w:highlight w:val="none"/>
              </w:rPr>
              <w:t>位于阜康市</w:t>
            </w:r>
            <w:r>
              <w:rPr>
                <w:rFonts w:hint="default" w:ascii="Times New Roman" w:hAnsi="Times New Roman" w:cs="Times New Roman"/>
                <w:color w:val="00B050"/>
                <w:sz w:val="24"/>
                <w:szCs w:val="24"/>
                <w:highlight w:val="none"/>
                <w:lang w:val="en-US" w:eastAsia="zh-CN"/>
              </w:rPr>
              <w:t>20</w:t>
            </w:r>
            <w:r>
              <w:rPr>
                <w:rFonts w:hint="default" w:ascii="Times New Roman" w:hAnsi="Times New Roman" w:cs="Times New Roman"/>
                <w:color w:val="00B050"/>
                <w:sz w:val="24"/>
                <w:szCs w:val="24"/>
                <w:highlight w:val="none"/>
              </w:rPr>
              <w:t>°方位，直线距离</w:t>
            </w:r>
            <w:r>
              <w:rPr>
                <w:rFonts w:hint="default" w:ascii="Times New Roman" w:hAnsi="Times New Roman" w:cs="Times New Roman"/>
                <w:color w:val="00B050"/>
                <w:sz w:val="24"/>
                <w:szCs w:val="24"/>
                <w:highlight w:val="none"/>
                <w:lang w:val="en-US" w:eastAsia="zh-CN"/>
              </w:rPr>
              <w:t>60</w:t>
            </w:r>
            <w:r>
              <w:rPr>
                <w:rFonts w:hint="default" w:ascii="Times New Roman" w:hAnsi="Times New Roman" w:cs="Times New Roman"/>
                <w:color w:val="00B050"/>
                <w:sz w:val="24"/>
                <w:szCs w:val="24"/>
                <w:highlight w:val="none"/>
              </w:rPr>
              <w:t>km处。矿区中心地理坐标：</w:t>
            </w:r>
            <w:r>
              <w:rPr>
                <w:rFonts w:hint="default" w:ascii="Times New Roman" w:hAnsi="Times New Roman" w:cs="Times New Roman"/>
                <w:color w:val="00B050"/>
                <w:kern w:val="2"/>
                <w:sz w:val="24"/>
                <w:szCs w:val="22"/>
                <w:highlight w:val="none"/>
                <w:lang w:val="en-US" w:eastAsia="zh-CN" w:bidi="ar-SA"/>
              </w:rPr>
              <w:t>东经88°17′45″，北纬44°42′00″。</w:t>
            </w:r>
          </w:p>
        </w:tc>
      </w:tr>
      <w:tr w14:paraId="1BA39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3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086DA2F">
            <w:pPr>
              <w:pStyle w:val="48"/>
              <w:spacing w:beforeLines="0" w:afterLines="0"/>
              <w:rPr>
                <w:rFonts w:hint="default" w:ascii="Times New Roman" w:hAnsi="Times New Roman" w:cs="Times New Roman"/>
                <w:color w:val="00B050"/>
                <w:sz w:val="24"/>
                <w:szCs w:val="24"/>
                <w:highlight w:val="none"/>
              </w:rPr>
            </w:pPr>
            <w:r>
              <w:rPr>
                <w:rFonts w:hint="default" w:ascii="Times New Roman" w:hAnsi="Times New Roman" w:cs="Times New Roman"/>
                <w:color w:val="00B050"/>
                <w:sz w:val="24"/>
                <w:szCs w:val="24"/>
                <w:highlight w:val="none"/>
              </w:rPr>
              <w:t>主要危险物质及分布</w:t>
            </w:r>
          </w:p>
        </w:tc>
        <w:tc>
          <w:tcPr>
            <w:tcW w:w="763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E21C837">
            <w:pPr>
              <w:pStyle w:val="48"/>
              <w:spacing w:beforeLines="0" w:afterLines="0"/>
              <w:rPr>
                <w:rFonts w:hint="default" w:ascii="Times New Roman" w:hAnsi="Times New Roman" w:cs="Times New Roman"/>
                <w:color w:val="00B050"/>
                <w:sz w:val="24"/>
                <w:szCs w:val="24"/>
                <w:highlight w:val="none"/>
                <w:lang w:val="en-US" w:eastAsia="zh-CN"/>
              </w:rPr>
            </w:pPr>
            <w:r>
              <w:rPr>
                <w:rFonts w:hint="eastAsia" w:ascii="Times New Roman" w:hAnsi="Times New Roman" w:cs="Times New Roman"/>
                <w:color w:val="00B050"/>
                <w:sz w:val="24"/>
                <w:szCs w:val="24"/>
                <w:highlight w:val="none"/>
                <w:lang w:val="en-US" w:eastAsia="zh-CN"/>
              </w:rPr>
              <w:t>废矿物油</w:t>
            </w:r>
            <w:r>
              <w:rPr>
                <w:rFonts w:hint="default" w:ascii="Times New Roman" w:hAnsi="Times New Roman" w:cs="Times New Roman"/>
                <w:color w:val="00B050"/>
                <w:sz w:val="24"/>
                <w:szCs w:val="24"/>
                <w:highlight w:val="none"/>
                <w:lang w:val="en-US" w:eastAsia="zh-CN"/>
              </w:rPr>
              <w:t>，</w:t>
            </w:r>
            <w:r>
              <w:rPr>
                <w:rFonts w:hint="eastAsia" w:ascii="Times New Roman" w:hAnsi="Times New Roman" w:cs="Times New Roman"/>
                <w:color w:val="00B050"/>
                <w:sz w:val="24"/>
                <w:szCs w:val="24"/>
                <w:highlight w:val="none"/>
                <w:lang w:val="en-US" w:eastAsia="zh-CN"/>
              </w:rPr>
              <w:t>危废贮存点</w:t>
            </w:r>
          </w:p>
        </w:tc>
      </w:tr>
      <w:tr w14:paraId="340F7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3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F74E162">
            <w:pPr>
              <w:pStyle w:val="48"/>
              <w:spacing w:beforeLines="0" w:afterLines="0"/>
              <w:rPr>
                <w:rFonts w:hint="default" w:ascii="Times New Roman" w:hAnsi="Times New Roman" w:cs="Times New Roman"/>
                <w:color w:val="00B050"/>
                <w:sz w:val="24"/>
                <w:szCs w:val="24"/>
                <w:highlight w:val="none"/>
              </w:rPr>
            </w:pPr>
            <w:r>
              <w:rPr>
                <w:rFonts w:hint="default" w:ascii="Times New Roman" w:hAnsi="Times New Roman" w:cs="Times New Roman"/>
                <w:color w:val="00B050"/>
                <w:sz w:val="24"/>
                <w:szCs w:val="24"/>
                <w:highlight w:val="none"/>
              </w:rPr>
              <w:t>环境影响途径及危害后果</w:t>
            </w:r>
          </w:p>
        </w:tc>
        <w:tc>
          <w:tcPr>
            <w:tcW w:w="7630" w:type="dxa"/>
            <w:tcBorders>
              <w:top w:val="single" w:color="auto" w:sz="4" w:space="0"/>
              <w:left w:val="single" w:color="auto" w:sz="4" w:space="0"/>
              <w:bottom w:val="single" w:color="auto" w:sz="4" w:space="0"/>
              <w:right w:val="single" w:color="auto" w:sz="4" w:space="0"/>
              <w:tl2br w:val="nil"/>
              <w:tr2bl w:val="nil"/>
            </w:tcBorders>
            <w:noWrap w:val="0"/>
            <w:vAlign w:val="top"/>
          </w:tcPr>
          <w:p w14:paraId="05FE3C80">
            <w:pPr>
              <w:pStyle w:val="48"/>
              <w:spacing w:beforeLines="0" w:afterLines="0"/>
              <w:rPr>
                <w:rFonts w:hint="default" w:ascii="Times New Roman" w:hAnsi="Times New Roman" w:cs="Times New Roman"/>
                <w:color w:val="00B050"/>
                <w:sz w:val="24"/>
                <w:szCs w:val="24"/>
                <w:highlight w:val="none"/>
              </w:rPr>
            </w:pPr>
            <w:r>
              <w:rPr>
                <w:rFonts w:hint="default" w:ascii="Times New Roman" w:hAnsi="Times New Roman" w:cs="Times New Roman"/>
                <w:color w:val="00B050"/>
                <w:sz w:val="24"/>
                <w:szCs w:val="24"/>
                <w:highlight w:val="none"/>
              </w:rPr>
              <w:t>①</w:t>
            </w:r>
            <w:r>
              <w:rPr>
                <w:rFonts w:hint="eastAsia" w:ascii="Times New Roman" w:hAnsi="Times New Roman" w:cs="Times New Roman"/>
                <w:color w:val="00B050"/>
                <w:sz w:val="24"/>
                <w:szCs w:val="24"/>
                <w:highlight w:val="none"/>
                <w:lang w:val="en-US" w:eastAsia="zh-CN"/>
              </w:rPr>
              <w:t>废矿物油</w:t>
            </w:r>
            <w:r>
              <w:rPr>
                <w:rFonts w:hint="default" w:ascii="Times New Roman" w:hAnsi="Times New Roman" w:cs="Times New Roman"/>
                <w:color w:val="00B050"/>
                <w:sz w:val="24"/>
                <w:szCs w:val="24"/>
                <w:highlight w:val="none"/>
                <w:lang w:val="en-US" w:eastAsia="zh-CN"/>
              </w:rPr>
              <w:t>泄露可能污染大气、地下水及土壤环境；②烘干</w:t>
            </w:r>
            <w:r>
              <w:rPr>
                <w:rFonts w:hint="eastAsia" w:ascii="Times New Roman" w:hAnsi="Times New Roman" w:cs="Times New Roman"/>
                <w:color w:val="00B050"/>
                <w:sz w:val="24"/>
                <w:szCs w:val="24"/>
                <w:highlight w:val="none"/>
                <w:lang w:val="en-US" w:eastAsia="zh-CN"/>
              </w:rPr>
              <w:t>系统电路老化、短路</w:t>
            </w:r>
            <w:r>
              <w:rPr>
                <w:rFonts w:hint="default" w:ascii="Times New Roman" w:hAnsi="Times New Roman" w:cs="Times New Roman"/>
                <w:color w:val="00B050"/>
                <w:sz w:val="24"/>
                <w:szCs w:val="24"/>
                <w:highlight w:val="none"/>
                <w:lang w:val="en-US" w:eastAsia="zh-CN"/>
              </w:rPr>
              <w:t>，可能出现爆炸引发的火灾，造成次生/伴生污染物的排放，污染环境。③</w:t>
            </w:r>
            <w:r>
              <w:rPr>
                <w:rFonts w:hint="default" w:ascii="Times New Roman" w:hAnsi="Times New Roman" w:cs="Times New Roman"/>
                <w:color w:val="00B050"/>
                <w:sz w:val="24"/>
                <w:szCs w:val="24"/>
                <w:highlight w:val="none"/>
              </w:rPr>
              <w:t>采矿区因不良地质条件，开采方式不当，降水影响，维护加固不当，边坡过高过陡等原因引起的滑坡事故；</w:t>
            </w:r>
            <w:r>
              <w:rPr>
                <w:rFonts w:hint="default" w:ascii="Times New Roman" w:hAnsi="Times New Roman" w:cs="Times New Roman"/>
                <w:color w:val="00B050"/>
                <w:sz w:val="24"/>
                <w:szCs w:val="24"/>
                <w:highlight w:val="none"/>
              </w:rPr>
              <w:fldChar w:fldCharType="begin"/>
            </w:r>
            <w:r>
              <w:rPr>
                <w:rFonts w:hint="default" w:ascii="Times New Roman" w:hAnsi="Times New Roman" w:cs="Times New Roman"/>
                <w:color w:val="00B050"/>
                <w:sz w:val="24"/>
                <w:szCs w:val="24"/>
                <w:highlight w:val="none"/>
              </w:rPr>
              <w:instrText xml:space="preserve"> = 4 \* GB3 \* MERGEFORMAT </w:instrText>
            </w:r>
            <w:r>
              <w:rPr>
                <w:rFonts w:hint="default" w:ascii="Times New Roman" w:hAnsi="Times New Roman" w:cs="Times New Roman"/>
                <w:color w:val="00B050"/>
                <w:sz w:val="24"/>
                <w:szCs w:val="24"/>
                <w:highlight w:val="none"/>
              </w:rPr>
              <w:fldChar w:fldCharType="separate"/>
            </w:r>
            <w:r>
              <w:rPr>
                <w:rFonts w:hint="default" w:ascii="Times New Roman" w:hAnsi="Times New Roman" w:cs="Times New Roman"/>
                <w:color w:val="00B050"/>
                <w:sz w:val="24"/>
                <w:szCs w:val="24"/>
                <w:highlight w:val="none"/>
              </w:rPr>
              <w:t>④</w:t>
            </w:r>
            <w:r>
              <w:rPr>
                <w:rFonts w:hint="default" w:ascii="Times New Roman" w:hAnsi="Times New Roman" w:cs="Times New Roman"/>
                <w:color w:val="00B050"/>
                <w:sz w:val="24"/>
                <w:szCs w:val="24"/>
                <w:highlight w:val="none"/>
              </w:rPr>
              <w:fldChar w:fldCharType="end"/>
            </w:r>
            <w:r>
              <w:rPr>
                <w:rFonts w:hint="default" w:ascii="Times New Roman" w:hAnsi="Times New Roman" w:cs="Times New Roman"/>
                <w:color w:val="00B050"/>
                <w:sz w:val="24"/>
                <w:szCs w:val="24"/>
                <w:highlight w:val="none"/>
              </w:rPr>
              <w:t>废料堆场因堆排工艺不科学或排水设施不健全等原因引起的滑坡事故。</w:t>
            </w:r>
          </w:p>
        </w:tc>
      </w:tr>
      <w:tr w14:paraId="773BB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6" w:hRule="atLeast"/>
        </w:trPr>
        <w:tc>
          <w:tcPr>
            <w:tcW w:w="153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E15A72D">
            <w:pPr>
              <w:pStyle w:val="48"/>
              <w:spacing w:beforeLines="0" w:afterLines="0"/>
              <w:rPr>
                <w:rFonts w:hint="default" w:ascii="Times New Roman" w:hAnsi="Times New Roman" w:cs="Times New Roman"/>
                <w:color w:val="00B050"/>
                <w:sz w:val="24"/>
                <w:szCs w:val="24"/>
                <w:highlight w:val="none"/>
              </w:rPr>
            </w:pPr>
            <w:r>
              <w:rPr>
                <w:rFonts w:hint="default" w:ascii="Times New Roman" w:hAnsi="Times New Roman" w:cs="Times New Roman"/>
                <w:color w:val="00B050"/>
                <w:sz w:val="24"/>
                <w:szCs w:val="24"/>
                <w:highlight w:val="none"/>
              </w:rPr>
              <w:t>风险防范措施要求</w:t>
            </w:r>
          </w:p>
        </w:tc>
        <w:tc>
          <w:tcPr>
            <w:tcW w:w="7630" w:type="dxa"/>
            <w:tcBorders>
              <w:top w:val="single" w:color="auto" w:sz="4" w:space="0"/>
              <w:left w:val="single" w:color="auto" w:sz="4" w:space="0"/>
              <w:bottom w:val="single" w:color="auto" w:sz="4" w:space="0"/>
              <w:right w:val="single" w:color="auto" w:sz="4" w:space="0"/>
              <w:tl2br w:val="nil"/>
              <w:tr2bl w:val="nil"/>
            </w:tcBorders>
            <w:noWrap w:val="0"/>
            <w:vAlign w:val="top"/>
          </w:tcPr>
          <w:p w14:paraId="5AFD8DDA">
            <w:pPr>
              <w:pStyle w:val="48"/>
              <w:spacing w:beforeLines="0" w:afterLines="0"/>
              <w:jc w:val="left"/>
              <w:rPr>
                <w:rFonts w:hint="default" w:ascii="Times New Roman" w:hAnsi="Times New Roman" w:cs="Times New Roman"/>
                <w:color w:val="00B050"/>
                <w:sz w:val="24"/>
                <w:szCs w:val="24"/>
                <w:highlight w:val="none"/>
                <w:lang w:eastAsia="zh-CN"/>
              </w:rPr>
            </w:pPr>
            <w:r>
              <w:rPr>
                <w:rFonts w:hint="default" w:ascii="Times New Roman" w:hAnsi="Times New Roman" w:cs="Times New Roman"/>
                <w:color w:val="00B050"/>
                <w:sz w:val="24"/>
                <w:szCs w:val="24"/>
                <w:highlight w:val="none"/>
              </w:rPr>
              <w:t>选用合适的储存容器和设施</w:t>
            </w:r>
            <w:r>
              <w:rPr>
                <w:rFonts w:hint="default" w:ascii="Times New Roman" w:hAnsi="Times New Roman" w:cs="Times New Roman"/>
                <w:color w:val="00B050"/>
                <w:sz w:val="24"/>
                <w:szCs w:val="24"/>
                <w:highlight w:val="none"/>
                <w:lang w:val="en-US" w:eastAsia="zh-CN"/>
              </w:rPr>
              <w:t>储存</w:t>
            </w:r>
            <w:r>
              <w:rPr>
                <w:rFonts w:hint="eastAsia" w:ascii="Times New Roman" w:hAnsi="Times New Roman" w:cs="Times New Roman"/>
                <w:color w:val="00B050"/>
                <w:sz w:val="24"/>
                <w:szCs w:val="24"/>
                <w:highlight w:val="none"/>
                <w:lang w:val="en-US" w:eastAsia="zh-CN"/>
              </w:rPr>
              <w:t>废矿物油</w:t>
            </w:r>
            <w:r>
              <w:rPr>
                <w:rFonts w:hint="default" w:ascii="Times New Roman" w:hAnsi="Times New Roman" w:cs="Times New Roman"/>
                <w:color w:val="00B050"/>
                <w:sz w:val="24"/>
                <w:szCs w:val="24"/>
                <w:highlight w:val="none"/>
                <w:lang w:eastAsia="zh-CN"/>
              </w:rPr>
              <w:t>；</w:t>
            </w:r>
            <w:r>
              <w:rPr>
                <w:rFonts w:hint="default" w:ascii="Times New Roman" w:hAnsi="Times New Roman" w:cs="Times New Roman"/>
                <w:color w:val="00B050"/>
                <w:sz w:val="24"/>
                <w:szCs w:val="24"/>
                <w:highlight w:val="none"/>
              </w:rPr>
              <w:t>定期检查</w:t>
            </w:r>
            <w:r>
              <w:rPr>
                <w:rFonts w:hint="eastAsia" w:ascii="Times New Roman" w:hAnsi="Times New Roman" w:cs="Times New Roman"/>
                <w:color w:val="00B050"/>
                <w:sz w:val="24"/>
                <w:szCs w:val="24"/>
                <w:highlight w:val="none"/>
                <w:lang w:val="en-US" w:eastAsia="zh-CN"/>
              </w:rPr>
              <w:t>烘干</w:t>
            </w:r>
            <w:r>
              <w:rPr>
                <w:rFonts w:hint="default" w:ascii="Times New Roman" w:hAnsi="Times New Roman" w:cs="Times New Roman"/>
                <w:color w:val="00B050"/>
                <w:sz w:val="24"/>
                <w:szCs w:val="24"/>
                <w:highlight w:val="none"/>
              </w:rPr>
              <w:t>系统</w:t>
            </w:r>
            <w:r>
              <w:rPr>
                <w:rFonts w:hint="default" w:ascii="Times New Roman" w:hAnsi="Times New Roman" w:cs="Times New Roman"/>
                <w:color w:val="00B050"/>
                <w:sz w:val="24"/>
                <w:szCs w:val="24"/>
                <w:highlight w:val="none"/>
                <w:lang w:eastAsia="zh-CN"/>
              </w:rPr>
              <w:t>；</w:t>
            </w:r>
            <w:r>
              <w:rPr>
                <w:rFonts w:hint="default" w:ascii="Times New Roman" w:hAnsi="Times New Roman" w:cs="Times New Roman"/>
                <w:color w:val="00B050"/>
                <w:sz w:val="24"/>
                <w:szCs w:val="24"/>
                <w:highlight w:val="none"/>
              </w:rPr>
              <w:t>维护热风循环系统</w:t>
            </w:r>
            <w:r>
              <w:rPr>
                <w:rFonts w:hint="default" w:ascii="Times New Roman" w:hAnsi="Times New Roman" w:cs="Times New Roman"/>
                <w:color w:val="00B050"/>
                <w:sz w:val="24"/>
                <w:szCs w:val="24"/>
                <w:highlight w:val="none"/>
                <w:lang w:eastAsia="zh-CN"/>
              </w:rPr>
              <w:t>，</w:t>
            </w:r>
            <w:r>
              <w:rPr>
                <w:rFonts w:hint="default" w:ascii="Times New Roman" w:hAnsi="Times New Roman" w:cs="Times New Roman"/>
                <w:color w:val="00B050"/>
                <w:sz w:val="24"/>
                <w:szCs w:val="24"/>
                <w:highlight w:val="none"/>
              </w:rPr>
              <w:t>确保其密封性良好，无泄漏现象</w:t>
            </w:r>
            <w:r>
              <w:rPr>
                <w:rFonts w:hint="default" w:ascii="Times New Roman" w:hAnsi="Times New Roman" w:cs="Times New Roman"/>
                <w:color w:val="00B050"/>
                <w:sz w:val="24"/>
                <w:szCs w:val="24"/>
                <w:highlight w:val="none"/>
                <w:lang w:eastAsia="zh-CN"/>
              </w:rPr>
              <w:t>；</w:t>
            </w:r>
            <w:r>
              <w:rPr>
                <w:rFonts w:hint="default" w:ascii="Times New Roman" w:hAnsi="Times New Roman" w:cs="Times New Roman"/>
                <w:color w:val="00B050"/>
                <w:sz w:val="24"/>
                <w:szCs w:val="24"/>
                <w:highlight w:val="none"/>
              </w:rPr>
              <w:t>开采境界外修建截水沟</w:t>
            </w:r>
            <w:r>
              <w:rPr>
                <w:rFonts w:hint="default" w:ascii="Times New Roman" w:hAnsi="Times New Roman" w:cs="Times New Roman"/>
                <w:color w:val="00B050"/>
                <w:sz w:val="24"/>
                <w:szCs w:val="24"/>
                <w:highlight w:val="none"/>
                <w:lang w:eastAsia="zh-CN"/>
              </w:rPr>
              <w:t>；</w:t>
            </w:r>
            <w:r>
              <w:rPr>
                <w:rFonts w:hint="default" w:ascii="Times New Roman" w:hAnsi="Times New Roman" w:cs="Times New Roman"/>
                <w:color w:val="00B050"/>
                <w:sz w:val="24"/>
                <w:szCs w:val="24"/>
                <w:highlight w:val="none"/>
              </w:rPr>
              <w:t>定期或不定期对废料堆场的截排水沟进行检查，确保废料堆场安全运行</w:t>
            </w:r>
            <w:r>
              <w:rPr>
                <w:rFonts w:hint="default" w:ascii="Times New Roman" w:hAnsi="Times New Roman" w:cs="Times New Roman"/>
                <w:color w:val="00B050"/>
                <w:sz w:val="24"/>
                <w:szCs w:val="24"/>
                <w:highlight w:val="none"/>
                <w:lang w:eastAsia="zh-CN"/>
              </w:rPr>
              <w:t>；</w:t>
            </w:r>
            <w:r>
              <w:rPr>
                <w:rFonts w:hint="default" w:ascii="Times New Roman" w:hAnsi="Times New Roman" w:cs="Times New Roman"/>
                <w:color w:val="00B050"/>
                <w:sz w:val="24"/>
                <w:szCs w:val="24"/>
                <w:highlight w:val="none"/>
              </w:rPr>
              <w:t>项目矿区运营期满后，废料堆场暂存废料需全部用于采坑回填，并对废料堆场地进行平整、覆土和生态恢复</w:t>
            </w:r>
            <w:r>
              <w:rPr>
                <w:rFonts w:hint="default" w:ascii="Times New Roman" w:hAnsi="Times New Roman" w:cs="Times New Roman"/>
                <w:color w:val="00B050"/>
                <w:sz w:val="24"/>
                <w:szCs w:val="24"/>
                <w:highlight w:val="none"/>
                <w:lang w:eastAsia="zh-CN"/>
              </w:rPr>
              <w:t>。</w:t>
            </w:r>
          </w:p>
        </w:tc>
      </w:tr>
      <w:tr w14:paraId="0C0D4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3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7F8425C">
            <w:pPr>
              <w:pStyle w:val="48"/>
              <w:spacing w:beforeLines="0" w:afterLines="0"/>
              <w:rPr>
                <w:rFonts w:hint="default" w:ascii="Times New Roman" w:hAnsi="Times New Roman" w:cs="Times New Roman"/>
                <w:color w:val="00B050"/>
                <w:sz w:val="24"/>
                <w:szCs w:val="24"/>
                <w:highlight w:val="none"/>
              </w:rPr>
            </w:pPr>
            <w:r>
              <w:rPr>
                <w:rFonts w:hint="default" w:ascii="Times New Roman" w:hAnsi="Times New Roman" w:cs="Times New Roman"/>
                <w:color w:val="00B050"/>
                <w:sz w:val="24"/>
                <w:szCs w:val="24"/>
                <w:highlight w:val="none"/>
              </w:rPr>
              <w:t>填表说明</w:t>
            </w:r>
          </w:p>
        </w:tc>
        <w:tc>
          <w:tcPr>
            <w:tcW w:w="7630" w:type="dxa"/>
            <w:tcBorders>
              <w:top w:val="single" w:color="auto" w:sz="4" w:space="0"/>
              <w:left w:val="single" w:color="auto" w:sz="4" w:space="0"/>
              <w:bottom w:val="single" w:color="auto" w:sz="4" w:space="0"/>
              <w:right w:val="single" w:color="auto" w:sz="4" w:space="0"/>
              <w:tl2br w:val="nil"/>
              <w:tr2bl w:val="nil"/>
            </w:tcBorders>
            <w:noWrap w:val="0"/>
            <w:vAlign w:val="top"/>
          </w:tcPr>
          <w:p w14:paraId="109CE8ED">
            <w:pPr>
              <w:pStyle w:val="48"/>
              <w:spacing w:beforeLines="0" w:afterLines="0"/>
              <w:jc w:val="left"/>
              <w:rPr>
                <w:rFonts w:hint="default" w:ascii="Times New Roman" w:hAnsi="Times New Roman" w:cs="Times New Roman"/>
                <w:color w:val="00B050"/>
                <w:sz w:val="24"/>
                <w:szCs w:val="24"/>
                <w:highlight w:val="none"/>
              </w:rPr>
            </w:pPr>
            <w:r>
              <w:rPr>
                <w:rFonts w:hint="default" w:ascii="Times New Roman" w:hAnsi="Times New Roman" w:cs="Times New Roman"/>
                <w:color w:val="00B050"/>
                <w:sz w:val="24"/>
                <w:szCs w:val="24"/>
                <w:highlight w:val="none"/>
              </w:rPr>
              <w:t>本工程不属于重大危险源，虽然存在事故风险的可能性，但建设单位只要按照设计要求严格施工，认真执行评价所提出的各项综合风险防范措施后，可把事故发生的几率降至最低。采取有效的风险应急预案，对工程风险事故的环境影响控制在可接受范围内。</w:t>
            </w:r>
          </w:p>
        </w:tc>
      </w:tr>
    </w:tbl>
    <w:p w14:paraId="7CE389B8">
      <w:pPr>
        <w:pStyle w:val="14"/>
        <w:kinsoku w:val="0"/>
        <w:overflowPunct w:val="0"/>
        <w:spacing w:before="8" w:beforeLines="0" w:afterLines="0"/>
        <w:ind w:left="0"/>
        <w:rPr>
          <w:rFonts w:hint="default" w:ascii="Times New Roman" w:hAnsi="Times New Roman" w:cs="Times New Roman"/>
          <w:color w:val="auto"/>
          <w:sz w:val="8"/>
          <w:szCs w:val="24"/>
          <w:highlight w:val="none"/>
        </w:rPr>
      </w:pPr>
    </w:p>
    <w:p w14:paraId="2AAB5983">
      <w:pPr>
        <w:pStyle w:val="4"/>
        <w:bidi w:val="0"/>
        <w:rPr>
          <w:rFonts w:hint="default"/>
        </w:rPr>
      </w:pPr>
      <w:bookmarkStart w:id="425" w:name="5.2.8闭矿期环境影响评价"/>
      <w:bookmarkEnd w:id="425"/>
      <w:r>
        <w:rPr>
          <w:rFonts w:hint="default"/>
        </w:rPr>
        <w:t>闭矿期环境影响评价</w:t>
      </w:r>
    </w:p>
    <w:p w14:paraId="4F0E4AFC">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矿山闭矿期的环境影响主要表现为设备的分拆、构筑物的拆除带来的大气、水、噪声、固体废弃物等环境影响以及闭矿期产生的生态影响。</w:t>
      </w:r>
    </w:p>
    <w:p w14:paraId="3B178024">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建设单位已编制完成《</w:t>
      </w:r>
      <w:r>
        <w:rPr>
          <w:rFonts w:hint="default" w:ascii="Times New Roman" w:hAnsi="Times New Roman" w:cs="Times New Roman"/>
          <w:color w:val="auto"/>
          <w:sz w:val="24"/>
          <w:szCs w:val="24"/>
          <w:highlight w:val="none"/>
          <w:lang w:eastAsia="zh-CN"/>
        </w:rPr>
        <w:t>新疆采虹矿业投资有限公司新疆阜康市北部沙漠天然石英砂矿（压裂用）外围</w:t>
      </w:r>
      <w:r>
        <w:rPr>
          <w:rFonts w:hint="default" w:ascii="Times New Roman" w:hAnsi="Times New Roman" w:cs="Times New Roman"/>
          <w:color w:val="auto"/>
          <w:sz w:val="24"/>
          <w:szCs w:val="24"/>
          <w:highlight w:val="none"/>
        </w:rPr>
        <w:t>矿产资源开发利用与生态保护修复方案》，并已取得评审意见书，本 评价要求矿山土地复垦及生态恢复工作严格按生态保护修复方案进行。</w:t>
      </w:r>
    </w:p>
    <w:p w14:paraId="28DFFF71">
      <w:pPr>
        <w:pStyle w:val="5"/>
        <w:bidi w:val="0"/>
        <w:rPr>
          <w:rFonts w:hint="default"/>
        </w:rPr>
      </w:pPr>
      <w:bookmarkStart w:id="426" w:name="5.2.8.1大气环境影响及采取措施"/>
      <w:bookmarkEnd w:id="426"/>
      <w:bookmarkStart w:id="427" w:name="_Toc27224"/>
      <w:r>
        <w:rPr>
          <w:rFonts w:hint="default"/>
        </w:rPr>
        <w:t>大气环境影响及采取措施</w:t>
      </w:r>
      <w:bookmarkEnd w:id="427"/>
    </w:p>
    <w:p w14:paraId="1E0D9037">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（1）设备在拆卸的过程中，会瞬间产生一定量的扬尘，其属于无组织排放，因工期短，故产生的扬尘对大气环境影响较小。</w:t>
      </w:r>
    </w:p>
    <w:p w14:paraId="16EC7CD2">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（2）构筑物在拆除的过程中会产生扬尘，为瞬时无组织排放源，故应在拆除过程中，采用洒水降尘，从而起到抑制扬尘的作用，降低扬尘瞬时排放对大气环境的影响。</w:t>
      </w:r>
    </w:p>
    <w:p w14:paraId="7F0693E2">
      <w:pPr>
        <w:pStyle w:val="5"/>
        <w:bidi w:val="0"/>
        <w:rPr>
          <w:rFonts w:hint="default"/>
        </w:rPr>
      </w:pPr>
      <w:bookmarkStart w:id="428" w:name="5.2.8.2水环境影响及采取措施"/>
      <w:bookmarkEnd w:id="428"/>
      <w:bookmarkStart w:id="429" w:name="_Toc30613"/>
      <w:r>
        <w:rPr>
          <w:rFonts w:hint="default"/>
        </w:rPr>
        <w:t>水环境影响及采取措施</w:t>
      </w:r>
      <w:bookmarkEnd w:id="429"/>
    </w:p>
    <w:p w14:paraId="65A52F0E">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开采结束后进入闭矿期，工作人员离开矿区，矿区内无生产和生活废水排放，因此，对项目区水环境无负面影响。</w:t>
      </w:r>
    </w:p>
    <w:p w14:paraId="016A1A4E">
      <w:pPr>
        <w:pStyle w:val="5"/>
        <w:bidi w:val="0"/>
        <w:rPr>
          <w:rFonts w:hint="default"/>
        </w:rPr>
      </w:pPr>
      <w:bookmarkStart w:id="430" w:name="5.2.8.3声环境影响及采取措施"/>
      <w:bookmarkEnd w:id="430"/>
      <w:bookmarkStart w:id="431" w:name="_Toc14433"/>
      <w:r>
        <w:rPr>
          <w:rFonts w:hint="default"/>
        </w:rPr>
        <w:t>声环境影响及采取措施</w:t>
      </w:r>
      <w:bookmarkEnd w:id="431"/>
    </w:p>
    <w:p w14:paraId="40AE930B">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闭矿期采场无采掘设备及土石方设备，环境噪声较采矿期将大幅降低，并逐渐恢复到环境背景值，因此，噪声对项目区及周围环境影响较小。</w:t>
      </w:r>
    </w:p>
    <w:p w14:paraId="48ACE24F">
      <w:pPr>
        <w:pStyle w:val="5"/>
        <w:bidi w:val="0"/>
        <w:rPr>
          <w:rFonts w:hint="default"/>
        </w:rPr>
      </w:pPr>
      <w:bookmarkStart w:id="432" w:name="5.2.8.4固体废弃物影响及采取措施"/>
      <w:bookmarkEnd w:id="432"/>
      <w:bookmarkStart w:id="433" w:name="_Toc22241"/>
      <w:r>
        <w:rPr>
          <w:rFonts w:hint="default"/>
        </w:rPr>
        <w:t>固体废弃物影响及采取措施</w:t>
      </w:r>
      <w:bookmarkEnd w:id="433"/>
    </w:p>
    <w:p w14:paraId="1B870615">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各类设备分拆下来后，会产生一定量的废弃物，这些废弃物主要为各设备的零部件，破损的设备碎块及一些小零件，如这些废弃物不进行妥善处理，将对项目区环境产生影响，故建议工作人员在工作过程中，注意被遗弃的设备零部件，破损的设备碎块，小设备的收集，使得这些放错地方的资源能够得到充分的利用。</w:t>
      </w:r>
    </w:p>
    <w:p w14:paraId="065E9397">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（2）构筑物在拆除的过程中，会产生一定量的砖、石、渣土等建筑垃圾，建议拆除下来的建筑垃圾运往</w:t>
      </w:r>
      <w:r>
        <w:rPr>
          <w:rFonts w:hint="default" w:ascii="Times New Roman" w:hAnsi="Times New Roman" w:cs="Times New Roman"/>
          <w:color w:val="auto"/>
          <w:sz w:val="24"/>
          <w:szCs w:val="24"/>
          <w:highlight w:val="none"/>
          <w:lang w:val="en-US" w:eastAsia="zh-CN"/>
        </w:rPr>
        <w:t>当地</w:t>
      </w:r>
      <w:r>
        <w:rPr>
          <w:rFonts w:hint="default" w:ascii="Times New Roman" w:hAnsi="Times New Roman" w:cs="Times New Roman"/>
          <w:color w:val="auto"/>
          <w:sz w:val="24"/>
          <w:szCs w:val="24"/>
          <w:highlight w:val="none"/>
        </w:rPr>
        <w:t>建筑垃圾填埋场填埋处置。</w:t>
      </w:r>
    </w:p>
    <w:p w14:paraId="77408C92">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（3）在矿山开采结束后，将废料堆场内废石全部回填至采坑，废料堆场覆土、压实，场地实行自然生态恢复。</w:t>
      </w:r>
    </w:p>
    <w:p w14:paraId="42E371B5">
      <w:pPr>
        <w:pStyle w:val="5"/>
        <w:bidi w:val="0"/>
        <w:rPr>
          <w:rFonts w:hint="default"/>
          <w:color w:val="FF0000"/>
        </w:rPr>
      </w:pPr>
      <w:bookmarkStart w:id="434" w:name="5.2.8.5生态环境影响"/>
      <w:bookmarkEnd w:id="434"/>
      <w:bookmarkStart w:id="435" w:name="_Toc18788"/>
      <w:r>
        <w:rPr>
          <w:rFonts w:hint="default"/>
          <w:color w:val="FF0000"/>
        </w:rPr>
        <w:t>生态环境影响</w:t>
      </w:r>
      <w:bookmarkEnd w:id="435"/>
    </w:p>
    <w:p w14:paraId="3EFA2330">
      <w:pPr>
        <w:keepNext w:val="0"/>
        <w:keepLines w:val="0"/>
        <w:pageBreakBefore w:val="0"/>
        <w:widowControl w:val="0"/>
        <w:numPr>
          <w:ilvl w:val="0"/>
          <w:numId w:val="46"/>
        </w:numPr>
        <w:kinsoku/>
        <w:wordWrap/>
        <w:overflowPunct/>
        <w:topLinePunct w:val="0"/>
        <w:autoSpaceDE w:val="0"/>
        <w:autoSpaceDN w:val="0"/>
        <w:bidi w:val="0"/>
        <w:adjustRightInd w:val="0"/>
        <w:snapToGrid/>
        <w:spacing w:beforeLines="0" w:afterLines="0"/>
        <w:ind w:left="0" w:leftChars="0" w:firstLine="480" w:firstLineChars="200"/>
        <w:textAlignment w:val="auto"/>
        <w:rPr>
          <w:rFonts w:hint="default" w:ascii="Times New Roman" w:hAnsi="Times New Roman" w:cs="Times New Roman"/>
          <w:color w:val="FF0000"/>
          <w:sz w:val="24"/>
          <w:szCs w:val="24"/>
          <w:highlight w:val="none"/>
        </w:rPr>
      </w:pPr>
      <w:r>
        <w:rPr>
          <w:rFonts w:hint="default" w:ascii="Times New Roman" w:hAnsi="Times New Roman" w:cs="Times New Roman"/>
          <w:color w:val="FF0000"/>
          <w:sz w:val="24"/>
          <w:szCs w:val="24"/>
          <w:highlight w:val="none"/>
        </w:rPr>
        <w:t>闭矿期，利用废料堆场的生产废料回填至采空区，而后废料堆场场址需按《矿山生态环境保护与恢复治理技术规</w:t>
      </w:r>
      <w:r>
        <w:rPr>
          <w:rFonts w:hint="default" w:ascii="Times New Roman" w:hAnsi="Times New Roman" w:eastAsia="宋体" w:cs="Times New Roman"/>
          <w:color w:val="FF0000"/>
          <w:sz w:val="24"/>
          <w:szCs w:val="24"/>
          <w:highlight w:val="none"/>
        </w:rPr>
        <w:t>范》</w:t>
      </w:r>
      <w:r>
        <w:rPr>
          <w:rFonts w:hint="eastAsia" w:ascii="Times New Roman" w:hAnsi="Times New Roman" w:eastAsia="宋体" w:cs="Times New Roman"/>
          <w:color w:val="FF0000"/>
          <w:sz w:val="24"/>
          <w:szCs w:val="24"/>
          <w:highlight w:val="none"/>
          <w:lang w:eastAsia="zh-CN"/>
        </w:rPr>
        <w:t>（</w:t>
      </w:r>
      <w:r>
        <w:rPr>
          <w:rFonts w:hint="default" w:ascii="Times New Roman" w:hAnsi="Times New Roman" w:eastAsia="宋体" w:cs="Times New Roman"/>
          <w:color w:val="FF0000"/>
          <w:sz w:val="24"/>
          <w:szCs w:val="24"/>
          <w:highlight w:val="none"/>
        </w:rPr>
        <w:t>HJ 651</w:t>
      </w:r>
      <w:r>
        <w:rPr>
          <w:rFonts w:hint="eastAsia" w:ascii="Times New Roman" w:hAnsi="Times New Roman" w:eastAsia="宋体" w:cs="Times New Roman"/>
          <w:color w:val="FF0000"/>
          <w:sz w:val="24"/>
          <w:szCs w:val="24"/>
          <w:highlight w:val="none"/>
          <w:lang w:val="en-US" w:eastAsia="zh-CN"/>
        </w:rPr>
        <w:t>-</w:t>
      </w:r>
      <w:r>
        <w:rPr>
          <w:rFonts w:hint="default" w:ascii="Times New Roman" w:hAnsi="Times New Roman" w:eastAsia="宋体" w:cs="Times New Roman"/>
          <w:color w:val="FF0000"/>
          <w:sz w:val="24"/>
          <w:szCs w:val="24"/>
          <w:highlight w:val="none"/>
        </w:rPr>
        <w:t>2013</w:t>
      </w:r>
      <w:r>
        <w:rPr>
          <w:rFonts w:hint="eastAsia" w:ascii="Times New Roman" w:hAnsi="Times New Roman" w:eastAsia="宋体" w:cs="Times New Roman"/>
          <w:color w:val="FF0000"/>
          <w:sz w:val="24"/>
          <w:szCs w:val="24"/>
          <w:highlight w:val="none"/>
          <w:lang w:eastAsia="zh-CN"/>
        </w:rPr>
        <w:t>）</w:t>
      </w:r>
      <w:r>
        <w:rPr>
          <w:rFonts w:hint="default" w:ascii="Times New Roman" w:hAnsi="Times New Roman" w:cs="Times New Roman"/>
          <w:color w:val="FF0000"/>
          <w:sz w:val="24"/>
          <w:szCs w:val="24"/>
          <w:highlight w:val="none"/>
        </w:rPr>
        <w:t>要求进行恢复治理。使其基本恢复原土地利用功能，达到与周边环境一致。</w:t>
      </w:r>
    </w:p>
    <w:p w14:paraId="5E0320EF">
      <w:pPr>
        <w:keepNext w:val="0"/>
        <w:keepLines w:val="0"/>
        <w:pageBreakBefore w:val="0"/>
        <w:widowControl w:val="0"/>
        <w:numPr>
          <w:ilvl w:val="0"/>
          <w:numId w:val="46"/>
        </w:numPr>
        <w:kinsoku/>
        <w:wordWrap/>
        <w:overflowPunct/>
        <w:topLinePunct w:val="0"/>
        <w:autoSpaceDE w:val="0"/>
        <w:autoSpaceDN w:val="0"/>
        <w:bidi w:val="0"/>
        <w:adjustRightInd w:val="0"/>
        <w:snapToGrid/>
        <w:spacing w:beforeLines="0" w:afterLines="0"/>
        <w:ind w:left="0" w:leftChars="0" w:firstLine="480" w:firstLineChars="200"/>
        <w:textAlignment w:val="auto"/>
        <w:rPr>
          <w:rFonts w:hint="eastAsia" w:ascii="Times New Roman" w:hAnsi="Times New Roman" w:eastAsia="宋体" w:cs="Times New Roman"/>
          <w:color w:val="FF0000"/>
          <w:sz w:val="24"/>
          <w:szCs w:val="24"/>
          <w:highlight w:val="none"/>
          <w:lang w:val="en-US" w:eastAsia="zh-CN"/>
        </w:rPr>
      </w:pPr>
      <w:r>
        <w:rPr>
          <w:rFonts w:hint="eastAsia" w:ascii="Times New Roman" w:hAnsi="Times New Roman" w:eastAsia="宋体" w:cs="Times New Roman"/>
          <w:color w:val="FF0000"/>
          <w:sz w:val="24"/>
          <w:szCs w:val="24"/>
          <w:highlight w:val="none"/>
          <w:lang w:val="en-US" w:eastAsia="zh-CN"/>
        </w:rPr>
        <w:t>闭矿后将排土场废料全部回填于露天采坑，</w:t>
      </w:r>
      <w:r>
        <w:rPr>
          <w:rFonts w:hint="default" w:ascii="Times New Roman" w:hAnsi="Times New Roman" w:eastAsia="宋体" w:cs="Times New Roman"/>
          <w:color w:val="FF0000"/>
          <w:sz w:val="24"/>
          <w:szCs w:val="24"/>
          <w:highlight w:val="none"/>
        </w:rPr>
        <w:t>充分利用工程前期收集的表土，覆盖于排土场表层。依据土源实际情况适当覆土</w:t>
      </w:r>
      <w:r>
        <w:rPr>
          <w:rFonts w:hint="eastAsia" w:ascii="Times New Roman" w:hAnsi="Times New Roman" w:eastAsia="宋体" w:cs="Times New Roman"/>
          <w:color w:val="FF0000"/>
          <w:sz w:val="24"/>
          <w:szCs w:val="24"/>
          <w:highlight w:val="none"/>
          <w:lang w:eastAsia="zh-CN"/>
        </w:rPr>
        <w:t>，</w:t>
      </w:r>
      <w:r>
        <w:rPr>
          <w:rFonts w:hint="default" w:ascii="Times New Roman" w:hAnsi="Times New Roman" w:eastAsia="宋体" w:cs="Times New Roman"/>
          <w:color w:val="FF0000"/>
          <w:sz w:val="24"/>
          <w:szCs w:val="24"/>
          <w:highlight w:val="none"/>
        </w:rPr>
        <w:t>若排土场不具备植被恢复条件，应采用砂石等材料覆盖，防止风</w:t>
      </w:r>
      <w:r>
        <w:rPr>
          <w:rFonts w:hint="default" w:ascii="Times New Roman" w:hAnsi="Times New Roman" w:eastAsia="宋体" w:cs="Times New Roman"/>
          <w:color w:val="FF0000"/>
          <w:sz w:val="24"/>
          <w:szCs w:val="24"/>
          <w:highlight w:val="none"/>
          <w:lang w:val="en-US" w:eastAsia="zh-CN"/>
        </w:rPr>
        <w:t>蚀。​</w:t>
      </w:r>
    </w:p>
    <w:p w14:paraId="70446D76">
      <w:pPr>
        <w:keepNext w:val="0"/>
        <w:keepLines w:val="0"/>
        <w:pageBreakBefore w:val="0"/>
        <w:widowControl w:val="0"/>
        <w:numPr>
          <w:ilvl w:val="0"/>
          <w:numId w:val="46"/>
        </w:numPr>
        <w:kinsoku/>
        <w:wordWrap/>
        <w:overflowPunct/>
        <w:topLinePunct w:val="0"/>
        <w:autoSpaceDE w:val="0"/>
        <w:autoSpaceDN w:val="0"/>
        <w:bidi w:val="0"/>
        <w:adjustRightInd w:val="0"/>
        <w:snapToGrid/>
        <w:spacing w:beforeLines="0" w:afterLines="0"/>
        <w:ind w:left="0" w:leftChars="0" w:firstLine="480" w:firstLineChars="200"/>
        <w:textAlignment w:val="auto"/>
        <w:rPr>
          <w:rFonts w:hint="eastAsia" w:ascii="Times New Roman" w:hAnsi="Times New Roman" w:eastAsia="宋体" w:cs="Times New Roman"/>
          <w:color w:val="FF0000"/>
          <w:sz w:val="24"/>
          <w:szCs w:val="24"/>
          <w:highlight w:val="none"/>
          <w:lang w:val="en-US" w:eastAsia="zh-CN"/>
        </w:rPr>
      </w:pPr>
      <w:r>
        <w:rPr>
          <w:rFonts w:hint="eastAsia" w:ascii="Times New Roman" w:hAnsi="Times New Roman" w:eastAsia="宋体" w:cs="Times New Roman"/>
          <w:color w:val="FF0000"/>
          <w:sz w:val="24"/>
          <w:szCs w:val="24"/>
          <w:highlight w:val="none"/>
          <w:lang w:val="en-US" w:eastAsia="zh-CN"/>
        </w:rPr>
        <w:t>闭矿后露天采场需</w:t>
      </w:r>
      <w:r>
        <w:rPr>
          <w:rFonts w:hint="default" w:ascii="Times New Roman" w:hAnsi="Times New Roman" w:eastAsia="宋体" w:cs="Times New Roman"/>
          <w:color w:val="FF0000"/>
          <w:sz w:val="24"/>
          <w:szCs w:val="24"/>
          <w:highlight w:val="none"/>
          <w:lang w:val="en-US" w:eastAsia="zh-CN"/>
        </w:rPr>
        <w:t>依据场地坡度确定整治和覆土</w:t>
      </w:r>
      <w:r>
        <w:rPr>
          <w:rFonts w:hint="eastAsia" w:ascii="Times New Roman" w:hAnsi="Times New Roman" w:eastAsia="宋体" w:cs="Times New Roman"/>
          <w:color w:val="FF0000"/>
          <w:sz w:val="24"/>
          <w:szCs w:val="24"/>
          <w:highlight w:val="none"/>
          <w:lang w:val="en-US" w:eastAsia="zh-CN"/>
        </w:rPr>
        <w:t>，</w:t>
      </w:r>
      <w:r>
        <w:rPr>
          <w:rFonts w:hint="default" w:ascii="Times New Roman" w:hAnsi="Times New Roman" w:eastAsia="宋体" w:cs="Times New Roman"/>
          <w:color w:val="FF0000"/>
          <w:sz w:val="24"/>
          <w:szCs w:val="24"/>
          <w:highlight w:val="none"/>
          <w:lang w:val="en-US" w:eastAsia="zh-CN"/>
        </w:rPr>
        <w:t>充分利用工程前收集的表土和露天采场风化物覆盖于表层，做好水土保持与防风固沙措施。​</w:t>
      </w:r>
    </w:p>
    <w:p w14:paraId="457758A6">
      <w:pPr>
        <w:keepNext w:val="0"/>
        <w:keepLines w:val="0"/>
        <w:pageBreakBefore w:val="0"/>
        <w:widowControl w:val="0"/>
        <w:numPr>
          <w:ilvl w:val="0"/>
          <w:numId w:val="46"/>
        </w:numPr>
        <w:kinsoku/>
        <w:wordWrap/>
        <w:overflowPunct/>
        <w:topLinePunct w:val="0"/>
        <w:autoSpaceDE w:val="0"/>
        <w:autoSpaceDN w:val="0"/>
        <w:bidi w:val="0"/>
        <w:adjustRightInd w:val="0"/>
        <w:snapToGrid/>
        <w:spacing w:beforeLines="0" w:afterLines="0"/>
        <w:ind w:left="0" w:leftChars="0" w:firstLine="480" w:firstLineChars="200"/>
        <w:textAlignment w:val="auto"/>
        <w:rPr>
          <w:rFonts w:hint="default" w:ascii="Times New Roman" w:hAnsi="Times New Roman" w:eastAsia="宋体" w:cs="Times New Roman"/>
          <w:color w:val="FF0000"/>
          <w:sz w:val="24"/>
          <w:szCs w:val="24"/>
          <w:highlight w:val="none"/>
        </w:rPr>
      </w:pPr>
      <w:r>
        <w:rPr>
          <w:rFonts w:hint="default" w:ascii="Times New Roman" w:hAnsi="Times New Roman" w:eastAsia="宋体" w:cs="Times New Roman"/>
          <w:color w:val="FF0000"/>
          <w:sz w:val="24"/>
          <w:szCs w:val="24"/>
          <w:highlight w:val="none"/>
          <w:lang w:val="en-US" w:eastAsia="zh-CN"/>
        </w:rPr>
        <w:t>矿山工业场地不再使用的厂房、堆料场、沉沙设施、垃圾池、管线等各项建（构）筑物及设施，应予以拆除并清理。对场地进行平整后，依据周边环境特点及土地利用规划，开展生态恢复工作。例如，可种植适宜的本地植被，进行绿化美化，使工业广场与周边自然环境和景观相融合，恢复土地的基本功能，实现土地的可持续利用</w:t>
      </w:r>
      <w:r>
        <w:rPr>
          <w:rFonts w:hint="eastAsia" w:ascii="Times New Roman" w:hAnsi="Times New Roman" w:eastAsia="宋体" w:cs="Times New Roman"/>
          <w:color w:val="FF0000"/>
          <w:sz w:val="24"/>
          <w:szCs w:val="24"/>
          <w:highlight w:val="none"/>
          <w:lang w:val="en-US" w:eastAsia="zh-CN"/>
        </w:rPr>
        <w:t>。</w:t>
      </w:r>
    </w:p>
    <w:p w14:paraId="27F5B753">
      <w:pPr>
        <w:spacing w:beforeLines="0" w:afterLines="0"/>
        <w:rPr>
          <w:rFonts w:hint="default" w:ascii="Times New Roman" w:hAnsi="Times New Roman" w:cs="Times New Roman"/>
          <w:color w:val="FF0000"/>
          <w:sz w:val="24"/>
          <w:szCs w:val="24"/>
          <w:highlight w:val="none"/>
        </w:rPr>
      </w:pPr>
      <w:r>
        <w:rPr>
          <w:rFonts w:hint="default" w:ascii="Times New Roman" w:hAnsi="Times New Roman" w:cs="Times New Roman"/>
          <w:color w:val="FF0000"/>
          <w:sz w:val="24"/>
          <w:szCs w:val="24"/>
          <w:highlight w:val="none"/>
        </w:rPr>
        <w:t>采矿形成的采坑、边坡等人工地貌，可能破坏原有地形的连续性，导致地表高低起伏不规则，与周边自然地貌差异显著</w:t>
      </w:r>
      <w:r>
        <w:rPr>
          <w:rFonts w:hint="eastAsia" w:ascii="Times New Roman" w:hAnsi="Times New Roman" w:cs="Times New Roman"/>
          <w:color w:val="FF0000"/>
          <w:sz w:val="24"/>
          <w:szCs w:val="24"/>
          <w:highlight w:val="none"/>
          <w:lang w:eastAsia="zh-CN"/>
        </w:rPr>
        <w:t>；</w:t>
      </w:r>
      <w:r>
        <w:rPr>
          <w:rFonts w:hint="default" w:ascii="Times New Roman" w:hAnsi="Times New Roman" w:cs="Times New Roman"/>
          <w:color w:val="FF0000"/>
          <w:sz w:val="24"/>
          <w:szCs w:val="24"/>
          <w:highlight w:val="none"/>
        </w:rPr>
        <w:t>大面积采空区、裸露矿坑岩壁等人工痕迹，与周边</w:t>
      </w:r>
      <w:r>
        <w:rPr>
          <w:rFonts w:hint="eastAsia" w:ascii="Times New Roman" w:hAnsi="Times New Roman" w:cs="Times New Roman"/>
          <w:color w:val="FF0000"/>
          <w:sz w:val="24"/>
          <w:szCs w:val="24"/>
          <w:highlight w:val="none"/>
          <w:lang w:val="en-US" w:eastAsia="zh-CN"/>
        </w:rPr>
        <w:t>自然</w:t>
      </w:r>
      <w:r>
        <w:rPr>
          <w:rFonts w:hint="default" w:ascii="Times New Roman" w:hAnsi="Times New Roman" w:cs="Times New Roman"/>
          <w:color w:val="FF0000"/>
          <w:sz w:val="24"/>
          <w:szCs w:val="24"/>
          <w:highlight w:val="none"/>
        </w:rPr>
        <w:t>景观形成视觉冲突，破坏区域景观的协调性。</w:t>
      </w:r>
      <w:r>
        <w:rPr>
          <w:rFonts w:hint="eastAsia" w:ascii="Times New Roman" w:hAnsi="Times New Roman" w:cs="Times New Roman"/>
          <w:color w:val="FF0000"/>
          <w:sz w:val="24"/>
          <w:szCs w:val="24"/>
          <w:highlight w:val="none"/>
          <w:lang w:val="en-US" w:eastAsia="zh-CN"/>
        </w:rPr>
        <w:t>闭矿期，要求建设单位对</w:t>
      </w:r>
      <w:r>
        <w:rPr>
          <w:rFonts w:hint="default" w:ascii="Times New Roman" w:hAnsi="Times New Roman" w:cs="Times New Roman"/>
          <w:color w:val="FF0000"/>
          <w:sz w:val="24"/>
          <w:szCs w:val="24"/>
          <w:highlight w:val="none"/>
        </w:rPr>
        <w:t>构筑物</w:t>
      </w:r>
      <w:r>
        <w:rPr>
          <w:rFonts w:hint="eastAsia" w:cs="Times New Roman"/>
          <w:color w:val="FF0000"/>
          <w:sz w:val="24"/>
          <w:szCs w:val="24"/>
          <w:highlight w:val="none"/>
          <w:lang w:val="en-US" w:eastAsia="zh-CN"/>
        </w:rPr>
        <w:t>全部</w:t>
      </w:r>
      <w:r>
        <w:rPr>
          <w:rFonts w:hint="default" w:ascii="Times New Roman" w:hAnsi="Times New Roman" w:cs="Times New Roman"/>
          <w:color w:val="FF0000"/>
          <w:sz w:val="24"/>
          <w:szCs w:val="24"/>
          <w:highlight w:val="none"/>
        </w:rPr>
        <w:t>拆除，生产废料全部回填采坑，</w:t>
      </w:r>
      <w:r>
        <w:rPr>
          <w:rFonts w:hint="eastAsia" w:cs="Times New Roman"/>
          <w:color w:val="FF0000"/>
          <w:sz w:val="24"/>
          <w:szCs w:val="24"/>
          <w:highlight w:val="none"/>
          <w:lang w:val="en-US" w:eastAsia="zh-CN"/>
        </w:rPr>
        <w:t>并进行自然撒草籽自然复绿，</w:t>
      </w:r>
      <w:r>
        <w:rPr>
          <w:rFonts w:hint="default" w:ascii="Times New Roman" w:hAnsi="Times New Roman" w:cs="Times New Roman"/>
          <w:color w:val="FF0000"/>
          <w:sz w:val="24"/>
          <w:szCs w:val="24"/>
          <w:highlight w:val="none"/>
        </w:rPr>
        <w:t>闭矿期各项工程用地恢复到原有土地使用类型，</w:t>
      </w:r>
      <w:r>
        <w:rPr>
          <w:rFonts w:hint="eastAsia" w:cs="Times New Roman"/>
          <w:color w:val="FF0000"/>
          <w:sz w:val="24"/>
          <w:szCs w:val="24"/>
          <w:highlight w:val="none"/>
          <w:lang w:val="en-US" w:eastAsia="zh-CN"/>
        </w:rPr>
        <w:t>形成新的景观格局</w:t>
      </w:r>
      <w:r>
        <w:rPr>
          <w:rFonts w:hint="default" w:ascii="Times New Roman" w:hAnsi="Times New Roman" w:cs="Times New Roman"/>
          <w:color w:val="FF0000"/>
          <w:sz w:val="24"/>
          <w:szCs w:val="24"/>
          <w:highlight w:val="none"/>
        </w:rPr>
        <w:t>。</w:t>
      </w:r>
    </w:p>
    <w:p w14:paraId="79E91B6A">
      <w:pPr>
        <w:rPr>
          <w:rFonts w:ascii="宋体" w:hAnsi="宋体" w:eastAsia="宋体" w:cs="宋体"/>
          <w:color w:val="FF0000"/>
          <w:sz w:val="24"/>
          <w:szCs w:val="24"/>
        </w:rPr>
      </w:pPr>
      <w:r>
        <w:rPr>
          <w:rFonts w:ascii="宋体" w:hAnsi="宋体" w:eastAsia="宋体" w:cs="宋体"/>
          <w:color w:val="FF0000"/>
          <w:sz w:val="24"/>
          <w:szCs w:val="24"/>
        </w:rPr>
        <w:br w:type="page"/>
      </w:r>
    </w:p>
    <w:p w14:paraId="70242E90">
      <w:pPr>
        <w:numPr>
          <w:ilvl w:val="0"/>
          <w:numId w:val="0"/>
        </w:numPr>
        <w:bidi w:val="0"/>
        <w:ind w:firstLine="480" w:firstLineChars="200"/>
        <w:rPr>
          <w:rFonts w:hint="default" w:ascii="宋体" w:hAnsi="宋体" w:eastAsia="宋体" w:cs="宋体"/>
          <w:color w:val="FF0000"/>
          <w:sz w:val="24"/>
          <w:szCs w:val="24"/>
          <w:lang w:val="en-US" w:eastAsia="zh-CN"/>
        </w:rPr>
      </w:pPr>
    </w:p>
    <w:p w14:paraId="61442003">
      <w:pPr>
        <w:pStyle w:val="2"/>
        <w:bidi w:val="0"/>
        <w:rPr>
          <w:rFonts w:hint="default"/>
        </w:rPr>
      </w:pPr>
      <w:bookmarkStart w:id="436" w:name="_Toc23330"/>
      <w:bookmarkStart w:id="437" w:name="_Toc8114"/>
      <w:r>
        <w:rPr>
          <w:rFonts w:hint="default"/>
        </w:rPr>
        <w:t>环境保护措施及其可行性分析</w:t>
      </w:r>
      <w:bookmarkEnd w:id="436"/>
      <w:bookmarkEnd w:id="437"/>
    </w:p>
    <w:p w14:paraId="1CAFE82B">
      <w:pPr>
        <w:pStyle w:val="3"/>
        <w:bidi w:val="0"/>
        <w:rPr>
          <w:rFonts w:hint="default"/>
        </w:rPr>
      </w:pPr>
      <w:bookmarkStart w:id="438" w:name="bookmark32"/>
      <w:bookmarkEnd w:id="438"/>
      <w:bookmarkStart w:id="439" w:name="6.1施工期环境保护措施及其可行性分析"/>
      <w:bookmarkEnd w:id="439"/>
      <w:bookmarkStart w:id="440" w:name="_Toc18697"/>
      <w:bookmarkStart w:id="441" w:name="_Toc1264"/>
      <w:r>
        <w:rPr>
          <w:rFonts w:hint="default"/>
        </w:rPr>
        <w:t>施工期环境保护措施及其可行性分析</w:t>
      </w:r>
      <w:bookmarkEnd w:id="440"/>
      <w:bookmarkEnd w:id="441"/>
    </w:p>
    <w:p w14:paraId="34454E49">
      <w:pPr>
        <w:pStyle w:val="4"/>
        <w:bidi w:val="0"/>
        <w:rPr>
          <w:rFonts w:hint="default"/>
          <w:color w:val="FF0000"/>
        </w:rPr>
      </w:pPr>
      <w:bookmarkStart w:id="442" w:name="6.1.1施工期大气污染防治措施"/>
      <w:bookmarkEnd w:id="442"/>
      <w:r>
        <w:rPr>
          <w:rFonts w:hint="default"/>
          <w:color w:val="FF0000"/>
        </w:rPr>
        <w:t>施工期大气污染防治措施</w:t>
      </w:r>
    </w:p>
    <w:p w14:paraId="7829E7F6">
      <w:pPr>
        <w:bidi w:val="0"/>
        <w:rPr>
          <w:rFonts w:hint="default" w:ascii="Times New Roman" w:hAnsi="Times New Roman" w:cs="Times New Roman"/>
          <w:color w:val="FF0000"/>
          <w:highlight w:val="none"/>
        </w:rPr>
      </w:pPr>
      <w:bookmarkStart w:id="443" w:name="6.1.2施工期废水防治措施"/>
      <w:bookmarkEnd w:id="443"/>
      <w:r>
        <w:rPr>
          <w:rFonts w:hint="default" w:ascii="Times New Roman" w:hAnsi="Times New Roman" w:cs="Times New Roman"/>
          <w:color w:val="FF0000"/>
          <w:highlight w:val="none"/>
          <w:lang w:val="en-US" w:eastAsia="zh-CN"/>
        </w:rPr>
        <w:t>本工程</w:t>
      </w:r>
      <w:r>
        <w:rPr>
          <w:rFonts w:hint="default" w:ascii="Times New Roman" w:hAnsi="Times New Roman" w:cs="Times New Roman"/>
          <w:color w:val="FF0000"/>
          <w:highlight w:val="none"/>
        </w:rPr>
        <w:t>建设施工过程中产生的扬尘将会造成周围大气环境的污染。经类比调查，同类施工工地粉尘的危害较扬尘更为严重。施工期间产生的粉尘污染主要决定于施工作业方式、材料的储运以及风力等因素，其中风力因素的影响最大。为使施工过程中产生的扬尘对周围环境空气的影响降低到最小程度，建议采取以下防护措施：</w:t>
      </w:r>
    </w:p>
    <w:p w14:paraId="4FA8ACAC">
      <w:pPr>
        <w:bidi w:val="0"/>
        <w:rPr>
          <w:rFonts w:hint="default" w:ascii="Times New Roman" w:hAnsi="Times New Roman" w:cs="Times New Roman"/>
          <w:color w:val="FF0000"/>
          <w:highlight w:val="none"/>
          <w:lang w:eastAsia="zh-CN"/>
        </w:rPr>
      </w:pPr>
      <w:r>
        <w:rPr>
          <w:rFonts w:hint="default" w:ascii="Times New Roman" w:hAnsi="Times New Roman" w:cs="Times New Roman"/>
          <w:color w:val="FF0000"/>
          <w:highlight w:val="none"/>
        </w:rPr>
        <w:t>①对于运输沙土</w:t>
      </w:r>
      <w:r>
        <w:rPr>
          <w:rFonts w:hint="default" w:ascii="Times New Roman" w:hAnsi="Times New Roman" w:cs="Times New Roman"/>
          <w:color w:val="FF0000"/>
          <w:highlight w:val="none"/>
          <w:lang w:eastAsia="zh-CN"/>
        </w:rPr>
        <w:t>及其他</w:t>
      </w:r>
      <w:r>
        <w:rPr>
          <w:rFonts w:hint="default" w:ascii="Times New Roman" w:hAnsi="Times New Roman" w:cs="Times New Roman"/>
          <w:color w:val="FF0000"/>
          <w:highlight w:val="none"/>
        </w:rPr>
        <w:t>施工材料、倒运土方的车辆应加盖篷布，以避免运输过程中产生的粉尘影响运输道路沿途的空气质量</w:t>
      </w:r>
      <w:r>
        <w:rPr>
          <w:rFonts w:hint="default" w:ascii="Times New Roman" w:hAnsi="Times New Roman" w:cs="Times New Roman"/>
          <w:color w:val="FF0000"/>
          <w:highlight w:val="none"/>
          <w:lang w:eastAsia="zh-CN"/>
        </w:rPr>
        <w:t>。</w:t>
      </w:r>
    </w:p>
    <w:p w14:paraId="7FACC43B">
      <w:pPr>
        <w:bidi w:val="0"/>
        <w:rPr>
          <w:rFonts w:hint="default" w:ascii="Times New Roman" w:hAnsi="Times New Roman" w:cs="Times New Roman"/>
          <w:color w:val="FF0000"/>
          <w:highlight w:val="none"/>
        </w:rPr>
      </w:pPr>
      <w:r>
        <w:rPr>
          <w:rFonts w:hint="default" w:ascii="Times New Roman" w:hAnsi="Times New Roman" w:cs="Times New Roman"/>
          <w:color w:val="FF0000"/>
          <w:highlight w:val="none"/>
        </w:rPr>
        <w:t>②施工场地四周设防尘彩钢板减少扬尘</w:t>
      </w:r>
      <w:r>
        <w:rPr>
          <w:rFonts w:hint="default" w:ascii="Times New Roman" w:hAnsi="Times New Roman" w:cs="Times New Roman"/>
          <w:color w:val="FF0000"/>
          <w:highlight w:val="none"/>
          <w:lang w:eastAsia="zh-CN"/>
        </w:rPr>
        <w:t>逸散</w:t>
      </w:r>
      <w:r>
        <w:rPr>
          <w:rFonts w:hint="default" w:ascii="Times New Roman" w:hAnsi="Times New Roman" w:cs="Times New Roman"/>
          <w:color w:val="FF0000"/>
          <w:highlight w:val="none"/>
        </w:rPr>
        <w:t>。</w:t>
      </w:r>
    </w:p>
    <w:p w14:paraId="6033D197">
      <w:pPr>
        <w:bidi w:val="0"/>
        <w:rPr>
          <w:rFonts w:hint="default" w:ascii="Times New Roman" w:hAnsi="Times New Roman" w:cs="Times New Roman"/>
          <w:color w:val="FF0000"/>
          <w:highlight w:val="none"/>
        </w:rPr>
      </w:pPr>
      <w:r>
        <w:rPr>
          <w:rFonts w:hint="default" w:ascii="Times New Roman" w:hAnsi="Times New Roman" w:cs="Times New Roman"/>
          <w:color w:val="FF0000"/>
          <w:highlight w:val="none"/>
        </w:rPr>
        <w:t>③运输道路应经常洒水，以减少扬尘污染，限制车辆行驶速度（不大于5km/h）并保持路面的清洁。</w:t>
      </w:r>
    </w:p>
    <w:p w14:paraId="60798967">
      <w:pPr>
        <w:bidi w:val="0"/>
        <w:rPr>
          <w:rFonts w:hint="default" w:ascii="Times New Roman" w:hAnsi="Times New Roman" w:cs="Times New Roman"/>
          <w:color w:val="FF0000"/>
          <w:highlight w:val="none"/>
        </w:rPr>
      </w:pPr>
      <w:r>
        <w:rPr>
          <w:rFonts w:hint="default" w:ascii="Times New Roman" w:hAnsi="Times New Roman" w:cs="Times New Roman"/>
          <w:color w:val="FF0000"/>
          <w:highlight w:val="none"/>
        </w:rPr>
        <w:t>④禁止大风天气施工，避免在大风天气进行大量挖土、堆土及运输土方的工作。</w:t>
      </w:r>
    </w:p>
    <w:p w14:paraId="4D033FF2">
      <w:pPr>
        <w:bidi w:val="0"/>
        <w:rPr>
          <w:rFonts w:hint="default" w:ascii="Times New Roman" w:hAnsi="Times New Roman" w:cs="Times New Roman"/>
          <w:color w:val="FF0000"/>
          <w:highlight w:val="none"/>
        </w:rPr>
      </w:pPr>
      <w:r>
        <w:rPr>
          <w:rFonts w:hint="default" w:ascii="Times New Roman" w:hAnsi="Times New Roman" w:cs="Times New Roman"/>
          <w:color w:val="FF0000"/>
          <w:highlight w:val="none"/>
        </w:rPr>
        <w:t>⑤做好施工现场周边土地平整工作，对挖方产生的临时堆土实行定期喷洒、覆盖等防护措施。</w:t>
      </w:r>
    </w:p>
    <w:p w14:paraId="50F55661">
      <w:pPr>
        <w:bidi w:val="0"/>
        <w:rPr>
          <w:rFonts w:hint="default" w:ascii="Times New Roman" w:hAnsi="Times New Roman" w:cs="Times New Roman"/>
          <w:color w:val="FF0000"/>
          <w:highlight w:val="none"/>
        </w:rPr>
      </w:pPr>
      <w:r>
        <w:rPr>
          <w:rFonts w:hint="default" w:ascii="Times New Roman" w:hAnsi="Times New Roman" w:cs="Times New Roman"/>
          <w:color w:val="FF0000"/>
          <w:highlight w:val="none"/>
        </w:rPr>
        <w:t>⑥施工过程中如遇重污染天气预警，必须立即停止施工。</w:t>
      </w:r>
    </w:p>
    <w:p w14:paraId="7F80B0FF">
      <w:pPr>
        <w:bidi w:val="0"/>
        <w:rPr>
          <w:rFonts w:hint="default" w:ascii="Times New Roman" w:hAnsi="Times New Roman" w:cs="Times New Roman"/>
          <w:color w:val="FF0000"/>
          <w:highlight w:val="none"/>
        </w:rPr>
      </w:pPr>
      <w:r>
        <w:rPr>
          <w:rFonts w:hint="default" w:ascii="Times New Roman" w:hAnsi="Times New Roman" w:cs="Times New Roman"/>
          <w:color w:val="FF0000"/>
          <w:highlight w:val="none"/>
        </w:rPr>
        <w:t>⑦加强对施工车辆的检修和维护，保证施工车辆工况良好，严禁使用超期服役和尾气超标的车辆</w:t>
      </w:r>
      <w:r>
        <w:rPr>
          <w:rFonts w:hint="default" w:ascii="Times New Roman" w:hAnsi="Times New Roman" w:cs="Times New Roman"/>
          <w:color w:val="FF0000"/>
          <w:highlight w:val="none"/>
          <w:lang w:eastAsia="zh-CN"/>
        </w:rPr>
        <w:t>，</w:t>
      </w:r>
      <w:r>
        <w:rPr>
          <w:rFonts w:hint="default" w:ascii="Times New Roman" w:hAnsi="Times New Roman" w:cs="Times New Roman"/>
          <w:color w:val="FF0000"/>
          <w:highlight w:val="none"/>
        </w:rPr>
        <w:t>以降低尾气CO、NO</w:t>
      </w:r>
      <w:r>
        <w:rPr>
          <w:rFonts w:hint="default" w:ascii="Times New Roman" w:hAnsi="Times New Roman" w:cs="Times New Roman"/>
          <w:color w:val="FF0000"/>
          <w:highlight w:val="none"/>
          <w:vertAlign w:val="subscript"/>
        </w:rPr>
        <w:t>X</w:t>
      </w:r>
      <w:r>
        <w:rPr>
          <w:rFonts w:hint="default" w:ascii="Times New Roman" w:hAnsi="Times New Roman" w:cs="Times New Roman"/>
          <w:color w:val="FF0000"/>
          <w:highlight w:val="none"/>
        </w:rPr>
        <w:t>、SO</w:t>
      </w:r>
      <w:r>
        <w:rPr>
          <w:rFonts w:hint="default" w:ascii="Times New Roman" w:hAnsi="Times New Roman" w:cs="Times New Roman"/>
          <w:color w:val="FF0000"/>
          <w:highlight w:val="none"/>
          <w:vertAlign w:val="subscript"/>
        </w:rPr>
        <w:t>2</w:t>
      </w:r>
      <w:r>
        <w:rPr>
          <w:rFonts w:hint="default" w:ascii="Times New Roman" w:hAnsi="Times New Roman" w:cs="Times New Roman"/>
          <w:color w:val="FF0000"/>
          <w:highlight w:val="none"/>
        </w:rPr>
        <w:t>等的排放。</w:t>
      </w:r>
    </w:p>
    <w:p w14:paraId="66856B1E">
      <w:pPr>
        <w:bidi w:val="0"/>
        <w:rPr>
          <w:rFonts w:hint="default" w:ascii="Times New Roman" w:hAnsi="Times New Roman" w:eastAsia="宋体" w:cs="Times New Roman"/>
          <w:color w:val="FF0000"/>
          <w:highlight w:val="none"/>
          <w:lang w:val="en-US" w:eastAsia="zh-CN"/>
        </w:rPr>
      </w:pPr>
      <w:r>
        <w:rPr>
          <w:rFonts w:hint="default" w:ascii="Times New Roman" w:hAnsi="Times New Roman" w:cs="Times New Roman"/>
          <w:color w:val="FF0000"/>
          <w:highlight w:val="none"/>
        </w:rPr>
        <w:t>⑧</w:t>
      </w:r>
      <w:r>
        <w:rPr>
          <w:rFonts w:hint="default" w:ascii="Times New Roman" w:hAnsi="Times New Roman" w:cs="Times New Roman"/>
          <w:color w:val="FF0000"/>
          <w:highlight w:val="none"/>
          <w:lang w:val="en-US" w:eastAsia="zh-CN"/>
        </w:rPr>
        <w:t>施工场地</w:t>
      </w:r>
      <w:r>
        <w:rPr>
          <w:rFonts w:hint="default" w:ascii="Times New Roman" w:hAnsi="Times New Roman" w:cs="Times New Roman"/>
          <w:color w:val="FF0000"/>
          <w:highlight w:val="none"/>
        </w:rPr>
        <w:t>对于露天堆放的砂石等散状材料，应使用密目网进行覆盖。</w:t>
      </w:r>
    </w:p>
    <w:p w14:paraId="7A47924A">
      <w:pPr>
        <w:bidi w:val="0"/>
        <w:rPr>
          <w:rFonts w:hint="default" w:ascii="Times New Roman" w:hAnsi="Times New Roman" w:cs="Times New Roman"/>
          <w:color w:val="FF0000"/>
          <w:highlight w:val="none"/>
        </w:rPr>
      </w:pPr>
      <w:r>
        <w:rPr>
          <w:rFonts w:hint="default" w:ascii="Times New Roman" w:hAnsi="Times New Roman" w:cs="Times New Roman"/>
          <w:color w:val="FF0000"/>
          <w:highlight w:val="none"/>
          <w:lang w:val="en-US" w:eastAsia="zh-CN"/>
        </w:rPr>
        <w:fldChar w:fldCharType="begin"/>
      </w:r>
      <w:r>
        <w:rPr>
          <w:rFonts w:hint="default" w:ascii="Times New Roman" w:hAnsi="Times New Roman" w:cs="Times New Roman"/>
          <w:color w:val="FF0000"/>
          <w:highlight w:val="none"/>
          <w:lang w:val="en-US" w:eastAsia="zh-CN"/>
        </w:rPr>
        <w:instrText xml:space="preserve"> = 9 \* GB3 \* MERGEFORMAT </w:instrText>
      </w:r>
      <w:r>
        <w:rPr>
          <w:rFonts w:hint="default" w:ascii="Times New Roman" w:hAnsi="Times New Roman" w:cs="Times New Roman"/>
          <w:color w:val="FF0000"/>
          <w:highlight w:val="none"/>
          <w:lang w:val="en-US" w:eastAsia="zh-CN"/>
        </w:rPr>
        <w:fldChar w:fldCharType="separate"/>
      </w:r>
      <w:r>
        <w:rPr>
          <w:rFonts w:hint="default" w:ascii="Times New Roman" w:hAnsi="Times New Roman" w:cs="Times New Roman"/>
          <w:color w:val="FF0000"/>
          <w:highlight w:val="none"/>
        </w:rPr>
        <w:t>⑨</w:t>
      </w:r>
      <w:r>
        <w:rPr>
          <w:rFonts w:hint="default" w:ascii="Times New Roman" w:hAnsi="Times New Roman" w:cs="Times New Roman"/>
          <w:color w:val="FF0000"/>
          <w:highlight w:val="none"/>
          <w:lang w:val="en-US" w:eastAsia="zh-CN"/>
        </w:rPr>
        <w:fldChar w:fldCharType="end"/>
      </w:r>
      <w:r>
        <w:rPr>
          <w:rFonts w:hint="default" w:ascii="Times New Roman" w:hAnsi="Times New Roman" w:cs="Times New Roman"/>
          <w:color w:val="FF0000"/>
          <w:highlight w:val="none"/>
        </w:rPr>
        <w:t>施工过程中禁止将废弃的建筑材料作为燃料燃烧，工地食堂应尽量使用清洁燃料。</w:t>
      </w:r>
    </w:p>
    <w:p w14:paraId="380D3BC1">
      <w:pPr>
        <w:bidi w:val="0"/>
        <w:rPr>
          <w:rFonts w:hint="default" w:ascii="Times New Roman" w:hAnsi="Times New Roman" w:eastAsia="宋体" w:cs="Times New Roman"/>
          <w:color w:val="FF0000"/>
          <w:highlight w:val="none"/>
          <w:lang w:val="en-US" w:eastAsia="zh-CN"/>
        </w:rPr>
      </w:pPr>
      <w:r>
        <w:rPr>
          <w:rFonts w:hint="default" w:ascii="Times New Roman" w:hAnsi="Times New Roman" w:cs="Times New Roman"/>
          <w:color w:val="FF0000"/>
          <w:highlight w:val="none"/>
        </w:rPr>
        <w:fldChar w:fldCharType="begin"/>
      </w:r>
      <w:r>
        <w:rPr>
          <w:rFonts w:hint="default" w:ascii="Times New Roman" w:hAnsi="Times New Roman" w:cs="Times New Roman"/>
          <w:color w:val="FF0000"/>
          <w:highlight w:val="none"/>
        </w:rPr>
        <w:instrText xml:space="preserve"> = 10 \* GB3 \* MERGEFORMAT </w:instrText>
      </w:r>
      <w:r>
        <w:rPr>
          <w:rFonts w:hint="default" w:ascii="Times New Roman" w:hAnsi="Times New Roman" w:cs="Times New Roman"/>
          <w:color w:val="FF0000"/>
          <w:highlight w:val="none"/>
        </w:rPr>
        <w:fldChar w:fldCharType="separate"/>
      </w:r>
      <w:r>
        <w:rPr>
          <w:color w:val="FF0000"/>
        </w:rPr>
        <w:t>⑩</w:t>
      </w:r>
      <w:r>
        <w:rPr>
          <w:rFonts w:hint="default" w:ascii="Times New Roman" w:hAnsi="Times New Roman" w:cs="Times New Roman"/>
          <w:color w:val="FF0000"/>
          <w:highlight w:val="none"/>
        </w:rPr>
        <w:fldChar w:fldCharType="end"/>
      </w:r>
      <w:r>
        <w:rPr>
          <w:rFonts w:hint="eastAsia" w:cs="Times New Roman"/>
          <w:color w:val="FF0000"/>
          <w:highlight w:val="none"/>
          <w:lang w:val="en-US" w:eastAsia="zh-CN"/>
        </w:rPr>
        <w:t>本项目施工时产生的表土集中堆放于表土堆场，表土堆场要进行及时覆盖，并定期进行洒水抑尘。</w:t>
      </w:r>
    </w:p>
    <w:p w14:paraId="1B66642D">
      <w:pPr>
        <w:pStyle w:val="4"/>
        <w:bidi w:val="0"/>
        <w:rPr>
          <w:rFonts w:hint="default"/>
        </w:rPr>
      </w:pPr>
      <w:r>
        <w:rPr>
          <w:rFonts w:hint="default"/>
        </w:rPr>
        <w:t>施工期废水防治措施</w:t>
      </w:r>
    </w:p>
    <w:p w14:paraId="58349DDE">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施工过程中产生的施工废水和生活废水，应该有必要的处理措施：</w:t>
      </w:r>
    </w:p>
    <w:p w14:paraId="7B7BBAE8">
      <w:pPr>
        <w:numPr>
          <w:ilvl w:val="0"/>
          <w:numId w:val="47"/>
        </w:num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施工废水主要是含有沙粒废水，可以建立一个临时沉沙池，沉淀后回用于施工或用于施工场地洒水降尘。</w:t>
      </w:r>
    </w:p>
    <w:p w14:paraId="47CC605F">
      <w:pPr>
        <w:numPr>
          <w:ilvl w:val="0"/>
          <w:numId w:val="47"/>
        </w:num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本次环评要求，矿区应优先配套建设一套一体化污水处理设施，施工人员生活污水可直接排入矿区办公生活区内一体化污水处理设施，施工期生活污水经处理后，用于矿区洒水降尘。</w:t>
      </w:r>
    </w:p>
    <w:p w14:paraId="1AF0241E">
      <w:pPr>
        <w:pStyle w:val="4"/>
        <w:bidi w:val="0"/>
        <w:rPr>
          <w:rFonts w:hint="default"/>
        </w:rPr>
      </w:pPr>
      <w:bookmarkStart w:id="444" w:name="6.1.3施工期噪声防治措施"/>
      <w:bookmarkEnd w:id="444"/>
      <w:r>
        <w:rPr>
          <w:rFonts w:hint="default"/>
        </w:rPr>
        <w:t>施工期噪声防治措施</w:t>
      </w:r>
    </w:p>
    <w:p w14:paraId="2F84920D">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aps w:val="0"/>
          <w:color w:val="auto"/>
          <w:spacing w:val="0"/>
          <w:position w:val="0"/>
          <w:highlight w:val="none"/>
        </w:rPr>
      </w:pPr>
      <w:bookmarkStart w:id="445" w:name="6.1.4施工期固体废物防治措施"/>
      <w:bookmarkEnd w:id="445"/>
      <w:r>
        <w:rPr>
          <w:rFonts w:hint="default" w:ascii="Times New Roman" w:hAnsi="Times New Roman" w:eastAsia="宋体" w:cs="Times New Roman"/>
          <w:caps w:val="0"/>
          <w:color w:val="auto"/>
          <w:spacing w:val="0"/>
          <w:position w:val="0"/>
          <w:highlight w:val="none"/>
        </w:rPr>
        <w:t>(1)制订施工计划时应避免同时使用大量高噪声设备施工，除此之外，高噪声机械施工时间要安排在日间，禁止夜间施工，白天车辆</w:t>
      </w:r>
      <w:r>
        <w:rPr>
          <w:rFonts w:hint="default" w:ascii="Times New Roman" w:hAnsi="Times New Roman" w:cs="Times New Roman"/>
          <w:caps w:val="0"/>
          <w:color w:val="auto"/>
          <w:spacing w:val="0"/>
          <w:position w:val="0"/>
          <w:highlight w:val="none"/>
          <w:lang w:val="en-US" w:eastAsia="zh-CN"/>
        </w:rPr>
        <w:t>行驶</w:t>
      </w:r>
      <w:r>
        <w:rPr>
          <w:rFonts w:hint="default" w:ascii="Times New Roman" w:hAnsi="Times New Roman" w:eastAsia="宋体" w:cs="Times New Roman"/>
          <w:caps w:val="0"/>
          <w:color w:val="auto"/>
          <w:spacing w:val="0"/>
          <w:position w:val="0"/>
          <w:highlight w:val="none"/>
        </w:rPr>
        <w:t>时，尽量不鸣喇叭。</w:t>
      </w:r>
    </w:p>
    <w:p w14:paraId="1274C0A9">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aps w:val="0"/>
          <w:color w:val="auto"/>
          <w:spacing w:val="0"/>
          <w:position w:val="0"/>
          <w:highlight w:val="none"/>
        </w:rPr>
      </w:pPr>
      <w:r>
        <w:rPr>
          <w:rFonts w:hint="default" w:ascii="Times New Roman" w:hAnsi="Times New Roman" w:eastAsia="宋体" w:cs="Times New Roman"/>
          <w:caps w:val="0"/>
          <w:color w:val="auto"/>
          <w:spacing w:val="0"/>
          <w:position w:val="0"/>
          <w:highlight w:val="none"/>
        </w:rPr>
        <w:t>(2)合理布局施工现场，避免在同一地点安排大量动力机械设备，以防止局部声级过高。对一些施工位置相对固定的高噪施工设备，可以在棚内操作的尽量进入操作间，如木工机械、线材切割机等设备应远离厂内人群活动密集区域，必要时采取声屏障等措施。</w:t>
      </w:r>
    </w:p>
    <w:p w14:paraId="37E6E19C">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aps w:val="0"/>
          <w:color w:val="auto"/>
          <w:spacing w:val="0"/>
          <w:position w:val="0"/>
          <w:highlight w:val="none"/>
        </w:rPr>
      </w:pPr>
      <w:r>
        <w:rPr>
          <w:rFonts w:hint="default" w:ascii="Times New Roman" w:hAnsi="Times New Roman" w:eastAsia="宋体" w:cs="Times New Roman"/>
          <w:caps w:val="0"/>
          <w:color w:val="auto"/>
          <w:spacing w:val="0"/>
          <w:position w:val="0"/>
          <w:highlight w:val="none"/>
        </w:rPr>
        <w:t>(3)设备选型上应采用低噪声设备，如液压机械代替燃油机械，振捣器采用高频振捣器等。固定机械设备与挖土、运土机械(如挖土机、推土机等)可通过排气管消声器和隔离发动机振动部件的方法降低噪声；设备常因松动部件的振动或消声器的损坏而增加其工作时的噪声级。对动力机械设备进行定期的维修、养护。运输车辆进入现场应减速，并减少鸣笛。</w:t>
      </w:r>
    </w:p>
    <w:p w14:paraId="4EC7F31E">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aps w:val="0"/>
          <w:color w:val="auto"/>
          <w:spacing w:val="0"/>
          <w:position w:val="0"/>
          <w:highlight w:val="none"/>
        </w:rPr>
      </w:pPr>
      <w:r>
        <w:rPr>
          <w:rFonts w:hint="default" w:ascii="Times New Roman" w:hAnsi="Times New Roman" w:eastAsia="宋体" w:cs="Times New Roman"/>
          <w:caps w:val="0"/>
          <w:color w:val="auto"/>
          <w:spacing w:val="0"/>
          <w:position w:val="0"/>
          <w:highlight w:val="none"/>
        </w:rPr>
        <w:t>(4)合理安排运输车辆的路线和行驶速度</w:t>
      </w:r>
      <w:r>
        <w:rPr>
          <w:rFonts w:hint="default" w:ascii="Times New Roman" w:hAnsi="Times New Roman" w:cs="Times New Roman"/>
          <w:caps w:val="0"/>
          <w:color w:val="auto"/>
          <w:spacing w:val="0"/>
          <w:position w:val="0"/>
          <w:highlight w:val="none"/>
          <w:lang w:eastAsia="zh-CN"/>
        </w:rPr>
        <w:t>，</w:t>
      </w:r>
      <w:r>
        <w:rPr>
          <w:rFonts w:hint="default" w:ascii="Times New Roman" w:hAnsi="Times New Roman" w:cs="Times New Roman"/>
          <w:caps w:val="0"/>
          <w:color w:val="auto"/>
          <w:spacing w:val="0"/>
          <w:position w:val="0"/>
          <w:highlight w:val="none"/>
        </w:rPr>
        <w:t>尤其在沿途穿过居民比较集中的路段时，应减速行驶，禁止鸣笛</w:t>
      </w:r>
      <w:r>
        <w:rPr>
          <w:rFonts w:hint="default" w:ascii="Times New Roman" w:hAnsi="Times New Roman" w:eastAsia="宋体" w:cs="Times New Roman"/>
          <w:caps w:val="0"/>
          <w:color w:val="auto"/>
          <w:spacing w:val="0"/>
          <w:position w:val="0"/>
          <w:highlight w:val="none"/>
        </w:rPr>
        <w:t>。</w:t>
      </w:r>
    </w:p>
    <w:p w14:paraId="03BFA1E6">
      <w:pPr>
        <w:pStyle w:val="4"/>
        <w:bidi w:val="0"/>
        <w:rPr>
          <w:rFonts w:hint="default"/>
        </w:rPr>
      </w:pPr>
      <w:r>
        <w:rPr>
          <w:rFonts w:hint="default"/>
        </w:rPr>
        <w:t>施工期固体废物防治措施</w:t>
      </w:r>
    </w:p>
    <w:p w14:paraId="693F3F47">
      <w:pPr>
        <w:bidi w:val="0"/>
        <w:rPr>
          <w:rFonts w:hint="default" w:ascii="Times New Roman" w:hAnsi="Times New Roman" w:cs="Times New Roman"/>
          <w:color w:val="auto"/>
          <w:highlight w:val="none"/>
        </w:rPr>
      </w:pPr>
      <w:bookmarkStart w:id="446" w:name="6.1.5施工期生态保护措施"/>
      <w:bookmarkEnd w:id="446"/>
      <w:r>
        <w:rPr>
          <w:rFonts w:hint="default" w:ascii="Times New Roman" w:hAnsi="Times New Roman" w:cs="Times New Roman"/>
          <w:color w:val="auto"/>
          <w:highlight w:val="none"/>
        </w:rPr>
        <w:t>施工时由于</w:t>
      </w:r>
      <w:r>
        <w:rPr>
          <w:rFonts w:hint="default" w:ascii="Times New Roman" w:hAnsi="Times New Roman" w:cs="Times New Roman"/>
          <w:color w:val="auto"/>
          <w:highlight w:val="none"/>
          <w:lang w:eastAsia="zh-CN"/>
        </w:rPr>
        <w:t>表土剥离、</w:t>
      </w:r>
      <w:r>
        <w:rPr>
          <w:rFonts w:hint="default" w:ascii="Times New Roman" w:hAnsi="Times New Roman" w:cs="Times New Roman"/>
          <w:color w:val="auto"/>
          <w:highlight w:val="none"/>
        </w:rPr>
        <w:t>工业场地建设平整土地</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建设构筑物等过程中会产生一定量的施工余土、废石和部分建筑垃圾。</w:t>
      </w:r>
    </w:p>
    <w:p w14:paraId="62913AF0">
      <w:pPr>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施工所产生的弃土、弃渣应全部用于回填</w:t>
      </w:r>
      <w:r>
        <w:rPr>
          <w:rFonts w:hint="default" w:ascii="Times New Roman" w:hAnsi="Times New Roman" w:cs="Times New Roman"/>
          <w:color w:val="auto"/>
          <w:highlight w:val="none"/>
          <w:lang w:eastAsia="zh-CN"/>
        </w:rPr>
        <w:t>矿区低洼地</w:t>
      </w:r>
      <w:r>
        <w:rPr>
          <w:rFonts w:hint="default" w:ascii="Times New Roman" w:hAnsi="Times New Roman" w:cs="Times New Roman"/>
          <w:color w:val="auto"/>
          <w:highlight w:val="none"/>
        </w:rPr>
        <w:t>，平整</w:t>
      </w:r>
      <w:r>
        <w:rPr>
          <w:rFonts w:hint="default" w:ascii="Times New Roman" w:hAnsi="Times New Roman" w:cs="Times New Roman"/>
          <w:color w:val="auto"/>
          <w:highlight w:val="none"/>
          <w:lang w:eastAsia="zh-CN"/>
        </w:rPr>
        <w:t>地面</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废</w:t>
      </w:r>
      <w:r>
        <w:rPr>
          <w:rFonts w:hint="default" w:ascii="Times New Roman" w:hAnsi="Times New Roman" w:cs="Times New Roman"/>
          <w:color w:val="auto"/>
          <w:highlight w:val="none"/>
          <w:lang w:val="en-US" w:eastAsia="zh-CN"/>
        </w:rPr>
        <w:t>料</w:t>
      </w:r>
      <w:r>
        <w:rPr>
          <w:rFonts w:hint="default" w:ascii="Times New Roman" w:hAnsi="Times New Roman" w:cs="Times New Roman"/>
          <w:color w:val="auto"/>
          <w:highlight w:val="none"/>
          <w:lang w:eastAsia="zh-CN"/>
        </w:rPr>
        <w:t>堆存</w:t>
      </w:r>
      <w:r>
        <w:rPr>
          <w:rFonts w:hint="default" w:ascii="Times New Roman" w:hAnsi="Times New Roman" w:cs="Times New Roman"/>
          <w:color w:val="auto"/>
          <w:highlight w:val="none"/>
        </w:rPr>
        <w:t>于矿区规划的</w:t>
      </w:r>
      <w:r>
        <w:rPr>
          <w:rFonts w:hint="default" w:ascii="Times New Roman" w:hAnsi="Times New Roman" w:cs="Times New Roman"/>
          <w:color w:val="auto"/>
          <w:highlight w:val="none"/>
          <w:lang w:val="en-US" w:eastAsia="zh-CN"/>
        </w:rPr>
        <w:t>排土场</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后期用于恢复</w:t>
      </w:r>
      <w:r>
        <w:rPr>
          <w:rFonts w:hint="default" w:ascii="Times New Roman" w:hAnsi="Times New Roman" w:cs="Times New Roman"/>
          <w:color w:val="auto"/>
          <w:highlight w:val="none"/>
          <w:lang w:val="en-US" w:eastAsia="zh-CN"/>
        </w:rPr>
        <w:t>采区</w:t>
      </w:r>
      <w:r>
        <w:rPr>
          <w:rFonts w:hint="default" w:ascii="Times New Roman" w:hAnsi="Times New Roman" w:cs="Times New Roman"/>
          <w:color w:val="auto"/>
          <w:highlight w:val="none"/>
        </w:rPr>
        <w:t>。并配备相应管理人员，加强现场监管。</w:t>
      </w:r>
    </w:p>
    <w:p w14:paraId="01190073">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施工区垃圾具有分散、不易收集等特点，对其处理措施有以下几方面：</w:t>
      </w:r>
    </w:p>
    <w:p w14:paraId="5C4F7022">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w:t>
      </w:r>
      <w:r>
        <w:rPr>
          <w:rFonts w:hint="default" w:ascii="Times New Roman" w:hAnsi="Times New Roman" w:cs="Times New Roman"/>
          <w:color w:val="auto"/>
          <w:highlight w:val="none"/>
          <w:lang w:val="en-US" w:eastAsia="zh-CN"/>
        </w:rPr>
        <w:t>厂区</w:t>
      </w:r>
      <w:r>
        <w:rPr>
          <w:rFonts w:hint="default" w:ascii="Times New Roman" w:hAnsi="Times New Roman" w:cs="Times New Roman"/>
          <w:color w:val="auto"/>
          <w:highlight w:val="none"/>
        </w:rPr>
        <w:t>设置加盖垃圾箱，</w:t>
      </w:r>
      <w:r>
        <w:rPr>
          <w:rFonts w:hint="default" w:ascii="Times New Roman" w:hAnsi="Times New Roman" w:cs="Times New Roman"/>
          <w:color w:val="auto"/>
          <w:highlight w:val="none"/>
          <w:lang w:val="en-US" w:eastAsia="zh-CN"/>
        </w:rPr>
        <w:t>垃圾分类收集</w:t>
      </w:r>
      <w:r>
        <w:rPr>
          <w:rFonts w:hint="default" w:ascii="Times New Roman" w:hAnsi="Times New Roman" w:cs="Times New Roman"/>
          <w:color w:val="auto"/>
          <w:highlight w:val="none"/>
        </w:rPr>
        <w:t>。</w:t>
      </w:r>
    </w:p>
    <w:p w14:paraId="5132BA74">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（2）配设垃圾清运员及相应工具，由专人及时进行垃圾的清运工作。</w:t>
      </w:r>
    </w:p>
    <w:p w14:paraId="77689329">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（3）做好垃圾收集及处理的规划工作，将清运后的垃圾倒入指定的垃圾</w:t>
      </w:r>
      <w:r>
        <w:rPr>
          <w:rFonts w:hint="default" w:ascii="Times New Roman" w:hAnsi="Times New Roman" w:cs="Times New Roman"/>
          <w:color w:val="auto"/>
          <w:highlight w:val="none"/>
          <w:lang w:eastAsia="zh-CN"/>
        </w:rPr>
        <w:t>填埋</w:t>
      </w:r>
      <w:r>
        <w:rPr>
          <w:rFonts w:hint="default" w:ascii="Times New Roman" w:hAnsi="Times New Roman" w:cs="Times New Roman"/>
          <w:color w:val="auto"/>
          <w:highlight w:val="none"/>
        </w:rPr>
        <w:t>场中，避免由于垃圾处置不当而造成二次污染。</w:t>
      </w:r>
    </w:p>
    <w:p w14:paraId="04D7F1AD">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各施工区作业结束后，要及时、全面地进行清场工作，不得</w:t>
      </w:r>
      <w:r>
        <w:rPr>
          <w:rFonts w:hint="default" w:ascii="Times New Roman" w:hAnsi="Times New Roman" w:cs="Times New Roman"/>
          <w:color w:val="auto"/>
          <w:highlight w:val="none"/>
          <w:lang w:eastAsia="zh-CN"/>
        </w:rPr>
        <w:t>遗留</w:t>
      </w:r>
      <w:r>
        <w:rPr>
          <w:rFonts w:hint="default" w:ascii="Times New Roman" w:hAnsi="Times New Roman" w:cs="Times New Roman"/>
          <w:color w:val="auto"/>
          <w:highlight w:val="none"/>
        </w:rPr>
        <w:t>垃圾。</w:t>
      </w:r>
    </w:p>
    <w:p w14:paraId="18F558EA">
      <w:pPr>
        <w:pStyle w:val="4"/>
        <w:bidi w:val="0"/>
        <w:rPr>
          <w:rFonts w:hint="default"/>
        </w:rPr>
      </w:pPr>
      <w:r>
        <w:rPr>
          <w:rFonts w:hint="default"/>
        </w:rPr>
        <w:t>施工期生态保护措施</w:t>
      </w:r>
    </w:p>
    <w:p w14:paraId="630EC7BB">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项目施工过程中，剥离的表土作为复垦用土；现场施工机械和人员活动范围严格限制在作业带范围内，道路施工便道的宽度控制在8m，尽量减少施工破坏面；场内外道路工程所需的填方由挖方解决，所需砂、砾石料由当地现有商业料场购买，不设专门土料场及砂、砾石料场，以避免各分散施工场地的弃土随意堆放；施工作业结束后，结合水土保持方案做好施工迹地的恢复。</w:t>
      </w:r>
    </w:p>
    <w:p w14:paraId="1F163918">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（1）做好本工程的施工组织规划工作，明确工程可能扰动和破坏的范围，要做到少占地。</w:t>
      </w:r>
    </w:p>
    <w:p w14:paraId="47E43BBC">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高度重视原有地表对维护本区生态稳定的重要性，加强对施工队伍的宣传、教育和管理。做好施工组织规划工作，严禁将建设施工材料乱堆乱放，划定适宜的堆料场等临时性场所，以防止植被破坏的范围增大。</w:t>
      </w:r>
    </w:p>
    <w:p w14:paraId="3150192E">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（3）加强宣传教育，严禁采矿人员折损植物，碾踩植被和土壤，尽量避免</w:t>
      </w:r>
      <w:r>
        <w:rPr>
          <w:rFonts w:hint="default" w:ascii="Times New Roman" w:hAnsi="Times New Roman" w:cs="Times New Roman"/>
          <w:color w:val="auto"/>
          <w:highlight w:val="none"/>
          <w:lang w:val="en-US" w:eastAsia="zh-CN"/>
        </w:rPr>
        <w:t>因</w:t>
      </w:r>
      <w:r>
        <w:rPr>
          <w:rFonts w:hint="default" w:ascii="Times New Roman" w:hAnsi="Times New Roman" w:cs="Times New Roman"/>
          <w:color w:val="auto"/>
          <w:highlight w:val="none"/>
        </w:rPr>
        <w:t>人为活动对植被和土壤造成的不利影响；不得捕杀野生动物或随意捣毁动物的巢穴。</w:t>
      </w:r>
    </w:p>
    <w:p w14:paraId="528DB673">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（4）加强对工作人员进行环境保护知识教育，提高工作人员的环境保护意识，以减少人为因素对植被的破坏。</w:t>
      </w:r>
    </w:p>
    <w:p w14:paraId="2D0EDC65">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（5）施工机械和运输工具应在规划的道路上行驶，严禁随意行驶，碾压植被，严禁破坏工程区内的植被，将植被损失降至最低。施工结束后，应选择适应当地环境的</w:t>
      </w:r>
      <w:r>
        <w:rPr>
          <w:rFonts w:hint="default" w:ascii="Times New Roman" w:hAnsi="Times New Roman" w:cs="Times New Roman"/>
          <w:color w:val="auto"/>
          <w:highlight w:val="none"/>
          <w:lang w:val="en-US" w:eastAsia="zh-CN"/>
        </w:rPr>
        <w:t>草种</w:t>
      </w:r>
      <w:r>
        <w:rPr>
          <w:rFonts w:hint="default" w:ascii="Times New Roman" w:hAnsi="Times New Roman" w:cs="Times New Roman"/>
          <w:color w:val="auto"/>
          <w:highlight w:val="none"/>
        </w:rPr>
        <w:t>对</w:t>
      </w:r>
      <w:r>
        <w:rPr>
          <w:rFonts w:hint="default" w:ascii="Times New Roman" w:hAnsi="Times New Roman" w:cs="Times New Roman"/>
          <w:color w:val="auto"/>
          <w:highlight w:val="none"/>
          <w:lang w:val="en-US" w:eastAsia="zh-CN"/>
        </w:rPr>
        <w:t>施工</w:t>
      </w:r>
      <w:r>
        <w:rPr>
          <w:rFonts w:hint="default" w:ascii="Times New Roman" w:hAnsi="Times New Roman" w:cs="Times New Roman"/>
          <w:color w:val="auto"/>
          <w:highlight w:val="none"/>
        </w:rPr>
        <w:t>场地进行绿化。</w:t>
      </w:r>
    </w:p>
    <w:p w14:paraId="7E5B4AA1">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（6）工程施工活动严格控制在划定的范围内，为防止对天然植被及土壤的破坏，对地面建（构）筑物的布置应以</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尽量减少占地、避免对植被的破坏</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为原则，在总平面布置上充分利用自然地形，本着有利于雨水排除和减少土方量的原则，尽量减少土石方量和占地面积，提高场地利用系数。</w:t>
      </w:r>
    </w:p>
    <w:p w14:paraId="1016681A">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（7）合理规划</w:t>
      </w:r>
      <w:r>
        <w:rPr>
          <w:rFonts w:hint="default" w:ascii="Times New Roman" w:hAnsi="Times New Roman" w:cs="Times New Roman"/>
          <w:color w:val="auto"/>
          <w:highlight w:val="none"/>
          <w:lang w:eastAsia="zh-CN"/>
        </w:rPr>
        <w:t>场地道路</w:t>
      </w:r>
      <w:r>
        <w:rPr>
          <w:rFonts w:hint="default" w:ascii="Times New Roman" w:hAnsi="Times New Roman" w:cs="Times New Roman"/>
          <w:color w:val="auto"/>
          <w:highlight w:val="none"/>
        </w:rPr>
        <w:t>，防止汽车乱轧乱碾。</w:t>
      </w:r>
    </w:p>
    <w:p w14:paraId="0151C9C0">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（8）施工期工业场地产生的挖方全部用于填方，剩余部分用于矿区道路建设。</w:t>
      </w:r>
    </w:p>
    <w:p w14:paraId="7377E483">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（9）在施工过程中，要严格控制扰动面积，特别是加强施工过程的管理。</w:t>
      </w:r>
    </w:p>
    <w:p w14:paraId="2957BC90">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（10）尽量采取清洁和高效的生产技术及减少生态环境破坏的施工方式，并且优化施工布局，精心组织管理。</w:t>
      </w:r>
    </w:p>
    <w:p w14:paraId="615A0831">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11）尽量减少对区域内植被的破坏，对在植被盖度相对较高的区域进行的相关作业时，应预先剥离表层植毡层和将灌丛集中移植到条件较好的地方，以备矿区进行场地恢复时重新覆盖和移植在表面，尽快恢复其生态原貌。</w:t>
      </w:r>
    </w:p>
    <w:p w14:paraId="3B6A1BF6">
      <w:pPr>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（12）施工结束后恢复施工迹地，对施工迹地和弃方进行合理平整、利用、清运，减少水土流失。</w:t>
      </w:r>
      <w:r>
        <w:rPr>
          <w:rFonts w:hint="default" w:ascii="Times New Roman" w:hAnsi="Times New Roman" w:cs="Times New Roman"/>
          <w:color w:val="auto"/>
          <w:highlight w:val="none"/>
          <w:lang w:eastAsia="zh-CN"/>
        </w:rPr>
        <w:t>严格划定弃渣堆存场位置，减少弃渣堆存时间，尽快用于道路建设，弃渣采用编制网覆盖，避免造成雨水冲刷。</w:t>
      </w:r>
    </w:p>
    <w:p w14:paraId="585618CC">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（13）植被保护措施</w:t>
      </w:r>
    </w:p>
    <w:p w14:paraId="5F37744C">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施工机械及人员行走路线应避开植被区，建筑物、堆场与永久性、临时设施应尽量避开有植被的地区。设立明显标志指明行车路线，运输车辆不得随意驶离道路，碾压施工场地周围的植被。施工后期对各类临时占地进行适当平整，保持一定粗糙度并洒水固定，以利于植被恢复。</w:t>
      </w:r>
    </w:p>
    <w:p w14:paraId="12ABB19B">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（14）野生动物保护</w:t>
      </w:r>
    </w:p>
    <w:p w14:paraId="21BE82F9">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加强施工人员的管理，要求施工单位和人员严格遵守国家法令、坚决禁止捕猎任何野生动物，爱护施工活动附近所有的动植物。</w:t>
      </w:r>
    </w:p>
    <w:p w14:paraId="1D3314BC">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（15）生态敏感目标保护措施</w:t>
      </w:r>
    </w:p>
    <w:p w14:paraId="407DC22D">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施工阶段加强监督管理，严禁向</w:t>
      </w:r>
      <w:r>
        <w:rPr>
          <w:rFonts w:hint="default" w:ascii="Times New Roman" w:hAnsi="Times New Roman" w:cs="Times New Roman"/>
          <w:color w:val="auto"/>
          <w:highlight w:val="none"/>
          <w:lang w:val="en-US" w:eastAsia="zh-CN"/>
        </w:rPr>
        <w:t>封禁保护区</w:t>
      </w:r>
      <w:r>
        <w:rPr>
          <w:rFonts w:hint="default" w:ascii="Times New Roman" w:hAnsi="Times New Roman" w:cs="Times New Roman"/>
          <w:color w:val="auto"/>
          <w:highlight w:val="none"/>
          <w:lang w:eastAsia="zh-CN"/>
        </w:rPr>
        <w:t>内倾倒废渣、生活垃圾、施工废水。洒漏的机械油污等进行回收处理，杜绝其进入</w:t>
      </w:r>
      <w:r>
        <w:rPr>
          <w:rFonts w:hint="default" w:ascii="Times New Roman" w:hAnsi="Times New Roman" w:cs="Times New Roman"/>
          <w:color w:val="auto"/>
          <w:highlight w:val="none"/>
          <w:lang w:val="en-US" w:eastAsia="zh-CN"/>
        </w:rPr>
        <w:t>封禁保护区</w:t>
      </w:r>
      <w:r>
        <w:rPr>
          <w:rFonts w:hint="default" w:ascii="Times New Roman" w:hAnsi="Times New Roman" w:cs="Times New Roman"/>
          <w:color w:val="auto"/>
          <w:highlight w:val="none"/>
          <w:lang w:eastAsia="zh-CN"/>
        </w:rPr>
        <w:t>范围。</w:t>
      </w:r>
      <w:r>
        <w:rPr>
          <w:rFonts w:hint="default" w:ascii="Times New Roman" w:hAnsi="Times New Roman" w:cs="Times New Roman"/>
          <w:color w:val="auto"/>
          <w:highlight w:val="none"/>
          <w:lang w:val="en-US" w:eastAsia="zh-CN"/>
        </w:rPr>
        <w:t>与此同时，</w:t>
      </w:r>
      <w:r>
        <w:rPr>
          <w:rFonts w:hint="default" w:ascii="Times New Roman" w:hAnsi="Times New Roman" w:cs="Times New Roman"/>
          <w:color w:val="auto"/>
          <w:highlight w:val="none"/>
          <w:lang w:eastAsia="zh-CN"/>
        </w:rPr>
        <w:t>禁止施工人员及</w:t>
      </w:r>
      <w:r>
        <w:rPr>
          <w:rFonts w:hint="default" w:ascii="Times New Roman" w:hAnsi="Times New Roman" w:cs="Times New Roman"/>
          <w:color w:val="auto"/>
          <w:highlight w:val="none"/>
        </w:rPr>
        <w:t>施工机械</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运输工具</w:t>
      </w:r>
      <w:r>
        <w:rPr>
          <w:rFonts w:hint="default" w:ascii="Times New Roman" w:hAnsi="Times New Roman" w:cs="Times New Roman"/>
          <w:color w:val="auto"/>
          <w:highlight w:val="none"/>
          <w:lang w:eastAsia="zh-CN"/>
        </w:rPr>
        <w:t>进入</w:t>
      </w:r>
      <w:r>
        <w:rPr>
          <w:rFonts w:hint="default" w:ascii="Times New Roman" w:hAnsi="Times New Roman" w:cs="Times New Roman"/>
          <w:color w:val="auto"/>
          <w:highlight w:val="none"/>
          <w:lang w:val="en-US" w:eastAsia="zh-CN"/>
        </w:rPr>
        <w:t>封禁保护区</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严禁随意行驶，碾压植被。加强宣传教育，严禁采矿人员折损</w:t>
      </w:r>
      <w:r>
        <w:rPr>
          <w:rFonts w:hint="default" w:ascii="Times New Roman" w:hAnsi="Times New Roman" w:cs="Times New Roman"/>
          <w:color w:val="auto"/>
          <w:highlight w:val="none"/>
          <w:lang w:val="en-US" w:eastAsia="zh-CN"/>
        </w:rPr>
        <w:t>封禁保护区范围</w:t>
      </w:r>
      <w:r>
        <w:rPr>
          <w:rFonts w:hint="default" w:ascii="Times New Roman" w:hAnsi="Times New Roman" w:cs="Times New Roman"/>
          <w:color w:val="auto"/>
          <w:highlight w:val="none"/>
        </w:rPr>
        <w:t>植物，碾踩植被和土壤，不得捕杀野生动物。</w:t>
      </w:r>
    </w:p>
    <w:p w14:paraId="19CC5E11">
      <w:pPr>
        <w:pStyle w:val="4"/>
        <w:bidi w:val="0"/>
        <w:rPr>
          <w:rFonts w:hint="default"/>
          <w:color w:val="FF0000"/>
        </w:rPr>
      </w:pPr>
      <w:r>
        <w:rPr>
          <w:rFonts w:ascii="宋体" w:hAnsi="宋体" w:eastAsia="宋体" w:cs="宋体"/>
          <w:color w:val="FF0000"/>
          <w:sz w:val="24"/>
          <w:szCs w:val="24"/>
        </w:rPr>
        <w:t>水土流失保护</w:t>
      </w:r>
      <w:r>
        <w:rPr>
          <w:rFonts w:hint="eastAsia" w:ascii="宋体" w:hAnsi="宋体" w:eastAsia="宋体" w:cs="宋体"/>
          <w:color w:val="FF0000"/>
          <w:sz w:val="24"/>
          <w:szCs w:val="24"/>
          <w:lang w:val="en-US" w:eastAsia="zh-CN"/>
        </w:rPr>
        <w:t>措施</w:t>
      </w:r>
    </w:p>
    <w:p w14:paraId="3B33B7DE">
      <w:pPr>
        <w:bidi w:val="0"/>
        <w:rPr>
          <w:rFonts w:hint="eastAsia" w:ascii="Times New Roman" w:hAnsi="Times New Roman" w:eastAsia="宋体" w:cs="Times New Roman"/>
          <w:color w:val="FF0000"/>
          <w:highlight w:val="none"/>
          <w:lang w:val="en-US" w:eastAsia="zh-CN"/>
        </w:rPr>
      </w:pPr>
      <w:r>
        <w:rPr>
          <w:rFonts w:hint="default" w:ascii="Times New Roman" w:hAnsi="Times New Roman" w:eastAsia="宋体" w:cs="Times New Roman"/>
          <w:color w:val="FF0000"/>
          <w:highlight w:val="none"/>
        </w:rPr>
        <w:t>施工期开挖作业严格按照设计红线范围进行，严禁多挖多占；</w:t>
      </w:r>
      <w:r>
        <w:rPr>
          <w:rFonts w:hint="eastAsia" w:ascii="Times New Roman" w:hAnsi="Times New Roman" w:eastAsia="宋体" w:cs="Times New Roman"/>
          <w:color w:val="FF0000"/>
          <w:highlight w:val="none"/>
          <w:lang w:val="en-US" w:eastAsia="zh-CN"/>
        </w:rPr>
        <w:t>采矿初期剥离的表土集中堆放至表土堆场，</w:t>
      </w:r>
      <w:r>
        <w:rPr>
          <w:rFonts w:hint="default" w:ascii="Times New Roman" w:hAnsi="Times New Roman" w:eastAsia="宋体" w:cs="Times New Roman"/>
          <w:color w:val="FF0000"/>
          <w:highlight w:val="none"/>
        </w:rPr>
        <w:t>加盖防雨防水苫布，防止雨水冲刷造成水土流失</w:t>
      </w:r>
      <w:r>
        <w:rPr>
          <w:rFonts w:hint="eastAsia" w:ascii="Times New Roman" w:hAnsi="Times New Roman" w:eastAsia="宋体" w:cs="Times New Roman"/>
          <w:color w:val="FF0000"/>
          <w:highlight w:val="none"/>
          <w:lang w:eastAsia="zh-CN"/>
        </w:rPr>
        <w:t>，</w:t>
      </w:r>
      <w:r>
        <w:rPr>
          <w:rFonts w:hint="default" w:ascii="Times New Roman" w:hAnsi="Times New Roman" w:eastAsia="宋体" w:cs="Times New Roman"/>
          <w:color w:val="FF0000"/>
          <w:highlight w:val="none"/>
        </w:rPr>
        <w:t>待</w:t>
      </w:r>
      <w:r>
        <w:rPr>
          <w:rFonts w:hint="eastAsia" w:ascii="Times New Roman" w:hAnsi="Times New Roman" w:eastAsia="宋体" w:cs="Times New Roman"/>
          <w:color w:val="FF0000"/>
          <w:highlight w:val="none"/>
          <w:lang w:val="en-US" w:eastAsia="zh-CN"/>
        </w:rPr>
        <w:t>运营期边开采，边复垦时回填采矿区。表土周边设置拦挡设施，周围设置排水沟</w:t>
      </w:r>
      <w:r>
        <w:rPr>
          <w:rFonts w:hint="default" w:ascii="Times New Roman" w:hAnsi="Times New Roman" w:eastAsia="宋体" w:cs="Times New Roman"/>
          <w:color w:val="FF0000"/>
          <w:highlight w:val="none"/>
          <w:lang w:val="en-US" w:eastAsia="zh-CN"/>
        </w:rPr>
        <w:t>；</w:t>
      </w:r>
      <w:r>
        <w:rPr>
          <w:rFonts w:hint="eastAsia" w:ascii="Times New Roman" w:hAnsi="Times New Roman" w:eastAsia="宋体" w:cs="Times New Roman"/>
          <w:color w:val="FF0000"/>
          <w:highlight w:val="none"/>
          <w:lang w:val="en-US" w:eastAsia="zh-CN"/>
        </w:rPr>
        <w:t>排土场严格按“先拦后弃”原则，</w:t>
      </w:r>
      <w:r>
        <w:rPr>
          <w:rFonts w:hint="default" w:ascii="Times New Roman" w:hAnsi="Times New Roman" w:eastAsia="宋体" w:cs="Times New Roman"/>
          <w:color w:val="FF0000"/>
          <w:highlight w:val="none"/>
          <w:lang w:val="en-US" w:eastAsia="zh-CN"/>
        </w:rPr>
        <w:t>弃渣堆放时分层碾压（压实度≥90%），每层厚度不超过 2m，边坡坡度控制在1:2以内，顶面平整并设置5%的排水坡度</w:t>
      </w:r>
      <w:r>
        <w:rPr>
          <w:rFonts w:hint="eastAsia" w:ascii="Times New Roman" w:hAnsi="Times New Roman" w:eastAsia="宋体" w:cs="Times New Roman"/>
          <w:color w:val="FF0000"/>
          <w:highlight w:val="none"/>
          <w:lang w:val="en-US" w:eastAsia="zh-CN"/>
        </w:rPr>
        <w:t>；</w:t>
      </w:r>
    </w:p>
    <w:p w14:paraId="72B33859">
      <w:pPr>
        <w:bidi w:val="0"/>
        <w:rPr>
          <w:rFonts w:hint="default" w:ascii="Times New Roman" w:hAnsi="Times New Roman" w:eastAsia="宋体" w:cs="Times New Roman"/>
          <w:color w:val="FF0000"/>
          <w:highlight w:val="none"/>
        </w:rPr>
      </w:pPr>
      <w:r>
        <w:rPr>
          <w:rFonts w:hint="default" w:ascii="Times New Roman" w:hAnsi="Times New Roman" w:eastAsia="宋体" w:cs="Times New Roman"/>
          <w:color w:val="FF0000"/>
          <w:highlight w:val="none"/>
        </w:rPr>
        <w:t>划定施工红线，严禁破坏红线外的原生植被（区域的梭梭、沙拐枣等）。对施工区周边30m范围内的保护植被，设置刺铁丝围栏（高度1.5m，立柱间距3m），并悬挂警示牌，禁止车辆碾压和人员砍伐。</w:t>
      </w:r>
    </w:p>
    <w:p w14:paraId="53E14E5F">
      <w:pPr>
        <w:pStyle w:val="3"/>
        <w:bidi w:val="0"/>
        <w:rPr>
          <w:rFonts w:hint="default"/>
        </w:rPr>
      </w:pPr>
      <w:bookmarkStart w:id="447" w:name="_Toc32370"/>
      <w:bookmarkStart w:id="448" w:name="_Toc19696"/>
      <w:r>
        <w:rPr>
          <w:rFonts w:hint="default"/>
        </w:rPr>
        <w:t>运营期环境保护措施及其可行性分析</w:t>
      </w:r>
      <w:bookmarkEnd w:id="447"/>
      <w:bookmarkEnd w:id="448"/>
    </w:p>
    <w:p w14:paraId="4762F65E">
      <w:pPr>
        <w:pStyle w:val="4"/>
        <w:bidi w:val="0"/>
        <w:rPr>
          <w:rFonts w:hint="default"/>
        </w:rPr>
      </w:pPr>
      <w:bookmarkStart w:id="449" w:name="6.2.1大气污染防治措施"/>
      <w:bookmarkEnd w:id="449"/>
      <w:r>
        <w:rPr>
          <w:rFonts w:hint="default"/>
        </w:rPr>
        <w:t>大气污染防治措施</w:t>
      </w:r>
    </w:p>
    <w:p w14:paraId="0EE51622">
      <w:pPr>
        <w:numPr>
          <w:ilvl w:val="0"/>
          <w:numId w:val="48"/>
        </w:num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露天开采粉尘</w:t>
      </w:r>
    </w:p>
    <w:p w14:paraId="7F624569">
      <w:pPr>
        <w:numPr>
          <w:ilvl w:val="0"/>
          <w:numId w:val="0"/>
        </w:numPr>
        <w:spacing w:beforeLines="0" w:afterLines="0"/>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本项目天然石英砂矿</w:t>
      </w:r>
      <w:r>
        <w:rPr>
          <w:rFonts w:hint="default" w:ascii="Times New Roman" w:hAnsi="Times New Roman" w:cs="Times New Roman"/>
          <w:color w:val="auto"/>
          <w:sz w:val="24"/>
          <w:szCs w:val="24"/>
          <w:highlight w:val="none"/>
          <w:lang w:val="en-US" w:eastAsia="zh-CN"/>
        </w:rPr>
        <w:t>采取</w:t>
      </w:r>
      <w:r>
        <w:rPr>
          <w:rFonts w:hint="default" w:ascii="Times New Roman" w:hAnsi="Times New Roman" w:cs="Times New Roman"/>
          <w:color w:val="auto"/>
          <w:sz w:val="24"/>
          <w:szCs w:val="24"/>
          <w:highlight w:val="none"/>
        </w:rPr>
        <w:t>露天开采</w:t>
      </w:r>
      <w:r>
        <w:rPr>
          <w:rFonts w:hint="default" w:ascii="Times New Roman" w:hAnsi="Times New Roman" w:cs="Times New Roman"/>
          <w:color w:val="auto"/>
          <w:sz w:val="24"/>
          <w:szCs w:val="24"/>
          <w:highlight w:val="none"/>
          <w:lang w:val="en-US" w:eastAsia="zh-CN"/>
        </w:rPr>
        <w:t>方式</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挖掘机采装、自卸汽车运输开采工艺，挖掘过程中会产生无组织粉尘，</w:t>
      </w:r>
      <w:r>
        <w:rPr>
          <w:rFonts w:hint="default" w:ascii="Times New Roman" w:hAnsi="Times New Roman" w:cs="Times New Roman"/>
          <w:color w:val="auto"/>
          <w:sz w:val="24"/>
          <w:szCs w:val="24"/>
          <w:highlight w:val="none"/>
          <w:lang w:val="en-US" w:eastAsia="zh-CN"/>
        </w:rPr>
        <w:t>采取</w:t>
      </w:r>
      <w:r>
        <w:rPr>
          <w:rFonts w:hint="default" w:ascii="Times New Roman" w:hAnsi="Times New Roman" w:cs="Times New Roman"/>
          <w:color w:val="auto"/>
          <w:sz w:val="24"/>
          <w:szCs w:val="24"/>
          <w:highlight w:val="none"/>
        </w:rPr>
        <w:t>分区分片开采</w:t>
      </w:r>
      <w:r>
        <w:rPr>
          <w:rFonts w:hint="default" w:ascii="Times New Roman" w:hAnsi="Times New Roman" w:cs="Times New Roman"/>
          <w:color w:val="auto"/>
          <w:sz w:val="24"/>
          <w:szCs w:val="24"/>
          <w:highlight w:val="none"/>
          <w:lang w:val="en-US" w:eastAsia="zh-CN"/>
        </w:rPr>
        <w:t>并</w:t>
      </w:r>
      <w:r>
        <w:rPr>
          <w:rFonts w:hint="default" w:ascii="Times New Roman" w:hAnsi="Times New Roman" w:cs="Times New Roman"/>
          <w:color w:val="auto"/>
          <w:sz w:val="24"/>
          <w:szCs w:val="24"/>
          <w:highlight w:val="none"/>
        </w:rPr>
        <w:t>配套移动式雾炮机降尘等措施，以减少工作面的粉尘产生量。</w:t>
      </w:r>
    </w:p>
    <w:p w14:paraId="66085FA2">
      <w:pPr>
        <w:numPr>
          <w:ilvl w:val="0"/>
          <w:numId w:val="48"/>
        </w:numPr>
        <w:spacing w:beforeLines="0" w:afterLines="0"/>
        <w:ind w:left="0" w:leftChars="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筛分粉尘</w:t>
      </w:r>
    </w:p>
    <w:p w14:paraId="203DA2CD">
      <w:pPr>
        <w:numPr>
          <w:ilvl w:val="0"/>
          <w:numId w:val="0"/>
        </w:numPr>
        <w:spacing w:beforeLines="0" w:afterLines="0"/>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本项目筛分过程中会产生筛分粉尘</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通过配套设置“集气罩+布袋除尘器”除尘，</w:t>
      </w:r>
      <w:r>
        <w:rPr>
          <w:rFonts w:hint="default" w:ascii="Times New Roman" w:hAnsi="Times New Roman" w:cs="Times New Roman"/>
          <w:color w:val="auto"/>
          <w:sz w:val="24"/>
          <w:szCs w:val="24"/>
          <w:highlight w:val="none"/>
          <w:lang w:val="en-US" w:eastAsia="zh-CN"/>
        </w:rPr>
        <w:t>废气</w:t>
      </w:r>
      <w:r>
        <w:rPr>
          <w:rFonts w:hint="default" w:ascii="Times New Roman" w:hAnsi="Times New Roman" w:cs="Times New Roman"/>
          <w:color w:val="auto"/>
          <w:sz w:val="24"/>
          <w:szCs w:val="24"/>
          <w:highlight w:val="none"/>
        </w:rPr>
        <w:t>处理后经15m排气筒排放，除尘效率可达99</w:t>
      </w:r>
      <w:r>
        <w:rPr>
          <w:rFonts w:hint="default" w:ascii="Times New Roman" w:hAnsi="Times New Roman" w:cs="Times New Roman"/>
          <w:color w:val="auto"/>
          <w:sz w:val="24"/>
          <w:szCs w:val="24"/>
          <w:highlight w:val="none"/>
          <w:lang w:val="en-US" w:eastAsia="zh-CN"/>
        </w:rPr>
        <w:t>.6</w:t>
      </w:r>
      <w:r>
        <w:rPr>
          <w:rFonts w:hint="default" w:ascii="Times New Roman" w:hAnsi="Times New Roman" w:cs="Times New Roman"/>
          <w:color w:val="auto"/>
          <w:sz w:val="24"/>
          <w:szCs w:val="24"/>
          <w:highlight w:val="none"/>
        </w:rPr>
        <w:t>%。</w:t>
      </w:r>
    </w:p>
    <w:p w14:paraId="110D02FB">
      <w:pPr>
        <w:numPr>
          <w:ilvl w:val="0"/>
          <w:numId w:val="48"/>
        </w:numPr>
        <w:spacing w:beforeLines="0" w:afterLines="0"/>
        <w:ind w:left="0" w:leftChars="0" w:firstLine="480" w:firstLineChars="200"/>
        <w:rPr>
          <w:rFonts w:hint="default" w:ascii="Times New Roman" w:hAnsi="Times New Roman" w:cs="Times New Roman"/>
          <w:color w:val="00B050"/>
          <w:sz w:val="24"/>
          <w:szCs w:val="24"/>
          <w:highlight w:val="none"/>
          <w:lang w:val="en-US" w:eastAsia="zh-CN"/>
        </w:rPr>
      </w:pPr>
      <w:r>
        <w:rPr>
          <w:rFonts w:hint="default" w:ascii="Times New Roman" w:hAnsi="Times New Roman" w:cs="Times New Roman"/>
          <w:color w:val="00B050"/>
          <w:sz w:val="24"/>
          <w:szCs w:val="24"/>
          <w:highlight w:val="none"/>
          <w:lang w:val="en-US" w:eastAsia="zh-CN"/>
        </w:rPr>
        <w:t>烘干废气</w:t>
      </w:r>
    </w:p>
    <w:p w14:paraId="14937539">
      <w:pPr>
        <w:bidi w:val="0"/>
        <w:rPr>
          <w:rFonts w:hint="default" w:ascii="Times New Roman" w:hAnsi="Times New Roman" w:cs="Times New Roman"/>
          <w:color w:val="auto"/>
          <w:highlight w:val="none"/>
        </w:rPr>
      </w:pPr>
      <w:r>
        <w:rPr>
          <w:rFonts w:hint="default" w:ascii="Times New Roman" w:hAnsi="Times New Roman" w:cs="Times New Roman"/>
          <w:color w:val="00B050"/>
          <w:highlight w:val="none"/>
          <w:lang w:val="en-US" w:eastAsia="zh-CN"/>
        </w:rPr>
        <w:t>石英砂烘干热源采用</w:t>
      </w:r>
      <w:r>
        <w:rPr>
          <w:rFonts w:hint="eastAsia" w:cs="Times New Roman"/>
          <w:color w:val="00B050"/>
          <w:highlight w:val="none"/>
          <w:lang w:val="en-US" w:eastAsia="zh-CN"/>
        </w:rPr>
        <w:t>电</w:t>
      </w:r>
      <w:r>
        <w:rPr>
          <w:rFonts w:hint="default" w:ascii="Times New Roman" w:hAnsi="Times New Roman" w:cs="Times New Roman"/>
          <w:color w:val="00B050"/>
          <w:highlight w:val="none"/>
          <w:lang w:val="en-US" w:eastAsia="zh-CN"/>
        </w:rPr>
        <w:t>，热风与石英砂直接接触，石英砂在热风的作用下，会有粉尘产生，</w:t>
      </w:r>
      <w:r>
        <w:rPr>
          <w:rFonts w:hint="default" w:ascii="Times New Roman" w:hAnsi="Times New Roman" w:cs="Times New Roman"/>
          <w:color w:val="00B050"/>
          <w:highlight w:val="none"/>
        </w:rPr>
        <w:t>烘干</w:t>
      </w:r>
      <w:r>
        <w:rPr>
          <w:rFonts w:hint="eastAsia" w:cs="Times New Roman"/>
          <w:color w:val="00B050"/>
          <w:highlight w:val="none"/>
          <w:lang w:val="en-US" w:eastAsia="zh-CN"/>
        </w:rPr>
        <w:t>废气</w:t>
      </w:r>
      <w:r>
        <w:rPr>
          <w:rFonts w:hint="default" w:ascii="Times New Roman" w:hAnsi="Times New Roman" w:cs="Times New Roman"/>
          <w:color w:val="00B050"/>
          <w:highlight w:val="none"/>
        </w:rPr>
        <w:t>通过引风机（总风量为</w:t>
      </w:r>
      <w:r>
        <w:rPr>
          <w:rFonts w:hint="default" w:ascii="Times New Roman" w:hAnsi="Times New Roman" w:cs="Times New Roman"/>
          <w:color w:val="00B050"/>
          <w:highlight w:val="none"/>
          <w:lang w:val="en-US" w:eastAsia="zh-CN"/>
        </w:rPr>
        <w:t>1</w:t>
      </w:r>
      <w:r>
        <w:rPr>
          <w:rFonts w:hint="eastAsia" w:ascii="Times New Roman" w:hAnsi="Times New Roman" w:cs="Times New Roman"/>
          <w:color w:val="00B050"/>
          <w:highlight w:val="none"/>
          <w:lang w:val="en-US" w:eastAsia="zh-CN"/>
        </w:rPr>
        <w:t>2</w:t>
      </w:r>
      <w:r>
        <w:rPr>
          <w:rFonts w:hint="default" w:ascii="Times New Roman" w:hAnsi="Times New Roman" w:cs="Times New Roman"/>
          <w:color w:val="00B050"/>
          <w:highlight w:val="none"/>
          <w:lang w:val="en-US" w:eastAsia="zh-CN"/>
        </w:rPr>
        <w:t>0</w:t>
      </w:r>
      <w:r>
        <w:rPr>
          <w:rFonts w:hint="default" w:ascii="Times New Roman" w:hAnsi="Times New Roman" w:cs="Times New Roman"/>
          <w:color w:val="00B050"/>
          <w:highlight w:val="none"/>
        </w:rPr>
        <w:t>00m</w:t>
      </w:r>
      <w:r>
        <w:rPr>
          <w:rFonts w:hint="default" w:ascii="Times New Roman" w:hAnsi="Times New Roman" w:cs="Times New Roman"/>
          <w:color w:val="00B050"/>
          <w:highlight w:val="none"/>
          <w:vertAlign w:val="superscript"/>
        </w:rPr>
        <w:t>3</w:t>
      </w:r>
      <w:r>
        <w:rPr>
          <w:rFonts w:hint="default" w:ascii="Times New Roman" w:hAnsi="Times New Roman" w:cs="Times New Roman"/>
          <w:color w:val="00B050"/>
          <w:highlight w:val="none"/>
        </w:rPr>
        <w:t>/h）引入布袋除尘器（除尘效率达99</w:t>
      </w:r>
      <w:r>
        <w:rPr>
          <w:rFonts w:hint="default" w:ascii="Times New Roman" w:hAnsi="Times New Roman" w:cs="Times New Roman"/>
          <w:color w:val="00B050"/>
          <w:highlight w:val="none"/>
          <w:lang w:val="en-US" w:eastAsia="zh-CN"/>
        </w:rPr>
        <w:t>.6</w:t>
      </w:r>
      <w:r>
        <w:rPr>
          <w:rFonts w:hint="default" w:ascii="Times New Roman" w:hAnsi="Times New Roman" w:cs="Times New Roman"/>
          <w:color w:val="00B050"/>
          <w:highlight w:val="none"/>
        </w:rPr>
        <w:t>%以上）中进行处理后通过一根高15m排气筒排放</w:t>
      </w:r>
      <w:r>
        <w:rPr>
          <w:rFonts w:hint="default" w:ascii="Times New Roman" w:hAnsi="Times New Roman" w:cs="Times New Roman"/>
          <w:color w:val="00B050"/>
          <w:highlight w:val="none"/>
          <w:lang w:eastAsia="zh-CN"/>
        </w:rPr>
        <w:t>，</w:t>
      </w:r>
      <w:r>
        <w:rPr>
          <w:rFonts w:hint="default" w:ascii="Times New Roman" w:hAnsi="Times New Roman" w:cs="Times New Roman"/>
          <w:color w:val="00B050"/>
          <w:highlight w:val="none"/>
        </w:rPr>
        <w:t>颗粒物有组织排放浓度满足《</w:t>
      </w:r>
      <w:r>
        <w:rPr>
          <w:rFonts w:hint="default" w:ascii="Times New Roman" w:hAnsi="Times New Roman" w:cs="Times New Roman"/>
          <w:color w:val="00B050"/>
          <w:highlight w:val="none"/>
          <w:lang w:val="en-US" w:eastAsia="zh-CN"/>
        </w:rPr>
        <w:t>新疆维吾尔自治区工业炉窑大气污染综合治理实施方案</w:t>
      </w:r>
      <w:r>
        <w:rPr>
          <w:rFonts w:hint="default" w:ascii="Times New Roman" w:hAnsi="Times New Roman" w:cs="Times New Roman"/>
          <w:color w:val="00B050"/>
          <w:highlight w:val="none"/>
        </w:rPr>
        <w:t>》的通知：“重点区域原则上颗粒物排放限值分别不高于30毫克/立方米”。</w:t>
      </w:r>
    </w:p>
    <w:p w14:paraId="7710BE88">
      <w:pPr>
        <w:numPr>
          <w:ilvl w:val="0"/>
          <w:numId w:val="48"/>
        </w:numPr>
        <w:spacing w:beforeLines="0" w:afterLines="0"/>
        <w:ind w:left="0" w:leftChars="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堆场粉尘治理</w:t>
      </w:r>
    </w:p>
    <w:p w14:paraId="70D0D58E">
      <w:pPr>
        <w:spacing w:beforeLines="0" w:afterLines="0"/>
        <w:rPr>
          <w:rFonts w:hint="default" w:ascii="Times New Roman" w:hAnsi="Times New Roman" w:eastAsia="宋体" w:cs="Times New Roman"/>
          <w:color w:val="FF0000"/>
          <w:sz w:val="24"/>
          <w:szCs w:val="24"/>
          <w:highlight w:val="none"/>
          <w:lang w:val="en-US" w:eastAsia="zh-CN"/>
        </w:rPr>
      </w:pPr>
      <w:r>
        <w:rPr>
          <w:rFonts w:hint="default" w:ascii="Times New Roman" w:hAnsi="Times New Roman" w:cs="Times New Roman"/>
          <w:color w:val="auto"/>
          <w:sz w:val="24"/>
          <w:szCs w:val="24"/>
          <w:highlight w:val="none"/>
        </w:rPr>
        <w:t>运营期</w:t>
      </w:r>
      <w:r>
        <w:rPr>
          <w:rFonts w:hint="default" w:ascii="Times New Roman" w:hAnsi="Times New Roman" w:cs="Times New Roman"/>
          <w:color w:val="auto"/>
          <w:sz w:val="24"/>
          <w:szCs w:val="24"/>
          <w:highlight w:val="none"/>
          <w:lang w:val="en-US" w:eastAsia="zh-CN"/>
        </w:rPr>
        <w:t>排土场</w:t>
      </w:r>
      <w:r>
        <w:rPr>
          <w:rFonts w:hint="default" w:ascii="Times New Roman" w:hAnsi="Times New Roman" w:cs="Times New Roman"/>
          <w:color w:val="auto"/>
          <w:sz w:val="24"/>
          <w:szCs w:val="24"/>
          <w:highlight w:val="none"/>
        </w:rPr>
        <w:t>及表土堆场</w:t>
      </w:r>
      <w:r>
        <w:rPr>
          <w:rFonts w:hint="eastAsia" w:cs="Times New Roman"/>
          <w:color w:val="auto"/>
          <w:sz w:val="24"/>
          <w:szCs w:val="24"/>
          <w:highlight w:val="none"/>
          <w:lang w:val="en-US" w:eastAsia="zh-CN"/>
        </w:rPr>
        <w:t>应按照设计要求</w:t>
      </w:r>
      <w:r>
        <w:rPr>
          <w:rFonts w:hint="eastAsia" w:ascii="Times New Roman" w:hAnsi="Times New Roman" w:eastAsia="宋体" w:cs="Times New Roman"/>
          <w:color w:val="auto"/>
          <w:sz w:val="24"/>
          <w:szCs w:val="24"/>
          <w:highlight w:val="none"/>
          <w:lang w:val="en-US" w:eastAsia="zh-CN"/>
        </w:rPr>
        <w:t>进行分层堆放，</w:t>
      </w:r>
      <w:r>
        <w:rPr>
          <w:rFonts w:hint="default" w:ascii="Times New Roman" w:hAnsi="Times New Roman" w:cs="Times New Roman"/>
          <w:color w:val="auto"/>
          <w:sz w:val="24"/>
          <w:szCs w:val="24"/>
          <w:highlight w:val="none"/>
          <w:lang w:val="en-US" w:eastAsia="zh-CN"/>
        </w:rPr>
        <w:t>采取</w:t>
      </w:r>
      <w:r>
        <w:rPr>
          <w:rFonts w:hint="default" w:ascii="Times New Roman" w:hAnsi="Times New Roman" w:cs="Times New Roman"/>
          <w:color w:val="auto"/>
          <w:sz w:val="24"/>
          <w:szCs w:val="24"/>
          <w:highlight w:val="none"/>
        </w:rPr>
        <w:t>定期洒水，</w:t>
      </w:r>
      <w:r>
        <w:rPr>
          <w:rFonts w:hint="default" w:ascii="Times New Roman" w:hAnsi="Times New Roman" w:cs="Times New Roman"/>
          <w:color w:val="auto"/>
          <w:sz w:val="24"/>
          <w:szCs w:val="24"/>
          <w:highlight w:val="none"/>
          <w:lang w:val="en-US" w:eastAsia="zh-CN"/>
        </w:rPr>
        <w:t>篷布</w:t>
      </w:r>
      <w:r>
        <w:rPr>
          <w:rFonts w:hint="default" w:ascii="Times New Roman" w:hAnsi="Times New Roman" w:cs="Times New Roman"/>
          <w:color w:val="auto"/>
          <w:sz w:val="24"/>
          <w:szCs w:val="24"/>
          <w:highlight w:val="none"/>
        </w:rPr>
        <w:t>遮盖</w:t>
      </w:r>
      <w:r>
        <w:rPr>
          <w:rFonts w:hint="default" w:ascii="Times New Roman" w:hAnsi="Times New Roman" w:cs="Times New Roman"/>
          <w:color w:val="auto"/>
          <w:sz w:val="24"/>
          <w:szCs w:val="24"/>
          <w:highlight w:val="none"/>
          <w:lang w:val="en-US" w:eastAsia="zh-CN"/>
        </w:rPr>
        <w:t>的方式进行抑尘</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同时</w:t>
      </w:r>
      <w:r>
        <w:rPr>
          <w:rFonts w:hint="default" w:ascii="Times New Roman" w:hAnsi="Times New Roman" w:cs="Times New Roman"/>
          <w:color w:val="auto"/>
          <w:sz w:val="24"/>
          <w:szCs w:val="24"/>
          <w:highlight w:val="none"/>
        </w:rPr>
        <w:t>结合</w:t>
      </w:r>
      <w:r>
        <w:rPr>
          <w:rFonts w:hint="default" w:ascii="Times New Roman" w:hAnsi="Times New Roman" w:cs="Times New Roman"/>
          <w:color w:val="auto"/>
          <w:sz w:val="24"/>
          <w:szCs w:val="24"/>
          <w:highlight w:val="none"/>
          <w:lang w:val="en-US" w:eastAsia="zh-CN"/>
        </w:rPr>
        <w:t>排土场</w:t>
      </w:r>
      <w:r>
        <w:rPr>
          <w:rFonts w:hint="default" w:ascii="Times New Roman" w:hAnsi="Times New Roman" w:cs="Times New Roman"/>
          <w:color w:val="auto"/>
          <w:sz w:val="24"/>
          <w:szCs w:val="24"/>
          <w:highlight w:val="none"/>
        </w:rPr>
        <w:t>堆场建设和管理要求，</w:t>
      </w:r>
      <w:r>
        <w:rPr>
          <w:rFonts w:hint="default" w:ascii="Times New Roman" w:hAnsi="Times New Roman" w:cs="Times New Roman"/>
          <w:color w:val="auto"/>
          <w:sz w:val="24"/>
          <w:szCs w:val="24"/>
          <w:highlight w:val="none"/>
          <w:lang w:val="en-US" w:eastAsia="zh-CN"/>
        </w:rPr>
        <w:t>根据排放情况</w:t>
      </w:r>
      <w:r>
        <w:rPr>
          <w:rFonts w:hint="default" w:ascii="Times New Roman" w:hAnsi="Times New Roman" w:cs="Times New Roman"/>
          <w:color w:val="auto"/>
          <w:sz w:val="24"/>
          <w:szCs w:val="24"/>
          <w:highlight w:val="none"/>
        </w:rPr>
        <w:t>逐步实施渣坡平整、压实和坡面防护，可有效减小堆场扬尘量。</w:t>
      </w:r>
      <w:r>
        <w:rPr>
          <w:rFonts w:hint="eastAsia" w:cs="Times New Roman"/>
          <w:color w:val="auto"/>
          <w:sz w:val="24"/>
          <w:szCs w:val="24"/>
          <w:highlight w:val="none"/>
          <w:lang w:val="en-US" w:eastAsia="zh-CN"/>
        </w:rPr>
        <w:t>针对水洗后的石英砂晾晒堆场，因其含水率较大，晾晒达到要求时，要求其及时转运至烘干环节，减少堆存时间。</w:t>
      </w:r>
      <w:r>
        <w:rPr>
          <w:rFonts w:hint="eastAsia" w:cs="Times New Roman"/>
          <w:color w:val="FF0000"/>
          <w:sz w:val="24"/>
          <w:szCs w:val="24"/>
          <w:highlight w:val="none"/>
          <w:lang w:val="en-US" w:eastAsia="zh-CN"/>
        </w:rPr>
        <w:t>运营期原料堆场采取全封闭设置，并且在作业时进行洒水降尘。</w:t>
      </w:r>
    </w:p>
    <w:p w14:paraId="02D085D2">
      <w:pPr>
        <w:numPr>
          <w:ilvl w:val="0"/>
          <w:numId w:val="48"/>
        </w:numPr>
        <w:spacing w:beforeLines="0" w:afterLines="0"/>
        <w:ind w:left="0" w:leftChars="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运输粉尘治理</w:t>
      </w:r>
    </w:p>
    <w:p w14:paraId="1AEB36A5">
      <w:pPr>
        <w:numPr>
          <w:ilvl w:val="0"/>
          <w:numId w:val="0"/>
        </w:numPr>
        <w:spacing w:beforeLines="0" w:afterLines="0"/>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FF0000"/>
          <w:sz w:val="24"/>
          <w:szCs w:val="24"/>
          <w:highlight w:val="none"/>
        </w:rPr>
        <w:t>针对</w:t>
      </w:r>
      <w:r>
        <w:rPr>
          <w:rFonts w:hint="eastAsia" w:cs="Times New Roman"/>
          <w:color w:val="FF0000"/>
          <w:sz w:val="24"/>
          <w:szCs w:val="24"/>
          <w:highlight w:val="none"/>
          <w:lang w:val="en-US" w:eastAsia="zh-CN"/>
        </w:rPr>
        <w:t>工业广场内物料的输送粉尘，要求采用密闭廊道进行输送；</w:t>
      </w:r>
      <w:r>
        <w:rPr>
          <w:rFonts w:hint="eastAsia" w:cs="Times New Roman"/>
          <w:color w:val="auto"/>
          <w:sz w:val="24"/>
          <w:szCs w:val="24"/>
          <w:highlight w:val="none"/>
          <w:lang w:val="en-US" w:eastAsia="zh-CN"/>
        </w:rPr>
        <w:t>针对车辆</w:t>
      </w:r>
      <w:r>
        <w:rPr>
          <w:rFonts w:hint="default" w:ascii="Times New Roman" w:hAnsi="Times New Roman" w:cs="Times New Roman"/>
          <w:color w:val="auto"/>
          <w:sz w:val="24"/>
          <w:szCs w:val="24"/>
          <w:highlight w:val="none"/>
        </w:rPr>
        <w:t>运输过程中产生的无组织扬尘，本项目采取</w:t>
      </w:r>
      <w:r>
        <w:rPr>
          <w:rFonts w:hint="default" w:ascii="Times New Roman" w:hAnsi="Times New Roman" w:cs="Times New Roman"/>
          <w:color w:val="auto"/>
          <w:sz w:val="24"/>
          <w:szCs w:val="24"/>
          <w:highlight w:val="none"/>
          <w:lang w:val="en-US" w:eastAsia="zh-CN"/>
        </w:rPr>
        <w:t>篷布</w:t>
      </w:r>
      <w:r>
        <w:rPr>
          <w:rFonts w:hint="default" w:ascii="Times New Roman" w:hAnsi="Times New Roman" w:cs="Times New Roman"/>
          <w:color w:val="auto"/>
          <w:sz w:val="24"/>
          <w:szCs w:val="24"/>
          <w:highlight w:val="none"/>
        </w:rPr>
        <w:t>遮盖密闭运输；控制运输车辆行驶速度及装载量，减少物料转运环节，缩短物料运输距离，严禁在大风天气进行物料采装、运输等措施，可有效控制运输扬尘。</w:t>
      </w:r>
    </w:p>
    <w:p w14:paraId="7C0B21D3">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矿区道路为土石路面，运输产尘量较大，评价要求：</w:t>
      </w:r>
    </w:p>
    <w:p w14:paraId="32E2C4B0">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①对现状道路进行路面整理，利用废石可将矿区道路铺建碎石路面，进行硬化处理。</w:t>
      </w:r>
    </w:p>
    <w:p w14:paraId="01C09F83">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②定时在路面洒水，干旱、多风季节应增加洒水次数（一般天气状况应不少于3次/日），以保持下垫面和空气湿润，减少起尘量。</w:t>
      </w:r>
    </w:p>
    <w:p w14:paraId="17094225">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③车辆严禁超载，降低装卸高度，禁止大风天作业，运输车辆遮盖篷布。</w:t>
      </w:r>
    </w:p>
    <w:p w14:paraId="317582B3">
      <w:pPr>
        <w:numPr>
          <w:ilvl w:val="0"/>
          <w:numId w:val="48"/>
        </w:numPr>
        <w:spacing w:beforeLines="0" w:afterLines="0"/>
        <w:ind w:left="0" w:leftChars="0" w:firstLine="480" w:firstLineChars="200"/>
        <w:rPr>
          <w:rFonts w:hint="eastAsia" w:ascii="Times New Roman" w:hAnsi="Times New Roman" w:eastAsia="宋体" w:cs="Times New Roman"/>
          <w:color w:val="00B050"/>
          <w:sz w:val="24"/>
          <w:szCs w:val="24"/>
          <w:highlight w:val="none"/>
          <w:lang w:eastAsia="zh-CN"/>
        </w:rPr>
      </w:pPr>
      <w:r>
        <w:rPr>
          <w:rFonts w:hint="eastAsia" w:cs="Times New Roman"/>
          <w:color w:val="00B050"/>
          <w:sz w:val="24"/>
          <w:szCs w:val="24"/>
          <w:highlight w:val="none"/>
          <w:lang w:val="en-US" w:eastAsia="zh-CN"/>
        </w:rPr>
        <w:t>油烟废气</w:t>
      </w:r>
    </w:p>
    <w:p w14:paraId="45564196">
      <w:pPr>
        <w:numPr>
          <w:ilvl w:val="0"/>
          <w:numId w:val="0"/>
        </w:numPr>
        <w:spacing w:beforeLines="0" w:afterLines="0"/>
        <w:ind w:leftChars="200"/>
        <w:rPr>
          <w:rFonts w:hint="default" w:ascii="Times New Roman" w:hAnsi="Times New Roman" w:eastAsia="宋体" w:cs="Times New Roman"/>
          <w:color w:val="00B050"/>
          <w:sz w:val="24"/>
          <w:szCs w:val="24"/>
          <w:highlight w:val="none"/>
          <w:lang w:val="en-US" w:eastAsia="zh-CN"/>
        </w:rPr>
      </w:pPr>
      <w:r>
        <w:rPr>
          <w:rFonts w:hint="eastAsia" w:cs="Times New Roman"/>
          <w:color w:val="00B050"/>
          <w:sz w:val="24"/>
          <w:szCs w:val="24"/>
          <w:highlight w:val="none"/>
          <w:lang w:val="en-US" w:eastAsia="zh-CN"/>
        </w:rPr>
        <w:t>采用油烟净化器处理后</w:t>
      </w:r>
      <w:r>
        <w:rPr>
          <w:rFonts w:hint="eastAsia" w:ascii="Times New Roman" w:hAnsi="Times New Roman" w:eastAsia="宋体" w:cs="Times New Roman"/>
          <w:color w:val="00B050"/>
          <w:highlight w:val="none"/>
          <w:lang w:val="en-US" w:eastAsia="zh-CN"/>
        </w:rPr>
        <w:t>由专用烟道引至屋顶排放</w:t>
      </w:r>
      <w:r>
        <w:rPr>
          <w:rFonts w:hint="eastAsia" w:cs="Times New Roman"/>
          <w:color w:val="00B050"/>
          <w:highlight w:val="none"/>
          <w:lang w:val="en-US" w:eastAsia="zh-CN"/>
        </w:rPr>
        <w:t>。</w:t>
      </w:r>
    </w:p>
    <w:p w14:paraId="68C10770">
      <w:pPr>
        <w:numPr>
          <w:ilvl w:val="0"/>
          <w:numId w:val="48"/>
        </w:numPr>
        <w:spacing w:beforeLines="0" w:afterLines="0"/>
        <w:ind w:left="0" w:leftChars="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废气污染防治措施可行性分析</w:t>
      </w:r>
    </w:p>
    <w:p w14:paraId="257629E9">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布袋除尘技术属国内外应用较多的成熟技术，除尘效率高、适用范围广</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布袋除尘器也称为过滤式除尘器，是一种干式高效除尘器。它利用纤维编织物制作的袋式过滤元件来捕集含尘气体中的固体颗粒物。</w:t>
      </w:r>
    </w:p>
    <w:p w14:paraId="5FF6AC90">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布袋除尘器的特点是除尘效率高，一般可达99.9%以上，适应力强，布袋能处理不同类型的颗粒物，袋式除尘器对10μm以下尤其1μm以下的亚微粒颗粒物有较好的捕集效果，是捕集PM</w:t>
      </w:r>
      <w:r>
        <w:rPr>
          <w:rFonts w:hint="default" w:ascii="Times New Roman" w:hAnsi="Times New Roman" w:cs="Times New Roman"/>
          <w:color w:val="auto"/>
          <w:sz w:val="24"/>
          <w:szCs w:val="24"/>
          <w:highlight w:val="none"/>
          <w:vertAlign w:val="subscript"/>
        </w:rPr>
        <w:t>2.5</w:t>
      </w:r>
      <w:r>
        <w:rPr>
          <w:rFonts w:hint="default" w:ascii="Times New Roman" w:hAnsi="Times New Roman" w:cs="Times New Roman"/>
          <w:color w:val="auto"/>
          <w:sz w:val="24"/>
          <w:szCs w:val="24"/>
          <w:highlight w:val="none"/>
        </w:rPr>
        <w:t>的重要手段。袋式除尘在净化效率、运行能耗、设备造价、占地面积等方面都优于电除尘，特别对电除尘器不易捕集的高比电阻尘粒很有效；适应的质量浓度范围大，对烟气流速的变化也具有一定的稳定性；结构简单，内部无复杂结构。缺点是压力损失大，本体阻力800~1500Pa。脉冲袋式除尘器设备正常工作时，含尘气体由进风口进入灰斗，由于气体体积的急速膨胀，一部分较粗的尘粒受惯性或自然沉降等原因落入灰斗，其余大部分尘粒随气流上升进入袋室，经滤袋过滤后，尘粒被滞留在滤袋的外侧，净化后的气体由滤袋内部进入上箱体，再由阀板孔、排风口排入大气，从而达到除尘的目的。随着过滤的不断进行，除尘器阻力也随之上升，当阻力达到一定值时，清灰控制器发出清灰命令，首先将提升阀板关闭，切断过滤气流；然后，清灰控制器向脉冲电磁阀发出信号，随着脉冲阀把用作清灰的高压逆向气流送入袋内，滤袋迅速鼓胀，并产生强烈抖动，导致滤袋外侧的粉尘抖落，达到清灰的目的。由于设备分为若干个箱区，所以上述过程是逐箱进行的，一个箱区在清灰时，其余箱区仍在正常工作，保证了设备的连续正常运转。之所以能处理高浓度粉尘，关键在于这种强清灰所需清灰时间极短（喷吹一次只需0.1～0.2s）。</w:t>
      </w:r>
    </w:p>
    <w:p w14:paraId="208A91F7">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因此，本项目采用布袋除尘器除尘效率可以稳定达到99.</w:t>
      </w:r>
      <w:r>
        <w:rPr>
          <w:rFonts w:hint="default" w:ascii="Times New Roman" w:hAnsi="Times New Roman" w:cs="Times New Roman"/>
          <w:color w:val="auto"/>
          <w:sz w:val="24"/>
          <w:szCs w:val="24"/>
          <w:highlight w:val="none"/>
          <w:lang w:val="en-US" w:eastAsia="zh-CN"/>
        </w:rPr>
        <w:t>6</w:t>
      </w:r>
      <w:r>
        <w:rPr>
          <w:rFonts w:hint="default" w:ascii="Times New Roman" w:hAnsi="Times New Roman" w:cs="Times New Roman"/>
          <w:color w:val="auto"/>
          <w:sz w:val="24"/>
          <w:szCs w:val="24"/>
          <w:highlight w:val="none"/>
        </w:rPr>
        <w:t>%，粉尘排放浓度能够满足《大气污染物综合排放标准》（GB6297-1996）表2新污染源大气污染物中有组织排放限值要求，故项目采取的措施是可行的。</w:t>
      </w:r>
    </w:p>
    <w:p w14:paraId="3DA0995C">
      <w:pPr>
        <w:pStyle w:val="4"/>
        <w:bidi w:val="0"/>
        <w:rPr>
          <w:rFonts w:hint="default"/>
        </w:rPr>
      </w:pPr>
      <w:bookmarkStart w:id="450" w:name="6.2.2废水污染防治措施"/>
      <w:bookmarkEnd w:id="450"/>
      <w:r>
        <w:rPr>
          <w:rFonts w:hint="default"/>
        </w:rPr>
        <w:t>废水污染防治措施</w:t>
      </w:r>
    </w:p>
    <w:p w14:paraId="572734F9">
      <w:pPr>
        <w:numPr>
          <w:ilvl w:val="0"/>
          <w:numId w:val="49"/>
        </w:num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生产废水污染防治措施</w:t>
      </w:r>
    </w:p>
    <w:p w14:paraId="3E8050BE">
      <w:pPr>
        <w:numPr>
          <w:ilvl w:val="0"/>
          <w:numId w:val="0"/>
        </w:numPr>
        <w:spacing w:beforeLines="0" w:afterLines="0"/>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本项目生产用水主要为</w:t>
      </w:r>
      <w:r>
        <w:rPr>
          <w:rFonts w:hint="default" w:ascii="Times New Roman" w:hAnsi="Times New Roman" w:cs="Times New Roman"/>
          <w:color w:val="auto"/>
          <w:sz w:val="24"/>
          <w:szCs w:val="24"/>
          <w:highlight w:val="none"/>
          <w:lang w:val="en-US" w:eastAsia="zh-CN"/>
        </w:rPr>
        <w:t>矿区</w:t>
      </w:r>
      <w:r>
        <w:rPr>
          <w:rFonts w:hint="default" w:ascii="Times New Roman" w:hAnsi="Times New Roman" w:cs="Times New Roman"/>
          <w:color w:val="auto"/>
          <w:sz w:val="24"/>
          <w:szCs w:val="24"/>
          <w:highlight w:val="none"/>
        </w:rPr>
        <w:t>降尘</w:t>
      </w:r>
      <w:r>
        <w:rPr>
          <w:rFonts w:hint="default" w:ascii="Times New Roman" w:hAnsi="Times New Roman" w:cs="Times New Roman"/>
          <w:color w:val="auto"/>
          <w:sz w:val="24"/>
          <w:szCs w:val="24"/>
          <w:highlight w:val="none"/>
          <w:lang w:val="en-US" w:eastAsia="zh-CN"/>
        </w:rPr>
        <w:t>用水和洗砂用水</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洗砂用水</w:t>
      </w:r>
      <w:r>
        <w:rPr>
          <w:rFonts w:hint="default" w:ascii="Times New Roman" w:hAnsi="Times New Roman" w:cs="Times New Roman"/>
          <w:color w:val="auto"/>
          <w:sz w:val="24"/>
          <w:szCs w:val="24"/>
          <w:highlight w:val="none"/>
        </w:rPr>
        <w:t>经</w:t>
      </w:r>
      <w:r>
        <w:rPr>
          <w:rFonts w:hint="default" w:ascii="Times New Roman" w:hAnsi="Times New Roman" w:cs="Times New Roman"/>
          <w:color w:val="auto"/>
          <w:sz w:val="24"/>
          <w:szCs w:val="24"/>
          <w:highlight w:val="none"/>
          <w:lang w:eastAsia="zh-CN"/>
        </w:rPr>
        <w:t>沉淀池</w:t>
      </w:r>
      <w:r>
        <w:rPr>
          <w:rFonts w:hint="default" w:ascii="Times New Roman" w:hAnsi="Times New Roman" w:cs="Times New Roman"/>
          <w:color w:val="auto"/>
          <w:sz w:val="24"/>
          <w:szCs w:val="24"/>
          <w:highlight w:val="none"/>
        </w:rPr>
        <w:t>沉淀后循环利用，不外排；降尘用水经吸附、下渗、自然蒸发等消耗。</w:t>
      </w:r>
    </w:p>
    <w:p w14:paraId="09AD9A8F">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（2）生活污水污染防治措施</w:t>
      </w:r>
    </w:p>
    <w:p w14:paraId="4B00FAE0">
      <w:pPr>
        <w:bidi w:val="0"/>
        <w:rPr>
          <w:rFonts w:hint="default" w:ascii="Times New Roman" w:hAnsi="Times New Roman" w:cs="Times New Roman"/>
          <w:color w:val="auto"/>
          <w:highlight w:val="none"/>
        </w:rPr>
      </w:pPr>
      <w:r>
        <w:rPr>
          <w:rFonts w:hint="default" w:ascii="Times New Roman" w:hAnsi="Times New Roman" w:cs="Times New Roman"/>
          <w:color w:val="auto"/>
          <w:szCs w:val="24"/>
          <w:highlight w:val="none"/>
        </w:rPr>
        <w:t>本矿设一个办公生活区，生活污水主要污染物为SS、BOD</w:t>
      </w:r>
      <w:r>
        <w:rPr>
          <w:rFonts w:hint="default" w:ascii="Times New Roman" w:hAnsi="Times New Roman" w:cs="Times New Roman"/>
          <w:color w:val="auto"/>
          <w:szCs w:val="24"/>
          <w:highlight w:val="none"/>
          <w:vertAlign w:val="subscript"/>
        </w:rPr>
        <w:t>5</w:t>
      </w:r>
      <w:r>
        <w:rPr>
          <w:rFonts w:hint="default" w:ascii="Times New Roman" w:hAnsi="Times New Roman" w:cs="Times New Roman"/>
          <w:color w:val="auto"/>
          <w:szCs w:val="24"/>
          <w:highlight w:val="none"/>
        </w:rPr>
        <w:t>、COD、氨氮等。生活污水经</w:t>
      </w:r>
      <w:r>
        <w:rPr>
          <w:rFonts w:hint="default" w:ascii="Times New Roman" w:hAnsi="Times New Roman" w:cs="Times New Roman"/>
          <w:color w:val="auto"/>
          <w:szCs w:val="24"/>
          <w:highlight w:val="none"/>
          <w:lang w:val="en-US" w:eastAsia="zh-CN"/>
        </w:rPr>
        <w:t>地埋式</w:t>
      </w:r>
      <w:r>
        <w:rPr>
          <w:rFonts w:hint="default" w:ascii="Times New Roman" w:hAnsi="Times New Roman" w:cs="Times New Roman"/>
          <w:color w:val="auto"/>
          <w:szCs w:val="24"/>
          <w:highlight w:val="none"/>
        </w:rPr>
        <w:t>一体化污水处理设施处理。本项目一体化污水处理设施处理能力为</w:t>
      </w:r>
      <w:r>
        <w:rPr>
          <w:rFonts w:hint="default" w:ascii="Times New Roman" w:hAnsi="Times New Roman" w:cs="Times New Roman"/>
          <w:color w:val="auto"/>
          <w:szCs w:val="24"/>
          <w:highlight w:val="none"/>
          <w:lang w:val="en-US" w:eastAsia="zh-CN"/>
        </w:rPr>
        <w:t>10</w:t>
      </w:r>
      <w:r>
        <w:rPr>
          <w:rFonts w:hint="default" w:ascii="Times New Roman" w:hAnsi="Times New Roman" w:cs="Times New Roman"/>
          <w:color w:val="auto"/>
          <w:szCs w:val="24"/>
          <w:highlight w:val="none"/>
        </w:rPr>
        <w:t>m</w:t>
      </w:r>
      <w:r>
        <w:rPr>
          <w:rFonts w:hint="default" w:ascii="Times New Roman" w:hAnsi="Times New Roman" w:cs="Times New Roman"/>
          <w:color w:val="auto"/>
          <w:szCs w:val="24"/>
          <w:highlight w:val="none"/>
          <w:vertAlign w:val="superscript"/>
        </w:rPr>
        <w:t>3</w:t>
      </w:r>
      <w:r>
        <w:rPr>
          <w:rFonts w:hint="default" w:ascii="Times New Roman" w:hAnsi="Times New Roman" w:cs="Times New Roman"/>
          <w:color w:val="auto"/>
          <w:szCs w:val="24"/>
          <w:highlight w:val="none"/>
        </w:rPr>
        <w:t>/d，生活污水经处理后可以满足《农村生活污水处理排放标准》（DB6542785-2019）</w:t>
      </w:r>
      <w:r>
        <w:rPr>
          <w:rFonts w:hint="default" w:ascii="Times New Roman" w:hAnsi="Times New Roman" w:cs="Times New Roman"/>
          <w:color w:val="auto"/>
          <w:highlight w:val="none"/>
        </w:rPr>
        <w:t>中的C级排放标准，达标废水全部回用于矿部洒水降尘，不外排。</w:t>
      </w:r>
    </w:p>
    <w:p w14:paraId="2C0C654F">
      <w:pPr>
        <w:numPr>
          <w:ilvl w:val="0"/>
          <w:numId w:val="0"/>
        </w:numPr>
        <w:bidi w:val="0"/>
        <w:ind w:leftChars="200"/>
        <w:rPr>
          <w:rFonts w:hint="eastAsia" w:cs="Times New Roman"/>
          <w:color w:val="auto"/>
          <w:highlight w:val="none"/>
          <w:lang w:val="en-US" w:eastAsia="zh-CN"/>
        </w:rPr>
      </w:pPr>
      <w:r>
        <w:rPr>
          <w:rFonts w:hint="eastAsia" w:cs="Times New Roman"/>
          <w:color w:val="auto"/>
          <w:highlight w:val="none"/>
          <w:lang w:val="en-US" w:eastAsia="zh-CN"/>
        </w:rPr>
        <w:t>（3）生活污水处理达标可行性分析</w:t>
      </w:r>
    </w:p>
    <w:p w14:paraId="3397C9D3">
      <w:pPr>
        <w:numPr>
          <w:ilvl w:val="0"/>
          <w:numId w:val="0"/>
        </w:numPr>
        <w:bidi w:val="0"/>
        <w:ind w:firstLine="48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地埋式一体化生活污水处理设施采用A/O法，即兼氧/好氧处理工艺，设计处理能力为10m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/d，生活</w:t>
      </w:r>
      <w:r>
        <w:rPr>
          <w:rFonts w:hint="default" w:ascii="Times New Roman" w:hAnsi="Times New Roman" w:cs="Times New Roman"/>
          <w:color w:val="auto"/>
          <w:highlight w:val="none"/>
        </w:rPr>
        <w:t>污水处理工艺流程</w:t>
      </w:r>
      <w:r>
        <w:rPr>
          <w:rFonts w:hint="default" w:ascii="Times New Roman" w:hAnsi="Times New Roman" w:cs="Times New Roman"/>
          <w:color w:val="auto"/>
          <w:highlight w:val="none"/>
          <w:lang w:val="en-US" w:eastAsia="zh-CN"/>
        </w:rPr>
        <w:t>见图6.2-1。</w:t>
      </w:r>
    </w:p>
    <w:p w14:paraId="6FEF4B99">
      <w:pPr>
        <w:pStyle w:val="25"/>
        <w:keepNext w:val="0"/>
        <w:keepLines w:val="0"/>
        <w:pageBreakBefore w:val="0"/>
        <w:widowControl/>
        <w:kinsoku/>
        <w:wordWrap/>
        <w:overflowPunct/>
        <w:topLinePunct w:val="0"/>
        <w:autoSpaceDE/>
        <w:autoSpaceDN/>
        <w:bidi w:val="0"/>
        <w:adjustRightInd/>
        <w:snapToGrid/>
        <w:spacing w:after="0" w:line="360" w:lineRule="auto"/>
        <w:ind w:left="0" w:leftChars="0"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object>
          <v:shape id="_x0000_i1027" o:spt="75" type="#_x0000_t75" style="height:144.1pt;width:417.25pt;" o:ole="t" filled="f" o:preferrelative="t" stroked="f" coordsize="21600,21600">
            <v:path/>
            <v:fill on="f" focussize="0,0"/>
            <v:stroke on="f"/>
            <v:imagedata r:id="rId51" o:title=""/>
            <o:lock v:ext="edit" aspectratio="t"/>
            <w10:wrap type="none"/>
            <w10:anchorlock/>
          </v:shape>
          <o:OLEObject Type="Embed" ProgID="Visio.Drawing.11" ShapeID="_x0000_i1027" DrawAspect="Content" ObjectID="_1468075727" r:id="rId50">
            <o:LockedField>false</o:LockedField>
          </o:OLEObject>
        </w:object>
      </w:r>
    </w:p>
    <w:p w14:paraId="5B2F4CC8">
      <w:pPr>
        <w:pStyle w:val="25"/>
        <w:keepNext w:val="0"/>
        <w:keepLines w:val="0"/>
        <w:pageBreakBefore w:val="0"/>
        <w:widowControl/>
        <w:kinsoku/>
        <w:wordWrap/>
        <w:overflowPunct/>
        <w:topLinePunct w:val="0"/>
        <w:autoSpaceDE/>
        <w:autoSpaceDN/>
        <w:bidi w:val="0"/>
        <w:adjustRightInd/>
        <w:snapToGrid/>
        <w:spacing w:after="0" w:line="360" w:lineRule="auto"/>
        <w:ind w:left="0" w:leftChars="0" w:firstLine="0" w:firstLineChars="0"/>
        <w:jc w:val="center"/>
        <w:textAlignment w:val="auto"/>
        <w:rPr>
          <w:rFonts w:hint="default" w:ascii="Times New Roman" w:hAnsi="Times New Roman" w:eastAsia="宋体" w:cs="Times New Roman"/>
          <w:b/>
          <w:color w:val="auto"/>
          <w:kern w:val="0"/>
          <w:sz w:val="24"/>
          <w:szCs w:val="24"/>
          <w:highlight w:val="none"/>
          <w:lang w:val="en-US" w:eastAsia="zh-CN" w:bidi="ar-SA"/>
        </w:rPr>
      </w:pPr>
      <w:r>
        <w:rPr>
          <w:rFonts w:hint="default" w:ascii="Times New Roman" w:hAnsi="Times New Roman" w:eastAsia="宋体" w:cs="Times New Roman"/>
          <w:b/>
          <w:color w:val="auto"/>
          <w:kern w:val="0"/>
          <w:sz w:val="24"/>
          <w:szCs w:val="24"/>
          <w:highlight w:val="none"/>
          <w:lang w:val="en-US" w:eastAsia="zh-CN" w:bidi="ar-SA"/>
        </w:rPr>
        <w:t>图</w:t>
      </w:r>
      <w:r>
        <w:rPr>
          <w:rFonts w:hint="default" w:ascii="Times New Roman" w:hAnsi="Times New Roman" w:cs="Times New Roman"/>
          <w:b/>
          <w:color w:val="auto"/>
          <w:kern w:val="0"/>
          <w:sz w:val="24"/>
          <w:szCs w:val="24"/>
          <w:highlight w:val="none"/>
          <w:lang w:val="en-US" w:eastAsia="zh-CN" w:bidi="ar-SA"/>
        </w:rPr>
        <w:t xml:space="preserve">6.2-1    </w:t>
      </w:r>
      <w:r>
        <w:rPr>
          <w:rFonts w:hint="default" w:ascii="Times New Roman" w:hAnsi="Times New Roman" w:eastAsia="宋体" w:cs="Times New Roman"/>
          <w:b/>
          <w:color w:val="auto"/>
          <w:kern w:val="0"/>
          <w:sz w:val="24"/>
          <w:szCs w:val="24"/>
          <w:highlight w:val="none"/>
          <w:lang w:val="zh-CN" w:eastAsia="zh-CN" w:bidi="ar-SA"/>
        </w:rPr>
        <w:t>生</w:t>
      </w:r>
      <w:r>
        <w:rPr>
          <w:rFonts w:hint="default" w:ascii="Times New Roman" w:hAnsi="Times New Roman" w:eastAsia="宋体" w:cs="Times New Roman"/>
          <w:b/>
          <w:color w:val="auto"/>
          <w:kern w:val="0"/>
          <w:sz w:val="24"/>
          <w:szCs w:val="24"/>
          <w:highlight w:val="none"/>
          <w:lang w:val="en-US" w:eastAsia="zh-CN" w:bidi="ar-SA"/>
        </w:rPr>
        <w:t>活</w:t>
      </w:r>
      <w:r>
        <w:rPr>
          <w:rFonts w:hint="default" w:ascii="Times New Roman" w:hAnsi="Times New Roman" w:eastAsia="宋体" w:cs="Times New Roman"/>
          <w:b/>
          <w:color w:val="auto"/>
          <w:kern w:val="0"/>
          <w:sz w:val="24"/>
          <w:szCs w:val="24"/>
          <w:highlight w:val="none"/>
          <w:lang w:val="zh-CN" w:eastAsia="zh-CN" w:bidi="ar-SA"/>
        </w:rPr>
        <w:t>污水处理工艺流程图</w:t>
      </w:r>
    </w:p>
    <w:p w14:paraId="50BD4EA5">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szCs w:val="24"/>
          <w:highlight w:val="none"/>
          <w:lang w:bidi="ar"/>
        </w:rPr>
        <w:t>污水处理站处理能力为</w:t>
      </w:r>
      <w:r>
        <w:rPr>
          <w:rFonts w:hint="default" w:ascii="Times New Roman" w:hAnsi="Times New Roman" w:cs="Times New Roman"/>
          <w:color w:val="auto"/>
          <w:szCs w:val="24"/>
          <w:highlight w:val="none"/>
          <w:lang w:val="en-US" w:eastAsia="zh-CN" w:bidi="ar"/>
        </w:rPr>
        <w:t>10</w:t>
      </w:r>
      <w:r>
        <w:rPr>
          <w:rFonts w:hint="default" w:ascii="Times New Roman" w:hAnsi="Times New Roman" w:cs="Times New Roman"/>
          <w:color w:val="auto"/>
          <w:szCs w:val="24"/>
          <w:highlight w:val="none"/>
          <w:lang w:bidi="ar"/>
        </w:rPr>
        <w:t>m</w:t>
      </w:r>
      <w:r>
        <w:rPr>
          <w:rFonts w:hint="default" w:ascii="Times New Roman" w:hAnsi="Times New Roman" w:cs="Times New Roman"/>
          <w:color w:val="auto"/>
          <w:szCs w:val="24"/>
          <w:highlight w:val="none"/>
          <w:vertAlign w:val="superscript"/>
          <w:lang w:bidi="ar"/>
        </w:rPr>
        <w:t>3</w:t>
      </w:r>
      <w:r>
        <w:rPr>
          <w:rFonts w:hint="default" w:ascii="Times New Roman" w:hAnsi="Times New Roman" w:cs="Times New Roman"/>
          <w:color w:val="auto"/>
          <w:szCs w:val="24"/>
          <w:highlight w:val="none"/>
          <w:lang w:bidi="ar"/>
        </w:rPr>
        <w:t>/</w:t>
      </w:r>
      <w:r>
        <w:rPr>
          <w:rFonts w:hint="default" w:ascii="Times New Roman" w:hAnsi="Times New Roman" w:cs="Times New Roman"/>
          <w:color w:val="auto"/>
          <w:szCs w:val="24"/>
          <w:highlight w:val="none"/>
          <w:lang w:val="en-US" w:eastAsia="zh-CN" w:bidi="ar"/>
        </w:rPr>
        <w:t>d</w:t>
      </w:r>
      <w:r>
        <w:rPr>
          <w:rFonts w:hint="default" w:ascii="Times New Roman" w:hAnsi="Times New Roman" w:cs="Times New Roman"/>
          <w:color w:val="auto"/>
          <w:szCs w:val="24"/>
          <w:highlight w:val="none"/>
          <w:lang w:bidi="ar"/>
        </w:rPr>
        <w:t>。</w:t>
      </w:r>
      <w:r>
        <w:rPr>
          <w:rFonts w:hint="default" w:ascii="Times New Roman" w:hAnsi="Times New Roman" w:cs="Times New Roman"/>
          <w:color w:val="auto"/>
          <w:szCs w:val="24"/>
          <w:highlight w:val="none"/>
          <w:lang w:eastAsia="zh-CN" w:bidi="ar"/>
        </w:rPr>
        <w:t>本采矿工程</w:t>
      </w:r>
      <w:r>
        <w:rPr>
          <w:rFonts w:hint="default" w:ascii="Times New Roman" w:hAnsi="Times New Roman" w:cs="Times New Roman"/>
          <w:color w:val="auto"/>
          <w:szCs w:val="24"/>
          <w:highlight w:val="none"/>
          <w:lang w:bidi="ar"/>
        </w:rPr>
        <w:t>劳动定员</w:t>
      </w:r>
      <w:r>
        <w:rPr>
          <w:rFonts w:hint="default" w:ascii="Times New Roman" w:hAnsi="Times New Roman" w:cs="Times New Roman"/>
          <w:color w:val="auto"/>
          <w:szCs w:val="24"/>
          <w:highlight w:val="none"/>
          <w:lang w:val="en-US" w:eastAsia="zh-CN" w:bidi="ar"/>
        </w:rPr>
        <w:t>32</w:t>
      </w:r>
      <w:r>
        <w:rPr>
          <w:rFonts w:hint="default" w:ascii="Times New Roman" w:hAnsi="Times New Roman" w:cs="Times New Roman"/>
          <w:color w:val="auto"/>
          <w:szCs w:val="24"/>
          <w:highlight w:val="none"/>
          <w:lang w:bidi="ar"/>
        </w:rPr>
        <w:t>人，</w:t>
      </w:r>
      <w:r>
        <w:rPr>
          <w:rFonts w:hint="default" w:ascii="Times New Roman" w:hAnsi="Times New Roman" w:cs="Times New Roman"/>
          <w:color w:val="auto"/>
          <w:szCs w:val="24"/>
          <w:highlight w:val="none"/>
        </w:rPr>
        <w:t>生活污水排放量为</w:t>
      </w:r>
      <w:r>
        <w:rPr>
          <w:rFonts w:hint="default" w:ascii="Times New Roman" w:hAnsi="Times New Roman" w:cs="Times New Roman"/>
          <w:color w:val="auto"/>
          <w:szCs w:val="24"/>
          <w:highlight w:val="none"/>
          <w:lang w:val="en-US" w:eastAsia="zh-CN"/>
        </w:rPr>
        <w:t>2.56</w:t>
      </w:r>
      <w:r>
        <w:rPr>
          <w:rFonts w:hint="default" w:ascii="Times New Roman" w:hAnsi="Times New Roman" w:cs="Times New Roman"/>
          <w:color w:val="auto"/>
          <w:szCs w:val="24"/>
          <w:highlight w:val="none"/>
        </w:rPr>
        <w:t>m</w:t>
      </w:r>
      <w:r>
        <w:rPr>
          <w:rFonts w:hint="default" w:ascii="Times New Roman" w:hAnsi="Times New Roman" w:cs="Times New Roman"/>
          <w:color w:val="auto"/>
          <w:szCs w:val="24"/>
          <w:highlight w:val="none"/>
          <w:vertAlign w:val="superscript"/>
        </w:rPr>
        <w:t>3</w:t>
      </w:r>
      <w:r>
        <w:rPr>
          <w:rFonts w:hint="default" w:ascii="Times New Roman" w:hAnsi="Times New Roman" w:cs="Times New Roman"/>
          <w:color w:val="auto"/>
          <w:szCs w:val="24"/>
          <w:highlight w:val="none"/>
        </w:rPr>
        <w:t>/d</w:t>
      </w:r>
      <w:r>
        <w:rPr>
          <w:rFonts w:hint="default" w:ascii="Times New Roman" w:hAnsi="Times New Roman" w:cs="Times New Roman"/>
          <w:color w:val="auto"/>
          <w:szCs w:val="24"/>
          <w:highlight w:val="none"/>
          <w:lang w:eastAsia="zh-CN"/>
        </w:rPr>
        <w:t>，</w:t>
      </w:r>
      <w:r>
        <w:rPr>
          <w:rFonts w:hint="default" w:ascii="Times New Roman" w:hAnsi="Times New Roman" w:cs="Times New Roman"/>
          <w:color w:val="auto"/>
          <w:szCs w:val="24"/>
          <w:highlight w:val="none"/>
          <w:lang w:val="en-US" w:eastAsia="zh-CN"/>
        </w:rPr>
        <w:t>768</w:t>
      </w:r>
      <w:r>
        <w:rPr>
          <w:rFonts w:hint="default" w:ascii="Times New Roman" w:hAnsi="Times New Roman" w:cs="Times New Roman"/>
          <w:color w:val="auto"/>
          <w:szCs w:val="24"/>
          <w:highlight w:val="none"/>
        </w:rPr>
        <w:t>m</w:t>
      </w:r>
      <w:r>
        <w:rPr>
          <w:rFonts w:hint="default" w:ascii="Times New Roman" w:hAnsi="Times New Roman" w:cs="Times New Roman"/>
          <w:color w:val="auto"/>
          <w:szCs w:val="24"/>
          <w:highlight w:val="none"/>
          <w:vertAlign w:val="superscript"/>
        </w:rPr>
        <w:t>3</w:t>
      </w:r>
      <w:r>
        <w:rPr>
          <w:rFonts w:hint="default" w:ascii="Times New Roman" w:hAnsi="Times New Roman" w:cs="Times New Roman"/>
          <w:color w:val="auto"/>
          <w:szCs w:val="24"/>
          <w:highlight w:val="none"/>
        </w:rPr>
        <w:t>/a</w:t>
      </w:r>
      <w:r>
        <w:rPr>
          <w:rFonts w:hint="default" w:ascii="Times New Roman" w:hAnsi="Times New Roman" w:cs="Times New Roman"/>
          <w:color w:val="auto"/>
          <w:szCs w:val="24"/>
          <w:highlight w:val="none"/>
          <w:lang w:eastAsia="zh-CN" w:bidi="ar"/>
        </w:rPr>
        <w:t>，</w:t>
      </w:r>
      <w:r>
        <w:rPr>
          <w:rFonts w:hint="default" w:ascii="Times New Roman" w:hAnsi="Times New Roman" w:cs="Times New Roman"/>
          <w:color w:val="auto"/>
          <w:szCs w:val="24"/>
          <w:highlight w:val="none"/>
          <w:lang w:bidi="ar"/>
        </w:rPr>
        <w:t>满足</w:t>
      </w:r>
      <w:r>
        <w:rPr>
          <w:rFonts w:hint="default" w:ascii="Times New Roman" w:hAnsi="Times New Roman" w:cs="Times New Roman"/>
          <w:color w:val="auto"/>
          <w:highlight w:val="none"/>
        </w:rPr>
        <w:t>地埋式一体化生活污水处理设施处理能力，生活污水处理设施正常运行</w:t>
      </w:r>
      <w:r>
        <w:rPr>
          <w:rFonts w:hint="default" w:ascii="Times New Roman" w:hAnsi="Times New Roman" w:cs="Times New Roman"/>
          <w:color w:val="auto"/>
          <w:highlight w:val="none"/>
          <w:lang w:eastAsia="zh-CN"/>
        </w:rPr>
        <w:t>后处理本工程生活污水</w:t>
      </w:r>
      <w:r>
        <w:rPr>
          <w:rFonts w:hint="default" w:ascii="Times New Roman" w:hAnsi="Times New Roman" w:cs="Times New Roman"/>
          <w:color w:val="auto"/>
          <w:highlight w:val="none"/>
        </w:rPr>
        <w:t>。</w:t>
      </w:r>
    </w:p>
    <w:p w14:paraId="57DD11E8">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地埋式一体化处理设施有自由组合、适用广泛、不占用土地、运行经济等特点。接触氧化池以及水解酸化池可充分分解含油废水中的油类等有机污染物。其基本工作原理：生活污水经粗、细格栅后和经过预处理后的生产废水进入调节池，在其中达到均质、均量；然后进入初沉池以去除水中悬浮物等，进入初沉池后较大比重的悬浮物及颗粒物下沉到底部；而后进入水解酸化池，水解酸化工艺可将废水中难生物降解的有机物转变为易生物降解的有机物，提高废水的可生化性，以利于后续的好氧处理。经沉淀和水解酸化处理的废水进入接触氧化池，在池内设置填料，池底曝气对污水进行充氧，并使池体内污水处于流动状态，以保证污水与污水中的填料充分接触，避免生物接触氧化池中存在污水与填料接触不均的缺陷。接触氧化池下方分布曝气头以提升氧料，上方串挂气体弹性填料，有机物在水中利用好氧菌的作用得以去除。废水最后进入二沉池，经沉淀后外排，部分污泥回流到接触氧化池。拟建项目采用此项技术，是较为理想的方法，工艺简单，效果良好。一体化处理设施概况见图</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.2-2。</w:t>
      </w:r>
    </w:p>
    <w:p w14:paraId="3BE310B1">
      <w:pPr>
        <w:pStyle w:val="29"/>
        <w:keepNext w:val="0"/>
        <w:keepLines w:val="0"/>
        <w:pageBreakBefore w:val="0"/>
        <w:kinsoku/>
        <w:wordWrap/>
        <w:overflowPunct/>
        <w:topLinePunct w:val="0"/>
        <w:autoSpaceDE/>
        <w:autoSpaceDN/>
        <w:bidi w:val="0"/>
        <w:adjustRightInd/>
        <w:snapToGrid/>
        <w:spacing w:after="0" w:line="240" w:lineRule="auto"/>
        <w:ind w:firstLine="0" w:firstLineChars="0"/>
        <w:jc w:val="both"/>
        <w:textAlignment w:val="auto"/>
        <w:rPr>
          <w:rFonts w:hint="default" w:ascii="Times New Roman" w:hAnsi="Times New Roman" w:eastAsia="宋体" w:cs="Times New Roman"/>
          <w:b/>
          <w:bCs/>
          <w:color w:val="auto"/>
          <w:szCs w:val="24"/>
          <w:highlight w:val="none"/>
          <w:lang w:val="en-US" w:eastAsia="zh-CN"/>
        </w:rPr>
      </w:pPr>
      <w:r>
        <w:rPr>
          <w:rFonts w:hint="default" w:ascii="Times New Roman" w:hAnsi="Times New Roman" w:eastAsia="宋体" w:cs="Times New Roman"/>
          <w:color w:val="auto"/>
          <w:szCs w:val="24"/>
          <w:highlight w:val="none"/>
        </w:rPr>
        <w:drawing>
          <wp:inline distT="0" distB="0" distL="114300" distR="114300">
            <wp:extent cx="2718435" cy="2008505"/>
            <wp:effectExtent l="0" t="0" r="12065" b="10795"/>
            <wp:docPr id="175" name="图片 4" descr="一体化处理设施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4" descr="一体化处理设施2"/>
                    <pic:cNvPicPr>
                      <a:picLocks noChangeAspect="1"/>
                    </pic:cNvPicPr>
                  </pic:nvPicPr>
                  <pic:blipFill>
                    <a:blip r:embed="rId52"/>
                    <a:stretch>
                      <a:fillRect/>
                    </a:stretch>
                  </pic:blipFill>
                  <pic:spPr>
                    <a:xfrm>
                      <a:off x="0" y="0"/>
                      <a:ext cx="2718435" cy="2008505"/>
                    </a:xfrm>
                    <a:prstGeom prst="rect">
                      <a:avLst/>
                    </a:prstGeom>
                    <a:noFill/>
                    <a:ln w="9525">
                      <a:noFill/>
                    </a:ln>
                    <a:effectLst/>
                  </pic:spPr>
                </pic:pic>
              </a:graphicData>
            </a:graphic>
          </wp:inline>
        </w:drawing>
      </w:r>
      <w:r>
        <w:rPr>
          <w:rFonts w:hint="default" w:ascii="Times New Roman" w:hAnsi="Times New Roman" w:eastAsia="宋体" w:cs="Times New Roman"/>
          <w:color w:val="auto"/>
          <w:szCs w:val="24"/>
          <w:highlight w:val="none"/>
          <w:lang w:val="en-US" w:eastAsia="zh-CN"/>
        </w:rPr>
        <w:t xml:space="preserve">     </w:t>
      </w:r>
      <w:r>
        <w:rPr>
          <w:rFonts w:hint="default" w:ascii="Times New Roman" w:hAnsi="Times New Roman" w:eastAsia="宋体" w:cs="Times New Roman"/>
          <w:color w:val="auto"/>
          <w:szCs w:val="24"/>
          <w:highlight w:val="none"/>
        </w:rPr>
        <w:drawing>
          <wp:inline distT="0" distB="0" distL="114300" distR="114300">
            <wp:extent cx="2693670" cy="1939925"/>
            <wp:effectExtent l="0" t="0" r="11430" b="3175"/>
            <wp:docPr id="174" name="图片 5" descr="一体化处理设施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5" descr="一体化处理设施3"/>
                    <pic:cNvPicPr>
                      <a:picLocks noChangeAspect="1"/>
                    </pic:cNvPicPr>
                  </pic:nvPicPr>
                  <pic:blipFill>
                    <a:blip r:embed="rId53"/>
                    <a:stretch>
                      <a:fillRect/>
                    </a:stretch>
                  </pic:blipFill>
                  <pic:spPr>
                    <a:xfrm>
                      <a:off x="0" y="0"/>
                      <a:ext cx="2693670" cy="1939925"/>
                    </a:xfrm>
                    <a:prstGeom prst="rect">
                      <a:avLst/>
                    </a:prstGeom>
                    <a:noFill/>
                    <a:ln w="9525">
                      <a:noFill/>
                    </a:ln>
                    <a:effectLst/>
                  </pic:spPr>
                </pic:pic>
              </a:graphicData>
            </a:graphic>
          </wp:inline>
        </w:drawing>
      </w:r>
    </w:p>
    <w:p w14:paraId="4BCC1D81">
      <w:pPr>
        <w:pStyle w:val="29"/>
        <w:keepNext w:val="0"/>
        <w:keepLines w:val="0"/>
        <w:pageBreakBefore w:val="0"/>
        <w:kinsoku/>
        <w:wordWrap/>
        <w:overflowPunct/>
        <w:topLinePunct w:val="0"/>
        <w:autoSpaceDE/>
        <w:autoSpaceDN/>
        <w:bidi w:val="0"/>
        <w:adjustRightInd/>
        <w:snapToGrid/>
        <w:spacing w:after="0" w:line="480" w:lineRule="exact"/>
        <w:ind w:firstLine="0" w:firstLineChars="0"/>
        <w:jc w:val="center"/>
        <w:textAlignment w:val="auto"/>
        <w:rPr>
          <w:rFonts w:hint="default" w:ascii="Times New Roman" w:hAnsi="Times New Roman" w:eastAsia="宋体" w:cs="Times New Roman"/>
          <w:b/>
          <w:bCs/>
          <w:color w:val="auto"/>
          <w:szCs w:val="24"/>
          <w:highlight w:val="none"/>
        </w:rPr>
      </w:pPr>
      <w:r>
        <w:rPr>
          <w:rFonts w:hint="default" w:ascii="Times New Roman" w:hAnsi="Times New Roman" w:eastAsia="宋体" w:cs="Times New Roman"/>
          <w:b/>
          <w:bCs/>
          <w:color w:val="auto"/>
          <w:szCs w:val="24"/>
          <w:highlight w:val="none"/>
        </w:rPr>
        <w:t>图</w:t>
      </w:r>
      <w:r>
        <w:rPr>
          <w:rFonts w:hint="default" w:ascii="Times New Roman" w:hAnsi="Times New Roman" w:eastAsia="宋体" w:cs="Times New Roman"/>
          <w:b/>
          <w:bCs/>
          <w:color w:val="auto"/>
          <w:szCs w:val="24"/>
          <w:highlight w:val="none"/>
          <w:lang w:val="en-US" w:eastAsia="zh-CN"/>
        </w:rPr>
        <w:t>6</w:t>
      </w:r>
      <w:r>
        <w:rPr>
          <w:rFonts w:hint="default" w:ascii="Times New Roman" w:hAnsi="Times New Roman" w:eastAsia="宋体" w:cs="Times New Roman"/>
          <w:b/>
          <w:bCs/>
          <w:color w:val="auto"/>
          <w:szCs w:val="24"/>
          <w:highlight w:val="none"/>
        </w:rPr>
        <w:t>.2-2    一体化地埋式处理设施概况图</w:t>
      </w:r>
    </w:p>
    <w:p w14:paraId="274C4774">
      <w:pPr>
        <w:keepNext w:val="0"/>
        <w:keepLines w:val="0"/>
        <w:pageBreakBefore w:val="0"/>
        <w:kinsoku/>
        <w:wordWrap/>
        <w:overflowPunct/>
        <w:topLinePunct w:val="0"/>
        <w:autoSpaceDE w:val="0"/>
        <w:autoSpaceDN w:val="0"/>
        <w:bidi w:val="0"/>
        <w:spacing w:line="480" w:lineRule="exact"/>
        <w:ind w:left="0" w:leftChars="0" w:right="0" w:rightChars="0" w:firstLine="480" w:firstLineChars="200"/>
        <w:textAlignment w:val="auto"/>
        <w:outlineLvl w:val="9"/>
        <w:rPr>
          <w:rFonts w:hint="default" w:ascii="Times New Roman" w:hAnsi="Times New Roman" w:cs="Times New Roman"/>
          <w:color w:val="auto"/>
          <w:highlight w:val="none"/>
        </w:rPr>
      </w:pPr>
      <w:r>
        <w:rPr>
          <w:rFonts w:hint="default" w:ascii="Times New Roman" w:hAnsi="Times New Roman" w:eastAsia="宋体" w:cs="Times New Roman"/>
          <w:color w:val="auto"/>
          <w:sz w:val="24"/>
          <w:highlight w:val="none"/>
        </w:rPr>
        <w:t>综上，项目</w:t>
      </w:r>
      <w:r>
        <w:rPr>
          <w:rFonts w:hint="default" w:ascii="Times New Roman" w:hAnsi="Times New Roman" w:cs="Times New Roman"/>
          <w:color w:val="auto"/>
          <w:sz w:val="24"/>
          <w:highlight w:val="none"/>
          <w:lang w:val="en-US" w:eastAsia="zh-CN"/>
        </w:rPr>
        <w:t>洗砂用水</w:t>
      </w:r>
      <w:r>
        <w:rPr>
          <w:rFonts w:hint="default" w:ascii="Times New Roman" w:hAnsi="Times New Roman" w:eastAsia="宋体" w:cs="Times New Roman"/>
          <w:color w:val="auto"/>
          <w:sz w:val="24"/>
          <w:highlight w:val="none"/>
        </w:rPr>
        <w:t>经沉淀</w:t>
      </w:r>
      <w:r>
        <w:rPr>
          <w:rFonts w:hint="default" w:ascii="Times New Roman" w:hAnsi="Times New Roman" w:eastAsia="宋体" w:cs="Times New Roman"/>
          <w:color w:val="auto"/>
          <w:sz w:val="24"/>
          <w:highlight w:val="none"/>
          <w:lang w:val="en-US" w:eastAsia="zh-CN"/>
        </w:rPr>
        <w:t>后循环利用</w:t>
      </w:r>
      <w:r>
        <w:rPr>
          <w:rFonts w:hint="default" w:ascii="Times New Roman" w:hAnsi="Times New Roman" w:eastAsia="宋体" w:cs="Times New Roman"/>
          <w:color w:val="auto"/>
          <w:sz w:val="24"/>
          <w:highlight w:val="none"/>
          <w:lang w:eastAsia="zh-CN"/>
        </w:rPr>
        <w:t>，不外排</w:t>
      </w:r>
      <w:r>
        <w:rPr>
          <w:rFonts w:hint="default" w:ascii="Times New Roman" w:hAnsi="Times New Roman" w:eastAsia="宋体" w:cs="Times New Roman"/>
          <w:color w:val="auto"/>
          <w:sz w:val="24"/>
          <w:highlight w:val="none"/>
        </w:rPr>
        <w:t>；生活污水经采用生化处理后，出水用于</w:t>
      </w:r>
      <w:r>
        <w:rPr>
          <w:rFonts w:hint="default" w:ascii="Times New Roman" w:hAnsi="Times New Roman" w:cs="Times New Roman"/>
          <w:color w:val="auto"/>
          <w:sz w:val="24"/>
          <w:highlight w:val="none"/>
          <w:lang w:val="en-US" w:eastAsia="zh-CN"/>
        </w:rPr>
        <w:t>矿山降尘、</w:t>
      </w:r>
      <w:r>
        <w:rPr>
          <w:rFonts w:hint="default" w:ascii="Times New Roman" w:hAnsi="Times New Roman" w:eastAsia="宋体" w:cs="Times New Roman"/>
          <w:color w:val="auto"/>
          <w:sz w:val="24"/>
          <w:highlight w:val="none"/>
        </w:rPr>
        <w:t>绿化。废水利用条件具备，可以实现废水的最大资源化利用</w:t>
      </w:r>
      <w:r>
        <w:rPr>
          <w:rFonts w:hint="default" w:ascii="Times New Roman" w:hAnsi="Times New Roman" w:cs="Times New Roman"/>
          <w:color w:val="auto"/>
          <w:sz w:val="24"/>
          <w:highlight w:val="none"/>
          <w:lang w:eastAsia="zh-CN"/>
        </w:rPr>
        <w:t>，</w:t>
      </w:r>
      <w:r>
        <w:rPr>
          <w:rFonts w:hint="default" w:ascii="Times New Roman" w:hAnsi="Times New Roman" w:eastAsia="宋体" w:cs="Times New Roman"/>
          <w:color w:val="auto"/>
          <w:sz w:val="24"/>
          <w:highlight w:val="none"/>
        </w:rPr>
        <w:t>措施可行。</w:t>
      </w:r>
    </w:p>
    <w:p w14:paraId="74EF92D2">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（3）其他水环境保护措施</w:t>
      </w:r>
    </w:p>
    <w:p w14:paraId="1EC09E7B">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①根据《一般固体废物分类与代码》，本项目矿石筛分、冲洗过程中产生的生产废料为“选矿分选作业产生的有用目标组分含量较低而无法用于生产的部分矿石、和破碎分选过程产生的废渣”，属于标准中所载明的采矿业产生的一般工业固体废物</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根据《一般工业固体废物贮存和填埋污染控制标准》（GB18599-2020）要求，需按照5.2I类场要求进行防渗，“当天然基础层饱和渗透系数不大于1.0×10</w:t>
      </w:r>
      <w:r>
        <w:rPr>
          <w:rFonts w:hint="default" w:ascii="Times New Roman" w:hAnsi="Times New Roman" w:cs="Times New Roman"/>
          <w:color w:val="auto"/>
          <w:sz w:val="24"/>
          <w:szCs w:val="24"/>
          <w:highlight w:val="none"/>
          <w:vertAlign w:val="superscript"/>
        </w:rPr>
        <w:t>-5</w:t>
      </w:r>
      <w:r>
        <w:rPr>
          <w:rFonts w:hint="default" w:ascii="Times New Roman" w:hAnsi="Times New Roman" w:cs="Times New Roman"/>
          <w:color w:val="auto"/>
          <w:sz w:val="24"/>
          <w:szCs w:val="24"/>
          <w:highlight w:val="none"/>
        </w:rPr>
        <w:t>cm/s，且厚度不小于0.75m时，可以采用天然基础层作为防渗衬层。当天然基础层不能满足上述防渗要求时，可采用改性压实粘土类衬层或具有同等以上隔水效力的其他材料防渗衬层进行防渗，其防渗性能应至少相当于渗透系数为1.0×10</w:t>
      </w:r>
      <w:r>
        <w:rPr>
          <w:rFonts w:hint="default" w:ascii="Times New Roman" w:hAnsi="Times New Roman" w:cs="Times New Roman"/>
          <w:color w:val="auto"/>
          <w:sz w:val="24"/>
          <w:szCs w:val="24"/>
          <w:highlight w:val="none"/>
          <w:vertAlign w:val="superscript"/>
        </w:rPr>
        <w:t>-5</w:t>
      </w:r>
      <w:r>
        <w:rPr>
          <w:rFonts w:hint="default" w:ascii="Times New Roman" w:hAnsi="Times New Roman" w:cs="Times New Roman"/>
          <w:color w:val="auto"/>
          <w:sz w:val="24"/>
          <w:szCs w:val="24"/>
          <w:highlight w:val="none"/>
        </w:rPr>
        <w:t>cm/s且厚度为0.75m的天然基础层。”</w:t>
      </w:r>
    </w:p>
    <w:p w14:paraId="4992C715">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项目区土壤类型为</w:t>
      </w:r>
      <w:r>
        <w:rPr>
          <w:rFonts w:hint="default" w:ascii="Times New Roman" w:hAnsi="Times New Roman" w:cs="Times New Roman"/>
          <w:color w:val="auto"/>
          <w:sz w:val="24"/>
          <w:szCs w:val="24"/>
          <w:highlight w:val="none"/>
          <w:lang w:val="en-US" w:eastAsia="zh-CN"/>
        </w:rPr>
        <w:t>风沙</w:t>
      </w:r>
      <w:r>
        <w:rPr>
          <w:rFonts w:hint="default" w:ascii="Times New Roman" w:hAnsi="Times New Roman" w:cs="Times New Roman"/>
          <w:color w:val="auto"/>
          <w:sz w:val="24"/>
          <w:szCs w:val="24"/>
          <w:highlight w:val="none"/>
        </w:rPr>
        <w:t>土，天然基础层渗透系数大于1.0×10</w:t>
      </w:r>
      <w:r>
        <w:rPr>
          <w:rFonts w:hint="default" w:ascii="Times New Roman" w:hAnsi="Times New Roman" w:cs="Times New Roman"/>
          <w:color w:val="auto"/>
          <w:sz w:val="24"/>
          <w:szCs w:val="24"/>
          <w:highlight w:val="none"/>
          <w:vertAlign w:val="superscript"/>
        </w:rPr>
        <w:t>-5</w:t>
      </w:r>
      <w:r>
        <w:rPr>
          <w:rFonts w:hint="default" w:ascii="Times New Roman" w:hAnsi="Times New Roman" w:cs="Times New Roman"/>
          <w:color w:val="auto"/>
          <w:sz w:val="24"/>
          <w:szCs w:val="24"/>
          <w:highlight w:val="none"/>
        </w:rPr>
        <w:t>cm/s，不可以作为防渗衬层；故本项目</w:t>
      </w:r>
      <w:r>
        <w:rPr>
          <w:rFonts w:hint="default" w:ascii="Times New Roman" w:hAnsi="Times New Roman" w:cs="Times New Roman"/>
          <w:color w:val="auto"/>
          <w:sz w:val="24"/>
          <w:szCs w:val="24"/>
          <w:highlight w:val="none"/>
          <w:lang w:val="en-US" w:eastAsia="zh-CN"/>
        </w:rPr>
        <w:t>排土场</w:t>
      </w:r>
      <w:r>
        <w:rPr>
          <w:rFonts w:hint="default" w:ascii="Times New Roman" w:hAnsi="Times New Roman" w:cs="Times New Roman"/>
          <w:color w:val="auto"/>
          <w:sz w:val="24"/>
          <w:szCs w:val="24"/>
          <w:highlight w:val="none"/>
        </w:rPr>
        <w:t>底部需采用土工膜进行防渗，土工膜渗透系数需小于1.0×10</w:t>
      </w:r>
      <w:r>
        <w:rPr>
          <w:rFonts w:hint="default" w:ascii="Times New Roman" w:hAnsi="Times New Roman" w:cs="Times New Roman"/>
          <w:color w:val="auto"/>
          <w:sz w:val="24"/>
          <w:szCs w:val="24"/>
          <w:highlight w:val="none"/>
          <w:vertAlign w:val="superscript"/>
        </w:rPr>
        <w:t>-5</w:t>
      </w:r>
      <w:r>
        <w:rPr>
          <w:rFonts w:hint="default" w:ascii="Times New Roman" w:hAnsi="Times New Roman" w:cs="Times New Roman"/>
          <w:color w:val="auto"/>
          <w:sz w:val="24"/>
          <w:szCs w:val="24"/>
          <w:highlight w:val="none"/>
        </w:rPr>
        <w:t>cm/s且厚度为0.75m的天然基础层。</w:t>
      </w:r>
    </w:p>
    <w:p w14:paraId="1505B1ED">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②安全平台设置截排水沟，以减少矿坑内降雨汇水。</w:t>
      </w:r>
    </w:p>
    <w:p w14:paraId="3E80238C">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③开采境界外、</w:t>
      </w:r>
      <w:r>
        <w:rPr>
          <w:rFonts w:hint="default" w:ascii="Times New Roman" w:hAnsi="Times New Roman" w:cs="Times New Roman"/>
          <w:color w:val="auto"/>
          <w:sz w:val="24"/>
          <w:szCs w:val="24"/>
          <w:highlight w:val="none"/>
          <w:lang w:val="en-US" w:eastAsia="zh-CN"/>
        </w:rPr>
        <w:t>表土堆场、排土场</w:t>
      </w:r>
      <w:r>
        <w:rPr>
          <w:rFonts w:hint="default" w:ascii="Times New Roman" w:hAnsi="Times New Roman" w:cs="Times New Roman"/>
          <w:color w:val="auto"/>
          <w:sz w:val="24"/>
          <w:szCs w:val="24"/>
          <w:highlight w:val="none"/>
        </w:rPr>
        <w:t>周边设置截排水沟，防止地表水流入场内浸泡、冲刷边坡。</w:t>
      </w:r>
    </w:p>
    <w:p w14:paraId="6E007831">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④本项目</w:t>
      </w:r>
      <w:r>
        <w:rPr>
          <w:rFonts w:hint="default" w:ascii="Times New Roman" w:hAnsi="Times New Roman" w:cs="Times New Roman"/>
          <w:color w:val="auto"/>
          <w:sz w:val="24"/>
          <w:szCs w:val="24"/>
          <w:highlight w:val="none"/>
          <w:lang w:val="en-US" w:eastAsia="zh-CN"/>
        </w:rPr>
        <w:t>排土场废料</w:t>
      </w:r>
      <w:r>
        <w:rPr>
          <w:rFonts w:hint="default" w:ascii="Times New Roman" w:hAnsi="Times New Roman" w:cs="Times New Roman"/>
          <w:color w:val="auto"/>
          <w:sz w:val="24"/>
          <w:szCs w:val="24"/>
          <w:highlight w:val="none"/>
        </w:rPr>
        <w:t>属于一般固废，淋溶水中不含对地下水、地表水水质产生污染影响的重金属及其他有害成份。矿坑水可用于降尘，措施可行，不会对周边环境产生不良影响。</w:t>
      </w:r>
    </w:p>
    <w:p w14:paraId="02B67EC5">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⑤加强污水收集、防渗等工程的管理工作，避免跑、漏、滴、渗等现象发生。</w:t>
      </w:r>
    </w:p>
    <w:p w14:paraId="26437373">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⑥项目运行期加强管理，确保污水收集设施运行良好。</w:t>
      </w:r>
    </w:p>
    <w:p w14:paraId="0B3AAE94">
      <w:pPr>
        <w:pStyle w:val="4"/>
        <w:bidi w:val="0"/>
        <w:rPr>
          <w:rFonts w:hint="default"/>
        </w:rPr>
      </w:pPr>
      <w:bookmarkStart w:id="451" w:name="6.2.3噪声防治措施"/>
      <w:bookmarkEnd w:id="451"/>
      <w:r>
        <w:rPr>
          <w:rFonts w:hint="default"/>
        </w:rPr>
        <w:t>噪声防治措施</w:t>
      </w:r>
    </w:p>
    <w:p w14:paraId="33E26418">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本矿山生产过程中产噪设备主要有：挖掘机、装载机、振动</w:t>
      </w:r>
      <w:r>
        <w:rPr>
          <w:rFonts w:hint="default" w:ascii="Times New Roman" w:hAnsi="Times New Roman" w:cs="Times New Roman"/>
          <w:color w:val="auto"/>
          <w:highlight w:val="none"/>
          <w:lang w:val="en-US" w:eastAsia="zh-CN"/>
        </w:rPr>
        <w:t>摇摆筛</w:t>
      </w:r>
      <w:r>
        <w:rPr>
          <w:rFonts w:hint="default" w:ascii="Times New Roman" w:hAnsi="Times New Roman" w:cs="Times New Roman"/>
          <w:color w:val="auto"/>
          <w:highlight w:val="none"/>
        </w:rPr>
        <w:t>、振动</w:t>
      </w:r>
      <w:r>
        <w:rPr>
          <w:rFonts w:hint="default" w:ascii="Times New Roman" w:hAnsi="Times New Roman" w:cs="Times New Roman"/>
          <w:color w:val="auto"/>
          <w:highlight w:val="none"/>
          <w:lang w:val="en-US" w:eastAsia="zh-CN"/>
        </w:rPr>
        <w:t>筛选机、洗砂机</w:t>
      </w:r>
      <w:r>
        <w:rPr>
          <w:rFonts w:hint="default" w:ascii="Times New Roman" w:hAnsi="Times New Roman" w:cs="Times New Roman"/>
          <w:color w:val="auto"/>
          <w:highlight w:val="none"/>
        </w:rPr>
        <w:t>等。噪声控制措施为：</w:t>
      </w:r>
    </w:p>
    <w:p w14:paraId="580337D1">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（1）坚持源头把关的原则，对矿区用的各种机电产品选型时，除满足工艺要求外，还必须考虑其具有良好的声学特征（高效低噪），或设计时建议配套提供降噪设备。</w:t>
      </w:r>
    </w:p>
    <w:p w14:paraId="3FAAC32C">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（2）对于不能更换的噪声源要采用隔声防噪措施，为高噪声设备设置密闭间。</w:t>
      </w:r>
    </w:p>
    <w:p w14:paraId="7715F586">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（3）提高部件加工精度和装配质量，减少</w:t>
      </w:r>
      <w:r>
        <w:rPr>
          <w:rFonts w:hint="default" w:ascii="Times New Roman" w:hAnsi="Times New Roman" w:cs="Times New Roman"/>
          <w:color w:val="auto"/>
          <w:highlight w:val="none"/>
          <w:lang w:eastAsia="zh-CN"/>
        </w:rPr>
        <w:t>摩擦</w:t>
      </w:r>
      <w:r>
        <w:rPr>
          <w:rFonts w:hint="default" w:ascii="Times New Roman" w:hAnsi="Times New Roman" w:cs="Times New Roman"/>
          <w:color w:val="auto"/>
          <w:highlight w:val="none"/>
        </w:rPr>
        <w:t>或振动噪声，增加风机的阻尼，避免机壳共振。</w:t>
      </w:r>
    </w:p>
    <w:p w14:paraId="6F457C17">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（4）机器设备定期检修与保养，机器设备在正常状态下运转。</w:t>
      </w:r>
    </w:p>
    <w:p w14:paraId="0B9837D0">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风机、</w:t>
      </w:r>
      <w:r>
        <w:rPr>
          <w:rFonts w:hint="eastAsia" w:ascii="Times New Roman" w:hAnsi="Times New Roman" w:cs="Times New Roman"/>
          <w:color w:val="auto"/>
          <w:highlight w:val="none"/>
          <w:lang w:val="en-US" w:eastAsia="zh-CN"/>
        </w:rPr>
        <w:t>筛分机等</w:t>
      </w:r>
      <w:r>
        <w:rPr>
          <w:rFonts w:hint="default" w:ascii="Times New Roman" w:hAnsi="Times New Roman" w:cs="Times New Roman"/>
          <w:color w:val="auto"/>
          <w:highlight w:val="none"/>
        </w:rPr>
        <w:t>固定的强噪声设备，在其与基础面上增加胶皮垫，以起到减振降噪的作用。</w:t>
      </w:r>
    </w:p>
    <w:p w14:paraId="69CC778E">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）加强高噪声工序操作人员的劳动保护。对无法采取措施的作业场所，工作时操作人员</w:t>
      </w:r>
      <w:r>
        <w:rPr>
          <w:rFonts w:hint="default" w:ascii="Times New Roman" w:hAnsi="Times New Roman" w:cs="Times New Roman"/>
          <w:color w:val="auto"/>
          <w:highlight w:val="none"/>
          <w:lang w:eastAsia="zh-CN"/>
        </w:rPr>
        <w:t>佩戴</w:t>
      </w:r>
      <w:r>
        <w:rPr>
          <w:rFonts w:hint="default" w:ascii="Times New Roman" w:hAnsi="Times New Roman" w:cs="Times New Roman"/>
          <w:color w:val="auto"/>
          <w:highlight w:val="none"/>
        </w:rPr>
        <w:t>耳塞、耳罩和头盔等个人防护用品。</w:t>
      </w:r>
    </w:p>
    <w:p w14:paraId="517B9087">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在</w:t>
      </w:r>
      <w:r>
        <w:rPr>
          <w:rFonts w:hint="default" w:ascii="Times New Roman" w:hAnsi="Times New Roman" w:cs="Times New Roman"/>
          <w:color w:val="auto"/>
          <w:highlight w:val="none"/>
          <w:lang w:val="en-US" w:eastAsia="zh-CN"/>
        </w:rPr>
        <w:t>评价范围内</w:t>
      </w:r>
      <w:r>
        <w:rPr>
          <w:rFonts w:hint="default" w:ascii="Times New Roman" w:hAnsi="Times New Roman" w:cs="Times New Roman"/>
          <w:color w:val="auto"/>
          <w:highlight w:val="none"/>
        </w:rPr>
        <w:t>内无永久性居民点，本工程所采取的噪声防治措施可行。</w:t>
      </w:r>
    </w:p>
    <w:p w14:paraId="2E897970">
      <w:pPr>
        <w:pStyle w:val="4"/>
        <w:bidi w:val="0"/>
        <w:rPr>
          <w:rFonts w:hint="default"/>
        </w:rPr>
      </w:pPr>
      <w:bookmarkStart w:id="452" w:name="6.2.4固废污染防治措施"/>
      <w:bookmarkEnd w:id="452"/>
      <w:r>
        <w:rPr>
          <w:rFonts w:hint="default"/>
        </w:rPr>
        <w:t>固废污染防治措施</w:t>
      </w:r>
    </w:p>
    <w:p w14:paraId="5AE56F98">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矿山运营期间固体废物主要为</w:t>
      </w:r>
      <w:r>
        <w:rPr>
          <w:rFonts w:hint="default" w:ascii="Times New Roman" w:hAnsi="Times New Roman" w:cs="Times New Roman"/>
          <w:color w:val="auto"/>
          <w:sz w:val="24"/>
          <w:szCs w:val="24"/>
          <w:highlight w:val="none"/>
          <w:lang w:val="en-US" w:eastAsia="zh-CN"/>
        </w:rPr>
        <w:t>采矿初期产生的</w:t>
      </w:r>
      <w:r>
        <w:rPr>
          <w:rFonts w:hint="default" w:ascii="Times New Roman" w:hAnsi="Times New Roman" w:cs="Times New Roman"/>
          <w:color w:val="auto"/>
          <w:sz w:val="24"/>
          <w:szCs w:val="24"/>
          <w:highlight w:val="none"/>
        </w:rPr>
        <w:t>剥离表土</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矿石筛分过程中产生的筛分废料</w:t>
      </w:r>
      <w:r>
        <w:rPr>
          <w:rFonts w:hint="default" w:ascii="Times New Roman" w:hAnsi="Times New Roman" w:cs="Times New Roman"/>
          <w:color w:val="auto"/>
          <w:sz w:val="24"/>
          <w:szCs w:val="24"/>
          <w:highlight w:val="none"/>
          <w:lang w:val="en-US" w:eastAsia="zh-CN"/>
        </w:rPr>
        <w:t>及废土</w:t>
      </w:r>
      <w:r>
        <w:rPr>
          <w:rFonts w:hint="default" w:ascii="Times New Roman" w:hAnsi="Times New Roman" w:cs="Times New Roman"/>
          <w:color w:val="auto"/>
          <w:sz w:val="24"/>
          <w:szCs w:val="24"/>
          <w:highlight w:val="none"/>
        </w:rPr>
        <w:t>、生活垃圾。</w:t>
      </w:r>
    </w:p>
    <w:p w14:paraId="3B2EC1EC">
      <w:pPr>
        <w:numPr>
          <w:ilvl w:val="0"/>
          <w:numId w:val="50"/>
        </w:numPr>
        <w:spacing w:beforeLines="0" w:afterLines="0"/>
        <w:ind w:left="0" w:leftChars="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剥离</w:t>
      </w:r>
      <w:r>
        <w:rPr>
          <w:rFonts w:hint="default" w:ascii="Times New Roman" w:hAnsi="Times New Roman" w:cs="Times New Roman"/>
          <w:color w:val="auto"/>
          <w:sz w:val="24"/>
          <w:szCs w:val="24"/>
          <w:highlight w:val="none"/>
        </w:rPr>
        <w:t>表土</w:t>
      </w:r>
    </w:p>
    <w:p w14:paraId="58467247">
      <w:pPr>
        <w:numPr>
          <w:ilvl w:val="0"/>
          <w:numId w:val="0"/>
        </w:numPr>
        <w:spacing w:beforeLines="0" w:afterLines="0"/>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矿山根据开采计划，采场按采区划分情况分阶段进行表土剥离。根据开发利用方案，剥离表土量为</w:t>
      </w:r>
      <w:r>
        <w:rPr>
          <w:rFonts w:hint="default" w:ascii="Times New Roman" w:hAnsi="Times New Roman" w:eastAsia="宋体" w:cs="Times New Roman"/>
          <w:color w:val="auto"/>
          <w:sz w:val="24"/>
          <w:szCs w:val="24"/>
          <w:highlight w:val="none"/>
          <w:lang w:val="en-US" w:eastAsia="zh-CN"/>
        </w:rPr>
        <w:t>123548立方米</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设置表土堆场一处，</w:t>
      </w:r>
      <w:r>
        <w:rPr>
          <w:rFonts w:hint="default" w:ascii="Times New Roman" w:hAnsi="Times New Roman" w:eastAsia="宋体" w:cs="Times New Roman"/>
          <w:color w:val="auto"/>
          <w:sz w:val="24"/>
          <w:szCs w:val="24"/>
          <w:highlight w:val="none"/>
        </w:rPr>
        <w:t>最大</w:t>
      </w:r>
      <w:r>
        <w:rPr>
          <w:rFonts w:hint="default" w:ascii="Times New Roman" w:hAnsi="Times New Roman" w:eastAsia="宋体" w:cs="Times New Roman"/>
          <w:color w:val="auto"/>
          <w:sz w:val="24"/>
          <w:szCs w:val="24"/>
          <w:highlight w:val="none"/>
          <w:lang w:eastAsia="zh-CN"/>
        </w:rPr>
        <w:t>堆高</w:t>
      </w:r>
      <w:r>
        <w:rPr>
          <w:rFonts w:hint="default" w:ascii="Times New Roman" w:hAnsi="Times New Roman"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lang w:eastAsia="zh-CN"/>
        </w:rPr>
        <w:t>米</w:t>
      </w:r>
      <w:r>
        <w:rPr>
          <w:rFonts w:hint="default" w:ascii="Times New Roman" w:hAnsi="Times New Roman" w:eastAsia="宋体" w:cs="Times New Roman"/>
          <w:color w:val="auto"/>
          <w:sz w:val="24"/>
          <w:szCs w:val="24"/>
          <w:highlight w:val="none"/>
        </w:rPr>
        <w:t>，单层堆放，边坡小于30°</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表土堆放场容积约1</w:t>
      </w:r>
      <w:r>
        <w:rPr>
          <w:rFonts w:hint="default" w:ascii="Times New Roman" w:hAnsi="Times New Roman"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9356立方米</w:t>
      </w:r>
      <w:r>
        <w:rPr>
          <w:rFonts w:hint="default" w:ascii="Times New Roman" w:hAnsi="Times New Roman" w:cs="Times New Roman"/>
          <w:color w:val="auto"/>
          <w:sz w:val="24"/>
          <w:szCs w:val="24"/>
          <w:highlight w:val="none"/>
        </w:rPr>
        <w:t>，底部采用土袋围挡，播撒草籽绿化</w:t>
      </w:r>
      <w:r>
        <w:rPr>
          <w:rFonts w:hint="default" w:ascii="Times New Roman" w:hAnsi="Times New Roman" w:cs="Times New Roman"/>
          <w:color w:val="auto"/>
          <w:sz w:val="24"/>
          <w:szCs w:val="24"/>
          <w:highlight w:val="none"/>
          <w:lang w:val="en-US" w:eastAsia="zh-CN"/>
        </w:rPr>
        <w:t>固土</w:t>
      </w:r>
      <w:r>
        <w:rPr>
          <w:rFonts w:hint="default" w:ascii="Times New Roman" w:hAnsi="Times New Roman" w:cs="Times New Roman"/>
          <w:color w:val="auto"/>
          <w:sz w:val="24"/>
          <w:szCs w:val="24"/>
          <w:highlight w:val="none"/>
        </w:rPr>
        <w:t>，用于后期复垦用土。</w:t>
      </w:r>
    </w:p>
    <w:p w14:paraId="73CD36B4">
      <w:pPr>
        <w:numPr>
          <w:ilvl w:val="0"/>
          <w:numId w:val="50"/>
        </w:num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筛分废料处置措施</w:t>
      </w:r>
    </w:p>
    <w:p w14:paraId="079356C9">
      <w:pPr>
        <w:numPr>
          <w:ilvl w:val="0"/>
          <w:numId w:val="0"/>
        </w:numPr>
        <w:spacing w:beforeLines="0" w:afterLines="0"/>
        <w:ind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废料主要为筛分的废土和大于70目，小于20目的废料，</w:t>
      </w:r>
      <w:r>
        <w:rPr>
          <w:rFonts w:hint="default" w:ascii="Times New Roman" w:hAnsi="Times New Roman" w:cs="Times New Roman"/>
          <w:color w:val="auto"/>
          <w:sz w:val="24"/>
          <w:szCs w:val="24"/>
          <w:highlight w:val="none"/>
        </w:rPr>
        <w:t>本项目生产规模为</w:t>
      </w:r>
      <w:r>
        <w:rPr>
          <w:rFonts w:hint="default" w:ascii="Times New Roman" w:hAnsi="Times New Roman" w:cs="Times New Roman"/>
          <w:color w:val="auto"/>
          <w:sz w:val="24"/>
          <w:szCs w:val="24"/>
          <w:highlight w:val="none"/>
          <w:lang w:val="en-US" w:eastAsia="zh-CN"/>
        </w:rPr>
        <w:t>80</w:t>
      </w:r>
      <w:r>
        <w:rPr>
          <w:rFonts w:hint="default" w:ascii="Times New Roman" w:hAnsi="Times New Roman" w:cs="Times New Roman"/>
          <w:color w:val="auto"/>
          <w:sz w:val="24"/>
          <w:szCs w:val="24"/>
          <w:highlight w:val="none"/>
        </w:rPr>
        <w:t>万t/a，年产废料量</w:t>
      </w:r>
      <w:r>
        <w:rPr>
          <w:rFonts w:hint="default" w:ascii="Times New Roman" w:hAnsi="Times New Roman" w:cs="Times New Roman"/>
          <w:color w:val="auto"/>
          <w:sz w:val="24"/>
          <w:szCs w:val="24"/>
          <w:highlight w:val="none"/>
          <w:lang w:val="en-US" w:eastAsia="zh-CN"/>
        </w:rPr>
        <w:t>46万</w:t>
      </w:r>
      <w:r>
        <w:rPr>
          <w:rFonts w:hint="default" w:ascii="Times New Roman" w:hAnsi="Times New Roman" w:cs="Times New Roman"/>
          <w:color w:val="auto"/>
          <w:sz w:val="24"/>
          <w:szCs w:val="24"/>
          <w:highlight w:val="none"/>
        </w:rPr>
        <w:t>t</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根据《新疆采虹矿业投资有限公司新疆阜康市北部沙漠天然石英砂矿（压裂用）外围矿产资源开发利用与生态保护修复方案》，</w:t>
      </w:r>
      <w:r>
        <w:rPr>
          <w:rFonts w:hint="default" w:ascii="Times New Roman" w:hAnsi="Times New Roman" w:eastAsia="宋体" w:cs="Times New Roman"/>
          <w:color w:val="auto"/>
          <w:sz w:val="24"/>
          <w:szCs w:val="24"/>
          <w:highlight w:val="none"/>
          <w:lang w:val="en-US" w:eastAsia="zh-CN"/>
        </w:rPr>
        <w:t>设计一个</w:t>
      </w:r>
      <w:r>
        <w:rPr>
          <w:rFonts w:hint="default" w:ascii="Times New Roman" w:hAnsi="Times New Roman" w:cs="Times New Roman"/>
          <w:color w:val="auto"/>
          <w:sz w:val="24"/>
          <w:szCs w:val="24"/>
          <w:highlight w:val="none"/>
          <w:lang w:val="en-US" w:eastAsia="zh-CN"/>
        </w:rPr>
        <w:t>排土场</w:t>
      </w:r>
      <w:r>
        <w:rPr>
          <w:rFonts w:hint="default" w:ascii="Times New Roman" w:hAnsi="Times New Roman" w:eastAsia="宋体" w:cs="Times New Roman"/>
          <w:color w:val="auto"/>
          <w:sz w:val="24"/>
          <w:szCs w:val="24"/>
          <w:highlight w:val="none"/>
          <w:lang w:val="en-US" w:eastAsia="zh-CN"/>
        </w:rPr>
        <w:t>，设置在矿区东</w:t>
      </w:r>
      <w:r>
        <w:rPr>
          <w:rFonts w:hint="default" w:ascii="Times New Roman" w:hAnsi="Times New Roman" w:cs="Times New Roman"/>
          <w:color w:val="auto"/>
          <w:sz w:val="24"/>
          <w:szCs w:val="24"/>
          <w:highlight w:val="none"/>
          <w:lang w:val="en-US" w:eastAsia="zh-CN"/>
        </w:rPr>
        <w:t>南</w:t>
      </w:r>
      <w:r>
        <w:rPr>
          <w:rFonts w:hint="default" w:ascii="Times New Roman" w:hAnsi="Times New Roman" w:eastAsia="宋体" w:cs="Times New Roman"/>
          <w:color w:val="auto"/>
          <w:sz w:val="24"/>
          <w:szCs w:val="24"/>
          <w:highlight w:val="none"/>
          <w:lang w:val="en-US" w:eastAsia="zh-CN"/>
        </w:rPr>
        <w:t>侧地形平缓处，场地岩性为第四系，地形坡度3～5°左右，</w:t>
      </w:r>
      <w:r>
        <w:rPr>
          <w:rFonts w:hint="default" w:ascii="Times New Roman" w:hAnsi="Times New Roman" w:cs="Times New Roman"/>
          <w:color w:val="auto"/>
          <w:sz w:val="24"/>
          <w:szCs w:val="24"/>
          <w:highlight w:val="none"/>
          <w:lang w:val="en-US" w:eastAsia="zh-CN"/>
        </w:rPr>
        <w:t>排土场</w:t>
      </w:r>
      <w:r>
        <w:rPr>
          <w:rFonts w:hint="default" w:ascii="Times New Roman" w:hAnsi="Times New Roman" w:eastAsia="宋体" w:cs="Times New Roman"/>
          <w:color w:val="auto"/>
          <w:sz w:val="24"/>
          <w:szCs w:val="24"/>
          <w:highlight w:val="none"/>
          <w:lang w:val="en-US" w:eastAsia="zh-CN"/>
        </w:rPr>
        <w:t>占地面积为</w:t>
      </w:r>
      <w:r>
        <w:rPr>
          <w:rFonts w:hint="default" w:ascii="Times New Roman" w:hAnsi="Times New Roman" w:cs="Times New Roman"/>
          <w:color w:val="auto"/>
          <w:sz w:val="24"/>
          <w:highlight w:val="none"/>
          <w:lang w:val="en-US" w:eastAsia="zh-CN"/>
        </w:rPr>
        <w:t>4.58</w:t>
      </w:r>
      <w:r>
        <w:rPr>
          <w:rFonts w:hint="default" w:ascii="Times New Roman" w:hAnsi="Times New Roman" w:eastAsia="宋体" w:cs="Times New Roman"/>
          <w:color w:val="auto"/>
          <w:sz w:val="24"/>
          <w:szCs w:val="24"/>
          <w:highlight w:val="none"/>
          <w:lang w:val="en-US" w:eastAsia="zh-CN"/>
        </w:rPr>
        <w:t>hm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最大堆置高度</w:t>
      </w:r>
      <w:r>
        <w:rPr>
          <w:rFonts w:hint="default" w:ascii="Times New Roman" w:hAnsi="Times New Roman" w:cs="Times New Roman"/>
          <w:color w:val="auto"/>
          <w:sz w:val="24"/>
          <w:szCs w:val="24"/>
          <w:highlight w:val="none"/>
          <w:lang w:val="en-US" w:eastAsia="zh-CN"/>
        </w:rPr>
        <w:t>10</w:t>
      </w:r>
      <w:r>
        <w:rPr>
          <w:rFonts w:hint="default" w:ascii="Times New Roman" w:hAnsi="Times New Roman" w:cs="Times New Roman"/>
          <w:color w:val="auto"/>
          <w:sz w:val="24"/>
          <w:szCs w:val="24"/>
          <w:highlight w:val="none"/>
        </w:rPr>
        <w:t>m，</w:t>
      </w:r>
      <w:r>
        <w:rPr>
          <w:rFonts w:hint="default" w:ascii="Times New Roman" w:hAnsi="Times New Roman" w:eastAsia="宋体" w:cs="Times New Roman"/>
          <w:color w:val="auto"/>
          <w:sz w:val="24"/>
          <w:szCs w:val="24"/>
          <w:highlight w:val="none"/>
          <w:lang w:val="en-US" w:eastAsia="zh-CN"/>
        </w:rPr>
        <w:t>容积约</w:t>
      </w:r>
      <w:r>
        <w:rPr>
          <w:rFonts w:hint="default" w:ascii="Times New Roman" w:hAnsi="Times New Roman" w:cs="Times New Roman"/>
          <w:color w:val="auto"/>
          <w:sz w:val="24"/>
          <w:highlight w:val="none"/>
          <w:lang w:val="en-US" w:eastAsia="zh-CN"/>
        </w:rPr>
        <w:t>40.63</w:t>
      </w:r>
      <w:r>
        <w:rPr>
          <w:rFonts w:hint="default" w:ascii="Times New Roman" w:hAnsi="Times New Roman" w:eastAsia="宋体" w:cs="Times New Roman"/>
          <w:color w:val="auto"/>
          <w:sz w:val="24"/>
          <w:szCs w:val="24"/>
          <w:highlight w:val="none"/>
          <w:lang w:val="en-US" w:eastAsia="zh-CN"/>
        </w:rPr>
        <w:t>万m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排土场可满足矿山筛分废土堆放需求。</w:t>
      </w:r>
    </w:p>
    <w:p w14:paraId="59E99CF4">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为避免堆场地质灾害，满足生产废料的堆放要求，保证矿山正常生产，同时防止崩塌灾害发生，必须对堆场采取以下措施：</w:t>
      </w:r>
    </w:p>
    <w:p w14:paraId="1290C9A6">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①</w:t>
      </w:r>
      <w:r>
        <w:rPr>
          <w:rFonts w:hint="default" w:ascii="Times New Roman" w:hAnsi="Times New Roman" w:cs="Times New Roman"/>
          <w:color w:val="auto"/>
          <w:sz w:val="24"/>
          <w:szCs w:val="24"/>
          <w:highlight w:val="none"/>
          <w:lang w:val="en-US" w:eastAsia="zh-CN"/>
        </w:rPr>
        <w:t>排土场</w:t>
      </w:r>
      <w:r>
        <w:rPr>
          <w:rFonts w:hint="default" w:ascii="Times New Roman" w:hAnsi="Times New Roman" w:cs="Times New Roman"/>
          <w:color w:val="auto"/>
          <w:sz w:val="24"/>
          <w:szCs w:val="24"/>
          <w:highlight w:val="none"/>
        </w:rPr>
        <w:t>采取必要的挡护和排洪措施，废料堆场坡底部设土袋作为挡墙，在废料堆场两侧及坡底修筑截排水沟，保证洪水沿着导流渠顺畅流走，以防雨水冲刷</w:t>
      </w:r>
      <w:r>
        <w:rPr>
          <w:rFonts w:hint="default" w:ascii="Times New Roman" w:hAnsi="Times New Roman" w:cs="Times New Roman"/>
          <w:color w:val="auto"/>
          <w:sz w:val="24"/>
          <w:szCs w:val="24"/>
          <w:highlight w:val="none"/>
          <w:lang w:val="en-US" w:eastAsia="zh-CN"/>
        </w:rPr>
        <w:t>排土场</w:t>
      </w:r>
      <w:r>
        <w:rPr>
          <w:rFonts w:hint="default" w:ascii="Times New Roman" w:hAnsi="Times New Roman" w:cs="Times New Roman"/>
          <w:color w:val="auto"/>
          <w:sz w:val="24"/>
          <w:szCs w:val="24"/>
          <w:highlight w:val="none"/>
        </w:rPr>
        <w:t>形成泥石流。</w:t>
      </w:r>
    </w:p>
    <w:p w14:paraId="51CD9FAB">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②</w:t>
      </w:r>
      <w:r>
        <w:rPr>
          <w:rFonts w:hint="default" w:ascii="Times New Roman" w:hAnsi="Times New Roman" w:cs="Times New Roman"/>
          <w:color w:val="auto"/>
          <w:sz w:val="24"/>
          <w:szCs w:val="24"/>
          <w:highlight w:val="none"/>
          <w:lang w:val="en-US" w:eastAsia="zh-CN"/>
        </w:rPr>
        <w:t>排土场</w:t>
      </w:r>
      <w:r>
        <w:rPr>
          <w:rFonts w:hint="default" w:ascii="Times New Roman" w:hAnsi="Times New Roman" w:cs="Times New Roman"/>
          <w:color w:val="auto"/>
          <w:sz w:val="24"/>
          <w:szCs w:val="24"/>
          <w:highlight w:val="none"/>
        </w:rPr>
        <w:t>边坡稳定坡角不得大于30°，定期对</w:t>
      </w:r>
      <w:r>
        <w:rPr>
          <w:rFonts w:hint="default" w:ascii="Times New Roman" w:hAnsi="Times New Roman" w:cs="Times New Roman"/>
          <w:color w:val="auto"/>
          <w:sz w:val="24"/>
          <w:szCs w:val="24"/>
          <w:highlight w:val="none"/>
          <w:lang w:val="en-US" w:eastAsia="zh-CN"/>
        </w:rPr>
        <w:t>排土场</w:t>
      </w:r>
      <w:r>
        <w:rPr>
          <w:rFonts w:hint="default" w:ascii="Times New Roman" w:hAnsi="Times New Roman" w:cs="Times New Roman"/>
          <w:color w:val="auto"/>
          <w:sz w:val="24"/>
          <w:szCs w:val="24"/>
          <w:highlight w:val="none"/>
        </w:rPr>
        <w:t>进行削坡处理，以保证废料堆场稳定性。</w:t>
      </w:r>
    </w:p>
    <w:p w14:paraId="3002871A">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③根据废石情况逐步实施渣坡平整、分层压实，禁止和生活垃圾混入。</w:t>
      </w:r>
    </w:p>
    <w:p w14:paraId="732D2360">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④控制废料堆场废石堆放范围，严禁废石越界堆放。</w:t>
      </w:r>
    </w:p>
    <w:p w14:paraId="0B2BFC08">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⑤对废料堆场建立检查维护制度，定期检查维护土袋挡墙、排水工艺等设施，发现有损坏可能或异常，应及时采取必要措施，以保障正常运行；加强监督管理，设置环境保护图形标志。</w:t>
      </w:r>
    </w:p>
    <w:p w14:paraId="77168454">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⑥废料堆场选址及处置符合《一般工业固体废物贮存和填埋污染控制标准》（GB18599-2020）中对场址选择的环境保护要求。</w:t>
      </w:r>
    </w:p>
    <w:p w14:paraId="20F1BC61">
      <w:pPr>
        <w:numPr>
          <w:ilvl w:val="0"/>
          <w:numId w:val="50"/>
        </w:numPr>
        <w:spacing w:beforeLines="0" w:afterLines="0"/>
        <w:ind w:left="0" w:leftChars="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生活垃圾</w:t>
      </w:r>
    </w:p>
    <w:p w14:paraId="179DB3E3">
      <w:pPr>
        <w:numPr>
          <w:ilvl w:val="0"/>
          <w:numId w:val="0"/>
        </w:numPr>
        <w:spacing w:beforeLines="0" w:afterLines="0"/>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职工办公生活过程产生的生活垃圾，</w:t>
      </w:r>
      <w:r>
        <w:rPr>
          <w:rFonts w:hint="default" w:ascii="Times New Roman" w:hAnsi="Times New Roman" w:cs="Times New Roman"/>
          <w:color w:val="auto"/>
          <w:sz w:val="24"/>
          <w:szCs w:val="24"/>
          <w:highlight w:val="none"/>
          <w:lang w:val="en-US" w:eastAsia="zh-CN"/>
        </w:rPr>
        <w:t>在生活区采用垃圾箱进行分类收集</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统一由建设单位定期拉运至阜康市生活垃圾填埋场卫生填埋。</w:t>
      </w:r>
    </w:p>
    <w:p w14:paraId="2339C206">
      <w:pPr>
        <w:numPr>
          <w:ilvl w:val="0"/>
          <w:numId w:val="50"/>
        </w:numPr>
        <w:spacing w:beforeLines="0" w:afterLines="0"/>
        <w:ind w:left="0" w:leftChars="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沉渣</w:t>
      </w:r>
    </w:p>
    <w:p w14:paraId="34E648FE">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本项目生产废水在</w:t>
      </w:r>
      <w:r>
        <w:rPr>
          <w:rFonts w:hint="default" w:ascii="Times New Roman" w:hAnsi="Times New Roman" w:cs="Times New Roman"/>
          <w:color w:val="auto"/>
          <w:sz w:val="24"/>
          <w:szCs w:val="24"/>
          <w:highlight w:val="none"/>
          <w:lang w:eastAsia="zh-CN"/>
        </w:rPr>
        <w:t>沉淀池</w:t>
      </w:r>
      <w:r>
        <w:rPr>
          <w:rFonts w:hint="default" w:ascii="Times New Roman" w:hAnsi="Times New Roman" w:cs="Times New Roman"/>
          <w:color w:val="auto"/>
          <w:sz w:val="24"/>
          <w:szCs w:val="24"/>
          <w:highlight w:val="none"/>
        </w:rPr>
        <w:t>中沉淀产生的沉渣，产生量约为</w:t>
      </w:r>
      <w:r>
        <w:rPr>
          <w:rFonts w:hint="default"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rPr>
        <w:t>t/a，定期清运至废料堆场。</w:t>
      </w:r>
    </w:p>
    <w:p w14:paraId="5D64DD1B">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综上所述，本项目运营期间产生固体废物均得到及时妥善处置，对周边环境卫生、 景观和人群产生影响较小，采取的固废处置和污染防治措施可行。</w:t>
      </w:r>
    </w:p>
    <w:p w14:paraId="2E7138D5">
      <w:pPr>
        <w:pStyle w:val="4"/>
        <w:bidi w:val="0"/>
        <w:rPr>
          <w:rFonts w:hint="default"/>
        </w:rPr>
      </w:pPr>
      <w:bookmarkStart w:id="453" w:name="6.2.5生态环境保护措施"/>
      <w:bookmarkEnd w:id="453"/>
      <w:r>
        <w:rPr>
          <w:rFonts w:hint="default"/>
        </w:rPr>
        <w:t>生态环境保护措施及生态恢复建设</w:t>
      </w:r>
    </w:p>
    <w:p w14:paraId="756C296D">
      <w:pPr>
        <w:pStyle w:val="5"/>
        <w:bidi w:val="0"/>
        <w:rPr>
          <w:rFonts w:hint="default"/>
        </w:rPr>
      </w:pPr>
      <w:bookmarkStart w:id="454" w:name="6.2.5.1生态保护措施"/>
      <w:bookmarkEnd w:id="454"/>
      <w:bookmarkStart w:id="455" w:name="_Toc24122"/>
      <w:bookmarkStart w:id="456" w:name="_Toc9749"/>
      <w:bookmarkStart w:id="457" w:name="_Toc14768"/>
      <w:bookmarkStart w:id="458" w:name="_Toc20932"/>
      <w:r>
        <w:rPr>
          <w:rFonts w:hint="default"/>
        </w:rPr>
        <w:t>矿山生态保护与恢复治理的一般要求</w:t>
      </w:r>
    </w:p>
    <w:p w14:paraId="401A5023">
      <w:pPr>
        <w:ind w:firstLine="48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依据《矿山生态环境保护与恢复治理技术规范（试行）》（HJ651-2013）</w:t>
      </w:r>
      <w:r>
        <w:rPr>
          <w:rFonts w:hint="default" w:ascii="Times New Roman" w:hAnsi="Times New Roman" w:cs="Times New Roman"/>
          <w:color w:val="auto"/>
          <w:kern w:val="0"/>
          <w:sz w:val="24"/>
          <w:highlight w:val="none"/>
          <w:lang w:val="en-US" w:eastAsia="zh-CN"/>
        </w:rPr>
        <w:t>及</w:t>
      </w:r>
      <w:r>
        <w:rPr>
          <w:rFonts w:hint="default" w:ascii="Times New Roman" w:hAnsi="Times New Roman" w:eastAsia="宋体" w:cs="Times New Roman"/>
          <w:color w:val="auto"/>
          <w:kern w:val="0"/>
          <w:sz w:val="24"/>
          <w:highlight w:val="none"/>
        </w:rPr>
        <w:t>要求进行</w:t>
      </w:r>
      <w:r>
        <w:rPr>
          <w:rFonts w:hint="default" w:ascii="Times New Roman" w:hAnsi="Times New Roman" w:eastAsia="宋体" w:cs="Times New Roman"/>
          <w:color w:val="auto"/>
          <w:kern w:val="0"/>
          <w:sz w:val="24"/>
          <w:highlight w:val="none"/>
          <w:lang w:eastAsia="zh-CN"/>
        </w:rPr>
        <w:t>本工程</w:t>
      </w:r>
      <w:r>
        <w:rPr>
          <w:rFonts w:hint="default" w:ascii="Times New Roman" w:hAnsi="Times New Roman" w:eastAsia="宋体" w:cs="Times New Roman"/>
          <w:color w:val="auto"/>
          <w:kern w:val="0"/>
          <w:sz w:val="24"/>
          <w:highlight w:val="none"/>
        </w:rPr>
        <w:t>的生态恢复建设。</w:t>
      </w:r>
    </w:p>
    <w:p w14:paraId="032B2AE2">
      <w:pPr>
        <w:ind w:firstLine="480"/>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highlight w:val="none"/>
        </w:rPr>
        <w:t>矿山生态保护与恢复治理的一般要求见表6.2-</w:t>
      </w:r>
      <w:r>
        <w:rPr>
          <w:rFonts w:hint="default" w:ascii="Times New Roman" w:hAnsi="Times New Roman" w:cs="Times New Roman"/>
          <w:color w:val="auto"/>
          <w:kern w:val="0"/>
          <w:sz w:val="24"/>
          <w:highlight w:val="none"/>
          <w:lang w:val="en-US" w:eastAsia="zh-CN"/>
        </w:rPr>
        <w:t>1</w:t>
      </w:r>
      <w:r>
        <w:rPr>
          <w:rFonts w:hint="default" w:ascii="Times New Roman" w:hAnsi="Times New Roman" w:eastAsia="宋体" w:cs="Times New Roman"/>
          <w:color w:val="auto"/>
          <w:kern w:val="0"/>
          <w:sz w:val="24"/>
          <w:highlight w:val="none"/>
        </w:rPr>
        <w:t>。</w:t>
      </w:r>
    </w:p>
    <w:p w14:paraId="67518C95">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表6.2-</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 xml:space="preserve">    矿山保护与恢复治理的一般要求</w:t>
      </w:r>
    </w:p>
    <w:tbl>
      <w:tblPr>
        <w:tblStyle w:val="31"/>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95"/>
        <w:gridCol w:w="4467"/>
        <w:gridCol w:w="4100"/>
      </w:tblGrid>
      <w:tr w14:paraId="770C63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425" w:type="pct"/>
            <w:noWrap w:val="0"/>
            <w:vAlign w:val="center"/>
          </w:tcPr>
          <w:p w14:paraId="5A6340D9">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序号</w:t>
            </w:r>
          </w:p>
        </w:tc>
        <w:tc>
          <w:tcPr>
            <w:tcW w:w="2385" w:type="pct"/>
            <w:noWrap w:val="0"/>
            <w:vAlign w:val="center"/>
          </w:tcPr>
          <w:p w14:paraId="59050CB7">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保护与恢复治理要求</w:t>
            </w:r>
          </w:p>
        </w:tc>
        <w:tc>
          <w:tcPr>
            <w:tcW w:w="2189" w:type="pct"/>
            <w:noWrap w:val="0"/>
            <w:vAlign w:val="center"/>
          </w:tcPr>
          <w:p w14:paraId="78FE6E02">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符合情况</w:t>
            </w:r>
          </w:p>
        </w:tc>
      </w:tr>
      <w:tr w14:paraId="2F10FF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5" w:type="pct"/>
            <w:noWrap w:val="0"/>
            <w:vAlign w:val="center"/>
          </w:tcPr>
          <w:p w14:paraId="61E62EA1">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c>
          <w:tcPr>
            <w:tcW w:w="2385" w:type="pct"/>
            <w:noWrap w:val="0"/>
            <w:vAlign w:val="center"/>
          </w:tcPr>
          <w:p w14:paraId="1CCCFD2C">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禁止在依法划定的自然保护区、风景名胜区、森林公园、饮用水水源保护区、文物古迹所在地、地质遗迹保护区、基本农田保护区等重要生态保护地以及其他法律法规规定的禁采区域内采矿。</w:t>
            </w:r>
          </w:p>
        </w:tc>
        <w:tc>
          <w:tcPr>
            <w:tcW w:w="2189" w:type="pct"/>
            <w:noWrap w:val="0"/>
            <w:vAlign w:val="center"/>
          </w:tcPr>
          <w:p w14:paraId="6592C7F7">
            <w:pPr>
              <w:pStyle w:val="48"/>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val="en-US" w:eastAsia="zh-CN"/>
              </w:rPr>
              <w:t>本工程不涉及</w:t>
            </w:r>
            <w:r>
              <w:rPr>
                <w:rFonts w:hint="default" w:ascii="Times New Roman" w:hAnsi="Times New Roman" w:cs="Times New Roman"/>
                <w:color w:val="auto"/>
                <w:highlight w:val="none"/>
              </w:rPr>
              <w:t>自然保护区、风景名胜区、森林公园、饮用水水源保护区、文物古迹所在地、地质遗迹保护区、基本农田保护区等重要生态保护地及其他法律法规规定的禁采区</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符合</w:t>
            </w:r>
          </w:p>
        </w:tc>
      </w:tr>
      <w:tr w14:paraId="6A1979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25" w:type="pct"/>
            <w:noWrap w:val="0"/>
            <w:vAlign w:val="center"/>
          </w:tcPr>
          <w:p w14:paraId="40BA47AB">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w:t>
            </w:r>
          </w:p>
        </w:tc>
        <w:tc>
          <w:tcPr>
            <w:tcW w:w="2385" w:type="pct"/>
            <w:noWrap w:val="0"/>
            <w:vAlign w:val="center"/>
          </w:tcPr>
          <w:p w14:paraId="42E8E9B4">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矿产资源开发活动应符合国家和区域主体功能区规划、生态功能区划、生态环境保护规划的要求，采取有效预防和保护措施，避免或减轻矿产资源开发活动造成的生态破坏和环境污染。</w:t>
            </w:r>
          </w:p>
        </w:tc>
        <w:tc>
          <w:tcPr>
            <w:tcW w:w="2189" w:type="pct"/>
            <w:noWrap w:val="0"/>
            <w:vAlign w:val="center"/>
          </w:tcPr>
          <w:p w14:paraId="09AE7ADE">
            <w:pPr>
              <w:pStyle w:val="48"/>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val="en-US" w:eastAsia="zh-CN"/>
              </w:rPr>
              <w:t>本工程符合</w:t>
            </w:r>
            <w:r>
              <w:rPr>
                <w:rFonts w:hint="default" w:ascii="Times New Roman" w:hAnsi="Times New Roman" w:cs="Times New Roman"/>
                <w:color w:val="auto"/>
                <w:highlight w:val="none"/>
              </w:rPr>
              <w:t>国家和区域主体功能区规划、生态功能区划、生态环境保护规划的要求</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建设单位已开展相关预防和保护措施，</w:t>
            </w:r>
            <w:r>
              <w:rPr>
                <w:rFonts w:hint="default" w:ascii="Times New Roman" w:hAnsi="Times New Roman" w:cs="Times New Roman"/>
                <w:color w:val="auto"/>
                <w:highlight w:val="none"/>
              </w:rPr>
              <w:t>符合</w:t>
            </w:r>
          </w:p>
        </w:tc>
      </w:tr>
      <w:tr w14:paraId="4A2B52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25" w:type="pct"/>
            <w:noWrap w:val="0"/>
            <w:vAlign w:val="center"/>
          </w:tcPr>
          <w:p w14:paraId="7C8AD187">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3</w:t>
            </w:r>
          </w:p>
        </w:tc>
        <w:tc>
          <w:tcPr>
            <w:tcW w:w="2385" w:type="pct"/>
            <w:noWrap w:val="0"/>
            <w:vAlign w:val="center"/>
          </w:tcPr>
          <w:p w14:paraId="6C8BF936">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坚持预防为主、防治结合、过程控制的原则，将矿山生态环境保护与恢复治理贯穿矿产资源开采的全过程。根据矿山生态环境保护与恢复治理的重点任务，合理确定矿山生态保护与恢复治理分区，优化矿区生产与生活空间格局。采用新技术、新方法、新工艺提高矿山生态环境保护和恢复治理水平。</w:t>
            </w:r>
          </w:p>
        </w:tc>
        <w:tc>
          <w:tcPr>
            <w:tcW w:w="2189" w:type="pct"/>
            <w:noWrap w:val="0"/>
            <w:vAlign w:val="center"/>
          </w:tcPr>
          <w:p w14:paraId="139E765F">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建设单位2024年12月已编制</w:t>
            </w:r>
            <w:r>
              <w:rPr>
                <w:rFonts w:hint="default" w:ascii="Times New Roman" w:hAnsi="Times New Roman" w:cs="Times New Roman"/>
                <w:color w:val="auto"/>
                <w:highlight w:val="none"/>
              </w:rPr>
              <w:t>矿产资源开发利用与生态保护修复方案</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设置有生态环境保护与恢复治理任务，并取得</w:t>
            </w:r>
            <w:r>
              <w:rPr>
                <w:rFonts w:hint="default" w:ascii="Times New Roman" w:hAnsi="Times New Roman" w:cs="Times New Roman"/>
                <w:b/>
                <w:bCs/>
                <w:color w:val="auto"/>
                <w:highlight w:val="none"/>
                <w:lang w:val="en-US" w:eastAsia="zh-CN"/>
              </w:rPr>
              <w:t>《新疆采虹矿业投资有限公司新疆阜康市北部沙漠天然石英砂矿(压裂用)外围矿产资源开发利用与生态保护修复方案》评审意见书（昌州审(2025)45号）</w:t>
            </w:r>
            <w:r>
              <w:rPr>
                <w:rFonts w:hint="default" w:ascii="Times New Roman" w:hAnsi="Times New Roman" w:cs="Times New Roman"/>
                <w:color w:val="auto"/>
                <w:highlight w:val="none"/>
                <w:lang w:val="en-US" w:eastAsia="zh-CN"/>
              </w:rPr>
              <w:t>，建设单位将按照方案实施，</w:t>
            </w:r>
            <w:r>
              <w:rPr>
                <w:rFonts w:hint="default" w:ascii="Times New Roman" w:hAnsi="Times New Roman" w:cs="Times New Roman"/>
                <w:color w:val="auto"/>
                <w:highlight w:val="none"/>
              </w:rPr>
              <w:t>符合</w:t>
            </w:r>
          </w:p>
        </w:tc>
      </w:tr>
      <w:tr w14:paraId="0D4E19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5" w:type="pct"/>
            <w:noWrap w:val="0"/>
            <w:vAlign w:val="center"/>
          </w:tcPr>
          <w:p w14:paraId="7C5BB802">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4</w:t>
            </w:r>
          </w:p>
        </w:tc>
        <w:tc>
          <w:tcPr>
            <w:tcW w:w="2385" w:type="pct"/>
            <w:noWrap w:val="0"/>
            <w:vAlign w:val="center"/>
          </w:tcPr>
          <w:p w14:paraId="11FCF196">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所有矿山</w:t>
            </w:r>
            <w:r>
              <w:rPr>
                <w:rFonts w:hint="default" w:ascii="Times New Roman" w:hAnsi="Times New Roman" w:cs="Times New Roman"/>
                <w:color w:val="auto"/>
                <w:highlight w:val="none"/>
                <w:lang w:eastAsia="zh-CN"/>
              </w:rPr>
              <w:t>建设单位</w:t>
            </w:r>
            <w:r>
              <w:rPr>
                <w:rFonts w:hint="default" w:ascii="Times New Roman" w:hAnsi="Times New Roman" w:cs="Times New Roman"/>
                <w:color w:val="auto"/>
                <w:highlight w:val="none"/>
              </w:rPr>
              <w:t>均应对照本标准各项要求，编制实施矿山生态环境保护与恢复治理方案。</w:t>
            </w:r>
          </w:p>
        </w:tc>
        <w:tc>
          <w:tcPr>
            <w:tcW w:w="2189" w:type="pct"/>
            <w:noWrap w:val="0"/>
            <w:vAlign w:val="center"/>
          </w:tcPr>
          <w:p w14:paraId="64CB6B8B">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建设单位已编制</w:t>
            </w:r>
            <w:r>
              <w:rPr>
                <w:rFonts w:hint="default" w:ascii="Times New Roman" w:hAnsi="Times New Roman" w:cs="Times New Roman"/>
                <w:color w:val="auto"/>
                <w:highlight w:val="none"/>
              </w:rPr>
              <w:t>矿产资源开发利用与生态保护修复方案</w:t>
            </w:r>
            <w:r>
              <w:rPr>
                <w:rFonts w:hint="default" w:ascii="Times New Roman" w:hAnsi="Times New Roman" w:cs="Times New Roman"/>
                <w:color w:val="auto"/>
                <w:highlight w:val="none"/>
                <w:lang w:val="en-US" w:eastAsia="zh-CN"/>
              </w:rPr>
              <w:t>，方案已通过评审，建设单位将按照方案实施，符合</w:t>
            </w:r>
          </w:p>
        </w:tc>
      </w:tr>
      <w:tr w14:paraId="14C690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5" w:type="pct"/>
            <w:noWrap w:val="0"/>
            <w:vAlign w:val="center"/>
          </w:tcPr>
          <w:p w14:paraId="320C0671">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5</w:t>
            </w:r>
          </w:p>
        </w:tc>
        <w:tc>
          <w:tcPr>
            <w:tcW w:w="2385" w:type="pct"/>
            <w:noWrap w:val="0"/>
            <w:vAlign w:val="center"/>
          </w:tcPr>
          <w:p w14:paraId="1DDF30D8">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恢复治理后的各类场地应实现：安全稳定，对人类和动植物不造成威胁；对周边环境不产生污染；与周边自然环境和景观相协调；恢复土地基本功能，因地制宜实现土地可持续利用；区域整体生态功能得到保护和恢复。</w:t>
            </w:r>
          </w:p>
        </w:tc>
        <w:tc>
          <w:tcPr>
            <w:tcW w:w="2189" w:type="pct"/>
            <w:noWrap w:val="0"/>
            <w:vAlign w:val="center"/>
          </w:tcPr>
          <w:p w14:paraId="27F1324C">
            <w:pPr>
              <w:pStyle w:val="48"/>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val="en-US" w:eastAsia="zh-CN"/>
              </w:rPr>
              <w:t>建设单位已编制</w:t>
            </w:r>
            <w:r>
              <w:rPr>
                <w:rFonts w:hint="default" w:ascii="Times New Roman" w:hAnsi="Times New Roman" w:cs="Times New Roman"/>
                <w:color w:val="auto"/>
                <w:highlight w:val="none"/>
              </w:rPr>
              <w:t>矿产资源开发利用与生态保护修复方案</w:t>
            </w:r>
            <w:r>
              <w:rPr>
                <w:rFonts w:hint="default" w:ascii="Times New Roman" w:hAnsi="Times New Roman" w:cs="Times New Roman"/>
                <w:color w:val="auto"/>
                <w:highlight w:val="none"/>
                <w:lang w:val="en-US" w:eastAsia="zh-CN"/>
              </w:rPr>
              <w:t>，方案已通过评审，建设单位将按照方案实施，</w:t>
            </w:r>
            <w:r>
              <w:rPr>
                <w:rFonts w:hint="default" w:ascii="Times New Roman" w:hAnsi="Times New Roman" w:cs="Times New Roman"/>
                <w:color w:val="auto"/>
                <w:highlight w:val="none"/>
                <w:lang w:eastAsia="zh-CN"/>
              </w:rPr>
              <w:t>符合</w:t>
            </w:r>
          </w:p>
        </w:tc>
      </w:tr>
    </w:tbl>
    <w:p w14:paraId="3E8CB764">
      <w:pPr>
        <w:pStyle w:val="5"/>
        <w:bidi w:val="0"/>
        <w:rPr>
          <w:rFonts w:hint="default"/>
        </w:rPr>
      </w:pPr>
      <w:r>
        <w:rPr>
          <w:rFonts w:hint="default"/>
        </w:rPr>
        <w:t>矿山生态保护措施</w:t>
      </w:r>
      <w:bookmarkEnd w:id="455"/>
      <w:bookmarkEnd w:id="456"/>
      <w:bookmarkEnd w:id="457"/>
      <w:bookmarkEnd w:id="458"/>
    </w:p>
    <w:p w14:paraId="4AAC28B1">
      <w:pPr>
        <w:numPr>
          <w:ilvl w:val="0"/>
          <w:numId w:val="51"/>
        </w:numPr>
        <w:spacing w:beforeLines="0" w:afterLines="0"/>
        <w:ind w:left="0" w:leftChars="0"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sz w:val="24"/>
          <w:szCs w:val="24"/>
          <w:highlight w:val="none"/>
        </w:rPr>
        <w:t>限定</w:t>
      </w:r>
      <w:r>
        <w:rPr>
          <w:rFonts w:hint="default" w:ascii="Times New Roman" w:hAnsi="Times New Roman" w:eastAsia="宋体" w:cs="Times New Roman"/>
          <w:color w:val="auto"/>
          <w:kern w:val="0"/>
          <w:sz w:val="24"/>
          <w:highlight w:val="none"/>
        </w:rPr>
        <w:t>车辆行驶路线，</w:t>
      </w:r>
      <w:r>
        <w:rPr>
          <w:rFonts w:hint="default" w:ascii="Times New Roman" w:hAnsi="Times New Roman" w:cs="Times New Roman"/>
          <w:color w:val="auto"/>
          <w:kern w:val="0"/>
          <w:sz w:val="24"/>
          <w:highlight w:val="none"/>
          <w:lang w:val="en-US" w:eastAsia="zh-CN"/>
        </w:rPr>
        <w:t>尽量在划定道路范围内行驶，</w:t>
      </w:r>
      <w:r>
        <w:rPr>
          <w:rFonts w:hint="default" w:ascii="Times New Roman" w:hAnsi="Times New Roman" w:eastAsia="宋体" w:cs="Times New Roman"/>
          <w:color w:val="auto"/>
          <w:kern w:val="0"/>
          <w:sz w:val="24"/>
          <w:highlight w:val="none"/>
        </w:rPr>
        <w:t>禁止私开便道碾压破坏非施工区域原始地貌；</w:t>
      </w:r>
    </w:p>
    <w:p w14:paraId="4B0C834A">
      <w:pPr>
        <w:numPr>
          <w:ilvl w:val="0"/>
          <w:numId w:val="51"/>
        </w:numPr>
        <w:spacing w:beforeLines="0" w:afterLines="0"/>
        <w:ind w:left="0" w:leftChars="0"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运营期</w:t>
      </w:r>
      <w:r>
        <w:rPr>
          <w:rFonts w:hint="default" w:ascii="Times New Roman" w:hAnsi="Times New Roman" w:cs="Times New Roman"/>
          <w:color w:val="auto"/>
          <w:kern w:val="0"/>
          <w:sz w:val="24"/>
          <w:highlight w:val="none"/>
          <w:lang w:val="en-US" w:eastAsia="zh-CN"/>
        </w:rPr>
        <w:t>应</w:t>
      </w:r>
      <w:r>
        <w:rPr>
          <w:rFonts w:hint="default" w:ascii="Times New Roman" w:hAnsi="Times New Roman" w:eastAsia="宋体" w:cs="Times New Roman"/>
          <w:color w:val="auto"/>
          <w:kern w:val="0"/>
          <w:sz w:val="24"/>
          <w:highlight w:val="none"/>
        </w:rPr>
        <w:t>严格按照划定的开采范围进行开采</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贯彻“边开采、边治理、边恢复”的原则，及时治理恢复矿山地质环境，复垦矿山占用土地和损毁土地，对矿区进行生态恢复及土地复垦至与周围地貌协调。</w:t>
      </w:r>
    </w:p>
    <w:p w14:paraId="3536CE8C">
      <w:pPr>
        <w:numPr>
          <w:ilvl w:val="0"/>
          <w:numId w:val="51"/>
        </w:numPr>
        <w:spacing w:beforeLines="0" w:afterLines="0"/>
        <w:ind w:left="0" w:leftChars="0"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矿山开采应在矿区范围及各种采矿活动的可能影响区进行</w:t>
      </w:r>
      <w:r>
        <w:rPr>
          <w:rFonts w:hint="default" w:ascii="Times New Roman" w:hAnsi="Times New Roman" w:cs="Times New Roman"/>
          <w:color w:val="auto"/>
          <w:kern w:val="0"/>
          <w:sz w:val="24"/>
          <w:highlight w:val="none"/>
          <w:lang w:val="en-US" w:eastAsia="zh-CN"/>
        </w:rPr>
        <w:t>例行</w:t>
      </w:r>
      <w:r>
        <w:rPr>
          <w:rFonts w:hint="default" w:ascii="Times New Roman" w:hAnsi="Times New Roman" w:eastAsia="宋体" w:cs="Times New Roman"/>
          <w:color w:val="auto"/>
          <w:kern w:val="0"/>
          <w:sz w:val="24"/>
          <w:highlight w:val="none"/>
        </w:rPr>
        <w:t>生物多样性现状调查，保护矿山生物多样性。减少开采、废石和运输等活动对</w:t>
      </w:r>
      <w:r>
        <w:rPr>
          <w:rFonts w:hint="default" w:ascii="Times New Roman" w:hAnsi="Times New Roman" w:cs="Times New Roman"/>
          <w:color w:val="auto"/>
          <w:kern w:val="0"/>
          <w:sz w:val="24"/>
          <w:highlight w:val="none"/>
          <w:lang w:val="en-US" w:eastAsia="zh-CN"/>
        </w:rPr>
        <w:t>动物及植物</w:t>
      </w:r>
      <w:r>
        <w:rPr>
          <w:rFonts w:hint="default" w:ascii="Times New Roman" w:hAnsi="Times New Roman" w:eastAsia="宋体" w:cs="Times New Roman"/>
          <w:color w:val="auto"/>
          <w:kern w:val="0"/>
          <w:sz w:val="24"/>
          <w:highlight w:val="none"/>
        </w:rPr>
        <w:t>的破坏和扰动；</w:t>
      </w:r>
    </w:p>
    <w:p w14:paraId="7CB3B9BC">
      <w:pPr>
        <w:numPr>
          <w:ilvl w:val="0"/>
          <w:numId w:val="51"/>
        </w:numPr>
        <w:spacing w:beforeLines="0" w:afterLines="0"/>
        <w:ind w:left="0" w:leftChars="0" w:firstLine="480" w:firstLineChars="200"/>
        <w:rPr>
          <w:rFonts w:hint="default" w:ascii="Times New Roman" w:hAnsi="Times New Roman" w:eastAsia="宋体" w:cs="Times New Roman"/>
          <w:color w:val="auto"/>
          <w:kern w:val="0"/>
          <w:sz w:val="24"/>
          <w:highlight w:val="none"/>
          <w:lang w:eastAsia="zh-CN"/>
        </w:rPr>
      </w:pPr>
      <w:r>
        <w:rPr>
          <w:rFonts w:hint="default" w:ascii="Times New Roman" w:hAnsi="Times New Roman" w:cs="Times New Roman"/>
          <w:color w:val="auto"/>
          <w:kern w:val="0"/>
          <w:sz w:val="24"/>
          <w:highlight w:val="none"/>
          <w:lang w:val="en-US" w:eastAsia="zh-CN"/>
        </w:rPr>
        <w:t>排土场</w:t>
      </w:r>
      <w:r>
        <w:rPr>
          <w:rFonts w:hint="default" w:ascii="Times New Roman" w:hAnsi="Times New Roman" w:eastAsia="宋体" w:cs="Times New Roman"/>
          <w:color w:val="auto"/>
          <w:kern w:val="0"/>
          <w:sz w:val="24"/>
          <w:highlight w:val="none"/>
        </w:rPr>
        <w:t>设置防护围栏和悬挂多种文字的警示牌，表土采取</w:t>
      </w:r>
      <w:r>
        <w:rPr>
          <w:rFonts w:hint="default" w:ascii="Times New Roman" w:hAnsi="Times New Roman"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三分一恢复</w:t>
      </w:r>
      <w:r>
        <w:rPr>
          <w:rFonts w:hint="default" w:ascii="Times New Roman" w:hAnsi="Times New Roman"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，采取防洪、排水、边坡防护、工程拦挡等水土保持措施；经常进行稳定性监测，避免事故的发生；采取</w:t>
      </w:r>
      <w:r>
        <w:rPr>
          <w:rFonts w:hint="default" w:ascii="Times New Roman" w:hAnsi="Times New Roman"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先拦后弃</w:t>
      </w:r>
      <w:r>
        <w:rPr>
          <w:rFonts w:hint="default" w:ascii="Times New Roman" w:hAnsi="Times New Roman"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，按规范修筑拦石坝和截洪沟，</w:t>
      </w:r>
      <w:r>
        <w:rPr>
          <w:rFonts w:hint="default" w:ascii="Times New Roman" w:hAnsi="Times New Roman" w:cs="Times New Roman"/>
          <w:color w:val="auto"/>
          <w:kern w:val="0"/>
          <w:sz w:val="24"/>
          <w:highlight w:val="none"/>
          <w:lang w:val="en-US" w:eastAsia="zh-CN"/>
        </w:rPr>
        <w:t>应</w:t>
      </w:r>
      <w:r>
        <w:rPr>
          <w:rFonts w:hint="default" w:ascii="Times New Roman" w:hAnsi="Times New Roman" w:eastAsia="宋体" w:cs="Times New Roman"/>
          <w:color w:val="auto"/>
          <w:kern w:val="0"/>
          <w:sz w:val="24"/>
          <w:highlight w:val="none"/>
        </w:rPr>
        <w:t>做好边坡防护稳定工作，定期对</w:t>
      </w:r>
      <w:r>
        <w:rPr>
          <w:rFonts w:hint="default" w:ascii="Times New Roman" w:hAnsi="Times New Roman" w:cs="Times New Roman"/>
          <w:color w:val="auto"/>
          <w:kern w:val="0"/>
          <w:sz w:val="24"/>
          <w:highlight w:val="none"/>
          <w:lang w:val="en-US" w:eastAsia="zh-CN"/>
        </w:rPr>
        <w:t>排土场</w:t>
      </w:r>
      <w:r>
        <w:rPr>
          <w:rFonts w:hint="default" w:ascii="Times New Roman" w:hAnsi="Times New Roman" w:eastAsia="宋体" w:cs="Times New Roman"/>
          <w:color w:val="auto"/>
          <w:kern w:val="0"/>
          <w:sz w:val="24"/>
          <w:highlight w:val="none"/>
        </w:rPr>
        <w:t>拦渣坝进行巡检，及时发现隐患并安全处置</w:t>
      </w:r>
      <w:r>
        <w:rPr>
          <w:rFonts w:hint="default" w:ascii="Times New Roman" w:hAnsi="Times New Roman" w:cs="Times New Roman"/>
          <w:color w:val="auto"/>
          <w:kern w:val="0"/>
          <w:sz w:val="24"/>
          <w:highlight w:val="none"/>
          <w:lang w:eastAsia="zh-CN"/>
        </w:rPr>
        <w:t>。</w:t>
      </w:r>
    </w:p>
    <w:p w14:paraId="5CAAC120">
      <w:pPr>
        <w:numPr>
          <w:ilvl w:val="0"/>
          <w:numId w:val="51"/>
        </w:numPr>
        <w:spacing w:beforeLines="0" w:afterLines="0"/>
        <w:ind w:left="0" w:leftChars="0" w:firstLine="480" w:firstLineChars="200"/>
        <w:rPr>
          <w:rFonts w:hint="default" w:ascii="Times New Roman" w:hAnsi="Times New Roman" w:eastAsia="宋体" w:cs="Times New Roman"/>
          <w:color w:val="auto"/>
          <w:kern w:val="0"/>
          <w:sz w:val="24"/>
          <w:highlight w:val="none"/>
          <w:vertAlign w:val="baseline"/>
          <w:lang w:val="en-US" w:eastAsia="zh-CN"/>
        </w:rPr>
      </w:pPr>
      <w:r>
        <w:rPr>
          <w:rFonts w:hint="default" w:ascii="Times New Roman" w:hAnsi="Times New Roman" w:eastAsia="宋体" w:cs="Times New Roman"/>
          <w:color w:val="auto"/>
          <w:kern w:val="0"/>
          <w:sz w:val="24"/>
          <w:highlight w:val="none"/>
          <w:vertAlign w:val="baseline"/>
          <w:lang w:val="en-US" w:eastAsia="zh-CN"/>
        </w:rPr>
        <w:t>加强宣传教育，提高生产人员的环境保护意识，严禁生产人员捕杀矿区周围野生动物，严禁采挖荒漠植被的行为。</w:t>
      </w:r>
    </w:p>
    <w:p w14:paraId="3C419D8F">
      <w:pPr>
        <w:numPr>
          <w:ilvl w:val="0"/>
          <w:numId w:val="51"/>
        </w:numPr>
        <w:spacing w:beforeLines="0" w:afterLines="0"/>
        <w:ind w:left="0" w:leftChars="0" w:firstLine="480" w:firstLineChars="200"/>
        <w:rPr>
          <w:rFonts w:hint="default" w:ascii="Times New Roman" w:hAnsi="Times New Roman" w:eastAsia="宋体" w:cs="Times New Roman"/>
          <w:color w:val="auto"/>
          <w:kern w:val="0"/>
          <w:sz w:val="24"/>
          <w:highlight w:val="none"/>
          <w:vertAlign w:val="baseline"/>
          <w:lang w:val="en-US" w:eastAsia="zh-CN"/>
        </w:rPr>
      </w:pPr>
      <w:r>
        <w:rPr>
          <w:rFonts w:hint="default" w:ascii="Times New Roman" w:hAnsi="Times New Roman" w:eastAsia="宋体" w:cs="Times New Roman"/>
          <w:color w:val="auto"/>
          <w:kern w:val="0"/>
          <w:sz w:val="24"/>
          <w:highlight w:val="none"/>
          <w:vertAlign w:val="baseline"/>
          <w:lang w:val="en-US" w:eastAsia="zh-CN"/>
        </w:rPr>
        <w:t>应建立环境监测与灾害应急预警机制，设置专门机构，配备专职管理人员和监测人员。具体要求如下</w:t>
      </w:r>
      <w:r>
        <w:rPr>
          <w:rFonts w:hint="default" w:ascii="Times New Roman" w:hAnsi="Times New Roman" w:cs="Times New Roman"/>
          <w:color w:val="auto"/>
          <w:kern w:val="0"/>
          <w:sz w:val="24"/>
          <w:highlight w:val="none"/>
          <w:vertAlign w:val="baseline"/>
          <w:lang w:val="en-US" w:eastAsia="zh-CN"/>
        </w:rPr>
        <w:t>：</w:t>
      </w:r>
    </w:p>
    <w:p w14:paraId="383594C1">
      <w:pPr>
        <w:ind w:firstLine="480"/>
        <w:rPr>
          <w:rFonts w:hint="default" w:ascii="Times New Roman" w:hAnsi="Times New Roman" w:eastAsia="宋体" w:cs="Times New Roman"/>
          <w:color w:val="auto"/>
          <w:kern w:val="0"/>
          <w:sz w:val="24"/>
          <w:highlight w:val="none"/>
          <w:vertAlign w:val="baseline"/>
          <w:lang w:val="en-US" w:eastAsia="zh-CN"/>
        </w:rPr>
      </w:pPr>
      <w:r>
        <w:rPr>
          <w:rFonts w:hint="default" w:ascii="Times New Roman" w:hAnsi="Times New Roman" w:cs="Times New Roman"/>
          <w:color w:val="auto"/>
          <w:kern w:val="0"/>
          <w:sz w:val="24"/>
          <w:highlight w:val="none"/>
          <w:vertAlign w:val="baseline"/>
          <w:lang w:val="en-US" w:eastAsia="zh-CN"/>
        </w:rPr>
        <w:t>1</w:t>
      </w:r>
      <w:r>
        <w:rPr>
          <w:rFonts w:hint="default" w:ascii="Times New Roman" w:hAnsi="Times New Roman" w:eastAsia="宋体" w:cs="Times New Roman"/>
          <w:color w:val="auto"/>
          <w:kern w:val="0"/>
          <w:sz w:val="24"/>
          <w:highlight w:val="none"/>
          <w:vertAlign w:val="baseline"/>
          <w:lang w:val="en-US" w:eastAsia="zh-CN"/>
        </w:rPr>
        <w:t>）对生产废水、噪音等污染源和污染物实行动态监测，并做好环保处置应急预案。</w:t>
      </w:r>
    </w:p>
    <w:p w14:paraId="1825D3A3">
      <w:pPr>
        <w:ind w:firstLine="480"/>
        <w:rPr>
          <w:rFonts w:hint="default" w:ascii="Times New Roman" w:hAnsi="Times New Roman" w:eastAsia="宋体" w:cs="Times New Roman"/>
          <w:color w:val="auto"/>
          <w:kern w:val="0"/>
          <w:sz w:val="24"/>
          <w:highlight w:val="none"/>
          <w:vertAlign w:val="baseline"/>
          <w:lang w:val="en-US" w:eastAsia="zh-CN"/>
        </w:rPr>
      </w:pPr>
      <w:r>
        <w:rPr>
          <w:rFonts w:hint="default" w:ascii="Times New Roman" w:hAnsi="Times New Roman" w:cs="Times New Roman"/>
          <w:color w:val="auto"/>
          <w:kern w:val="0"/>
          <w:sz w:val="24"/>
          <w:highlight w:val="none"/>
          <w:vertAlign w:val="baseline"/>
          <w:lang w:val="en-US" w:eastAsia="zh-CN"/>
        </w:rPr>
        <w:t>2</w:t>
      </w:r>
      <w:r>
        <w:rPr>
          <w:rFonts w:hint="default" w:ascii="Times New Roman" w:hAnsi="Times New Roman" w:eastAsia="宋体" w:cs="Times New Roman"/>
          <w:color w:val="auto"/>
          <w:kern w:val="0"/>
          <w:sz w:val="24"/>
          <w:highlight w:val="none"/>
          <w:vertAlign w:val="baseline"/>
          <w:lang w:val="en-US" w:eastAsia="zh-CN"/>
        </w:rPr>
        <w:t>）开采中和开采后应建立、健全长效监测机制，对土地复垦区稳定性与质量进行动态监测。</w:t>
      </w:r>
    </w:p>
    <w:p w14:paraId="32A93AC3">
      <w:pPr>
        <w:ind w:firstLine="480"/>
        <w:rPr>
          <w:rFonts w:hint="default" w:ascii="Times New Roman" w:hAnsi="Times New Roman" w:eastAsia="宋体" w:cs="Times New Roman"/>
          <w:color w:val="auto"/>
          <w:kern w:val="0"/>
          <w:sz w:val="24"/>
          <w:highlight w:val="none"/>
          <w:vertAlign w:val="baseline"/>
          <w:lang w:val="en-US" w:eastAsia="zh-CN"/>
        </w:rPr>
      </w:pPr>
      <w:r>
        <w:rPr>
          <w:rFonts w:hint="default" w:ascii="Times New Roman" w:hAnsi="Times New Roman" w:cs="Times New Roman"/>
          <w:color w:val="auto"/>
          <w:kern w:val="0"/>
          <w:sz w:val="24"/>
          <w:highlight w:val="none"/>
          <w:vertAlign w:val="baseline"/>
          <w:lang w:val="en-US" w:eastAsia="zh-CN"/>
        </w:rPr>
        <w:t>3</w:t>
      </w:r>
      <w:r>
        <w:rPr>
          <w:rFonts w:hint="default" w:ascii="Times New Roman" w:hAnsi="Times New Roman" w:eastAsia="宋体" w:cs="Times New Roman"/>
          <w:color w:val="auto"/>
          <w:kern w:val="0"/>
          <w:sz w:val="24"/>
          <w:highlight w:val="none"/>
          <w:vertAlign w:val="baseline"/>
          <w:lang w:val="en-US" w:eastAsia="zh-CN"/>
        </w:rPr>
        <w:t>）应对矿山边坡进行监测，防止地质灾害发生。</w:t>
      </w:r>
    </w:p>
    <w:p w14:paraId="71A4959F">
      <w:pPr>
        <w:pStyle w:val="5"/>
        <w:bidi w:val="0"/>
        <w:rPr>
          <w:rFonts w:hint="default"/>
        </w:rPr>
      </w:pPr>
      <w:bookmarkStart w:id="459" w:name="_Toc7695"/>
      <w:bookmarkStart w:id="460" w:name="_Toc22792"/>
      <w:bookmarkStart w:id="461" w:name="_Toc17842"/>
      <w:bookmarkStart w:id="462" w:name="_Toc6554"/>
      <w:r>
        <w:rPr>
          <w:rFonts w:hint="default"/>
        </w:rPr>
        <w:t>地质灾害保护措施</w:t>
      </w:r>
    </w:p>
    <w:p w14:paraId="4CB72A27">
      <w:pPr>
        <w:pStyle w:val="15"/>
        <w:keepNext w:val="0"/>
        <w:keepLines w:val="0"/>
        <w:pageBreakBefore w:val="0"/>
        <w:kinsoku/>
        <w:wordWrap/>
        <w:overflowPunct/>
        <w:topLinePunct w:val="0"/>
        <w:bidi w:val="0"/>
        <w:adjustRightInd/>
        <w:snapToGrid/>
        <w:spacing w:after="0" w:line="360" w:lineRule="auto"/>
        <w:ind w:left="0" w:leftChars="0"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本矿山为新建矿山，评估区现状条件下无崩塌、滑坡、泥石流、地面沉降、地面塌陷、不稳定斜坡、地裂缝等地质灾害的发生。根据矿区地质灾害特点，有针对性的提出工程治理措施。</w:t>
      </w:r>
    </w:p>
    <w:p w14:paraId="0FC7011A">
      <w:pPr>
        <w:bidi w:val="0"/>
        <w:rPr>
          <w:rFonts w:hint="default" w:ascii="Times New Roman" w:hAnsi="Times New Roman" w:cs="Times New Roman"/>
          <w:color w:val="auto"/>
          <w:highlight w:val="none"/>
        </w:rPr>
      </w:pPr>
      <w:r>
        <w:rPr>
          <w:rFonts w:hint="default" w:ascii="Times New Roman" w:hAnsi="Times New Roman" w:cs="Times New Roman"/>
          <w:color w:val="auto"/>
          <w:szCs w:val="24"/>
          <w:highlight w:val="none"/>
        </w:rPr>
        <w:t>①在计划开采区域外围10米范围一次性设置铁丝围栏和警示牌，避免人员误入造成人员损伤。铁丝围栏采用单股</w:t>
      </w:r>
      <w:r>
        <w:rPr>
          <w:rFonts w:hint="default" w:ascii="Times New Roman" w:hAnsi="Times New Roman" w:cs="Times New Roman"/>
          <w:color w:val="auto"/>
          <w:szCs w:val="24"/>
          <w:highlight w:val="none"/>
          <w:lang w:val="en-US" w:eastAsia="zh-CN"/>
        </w:rPr>
        <w:t>六</w:t>
      </w:r>
      <w:r>
        <w:rPr>
          <w:rFonts w:hint="default" w:ascii="Times New Roman" w:hAnsi="Times New Roman" w:cs="Times New Roman"/>
          <w:color w:val="auto"/>
          <w:szCs w:val="24"/>
          <w:highlight w:val="none"/>
        </w:rPr>
        <w:t>横道架设，普通镀锌铁丝、规格13号直径2.5毫米，</w:t>
      </w:r>
      <w:r>
        <w:rPr>
          <w:rFonts w:hint="default" w:ascii="Times New Roman" w:hAnsi="Times New Roman" w:cs="Times New Roman"/>
          <w:color w:val="auto"/>
          <w:szCs w:val="24"/>
          <w:highlight w:val="none"/>
          <w:lang w:val="en-US" w:eastAsia="zh-CN"/>
        </w:rPr>
        <w:t>设置铁丝围栏5690米，</w:t>
      </w:r>
      <w:r>
        <w:rPr>
          <w:rFonts w:hint="default" w:ascii="Times New Roman" w:hAnsi="Times New Roman" w:cs="Times New Roman"/>
          <w:color w:val="auto"/>
          <w:szCs w:val="24"/>
          <w:highlight w:val="none"/>
        </w:rPr>
        <w:t>并</w:t>
      </w:r>
      <w:r>
        <w:rPr>
          <w:rFonts w:hint="default" w:ascii="Times New Roman" w:hAnsi="Times New Roman" w:cs="Times New Roman"/>
          <w:color w:val="auto"/>
          <w:highlight w:val="none"/>
        </w:rPr>
        <w:t>设置</w:t>
      </w:r>
      <w:r>
        <w:rPr>
          <w:rFonts w:hint="default" w:ascii="Times New Roman" w:hAnsi="Times New Roman" w:cs="Times New Roman"/>
          <w:color w:val="auto"/>
          <w:highlight w:val="none"/>
          <w:lang w:val="en-US" w:eastAsia="zh-CN"/>
        </w:rPr>
        <w:t>57</w:t>
      </w:r>
      <w:r>
        <w:rPr>
          <w:rFonts w:hint="default" w:ascii="Times New Roman" w:hAnsi="Times New Roman" w:cs="Times New Roman"/>
          <w:color w:val="auto"/>
          <w:highlight w:val="none"/>
        </w:rPr>
        <w:t>个警示牌，正面涂成黄色，文字采用红色反光漆，警示内容为“露天开采区”、“危险禁止通行”等内容。</w:t>
      </w:r>
    </w:p>
    <w:p w14:paraId="78A83A8F">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②进出露天开采区矿山道路需按照开发利用方案设计规划内容修建，严禁随意进出矿山工作区域。</w:t>
      </w:r>
    </w:p>
    <w:p w14:paraId="20F6231C">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③矿区负责人及指定的专职安全员定期对矿区进行安全检查，有灾害迹象及时预警并提出防治措施，同时上报主管领导，做好日常地质灾害预警监测工作。</w:t>
      </w:r>
    </w:p>
    <w:p w14:paraId="26DADF10">
      <w:pPr>
        <w:bidi w:val="0"/>
        <w:rPr>
          <w:rFonts w:hint="default" w:ascii="Times New Roman" w:hAnsi="Times New Roman" w:cs="Times New Roman"/>
          <w:color w:val="auto"/>
          <w:sz w:val="24"/>
          <w:highlight w:val="none"/>
        </w:rPr>
      </w:pPr>
      <w:r>
        <w:rPr>
          <w:rFonts w:hint="default" w:ascii="Times New Roman" w:hAnsi="Times New Roman" w:cs="Times New Roman"/>
          <w:color w:val="auto"/>
          <w:highlight w:val="none"/>
        </w:rPr>
        <w:t>④防止洪水</w:t>
      </w:r>
      <w:r>
        <w:rPr>
          <w:rFonts w:hint="default" w:ascii="Times New Roman" w:hAnsi="Times New Roman" w:cs="Times New Roman"/>
          <w:color w:val="auto"/>
          <w:highlight w:val="none"/>
          <w:lang w:val="en-US" w:eastAsia="zh-CN"/>
        </w:rPr>
        <w:t>灾害</w:t>
      </w:r>
      <w:r>
        <w:rPr>
          <w:rFonts w:hint="default" w:ascii="Times New Roman" w:hAnsi="Times New Roman" w:cs="Times New Roman"/>
          <w:color w:val="auto"/>
          <w:highlight w:val="none"/>
        </w:rPr>
        <w:t>预防工程设</w:t>
      </w:r>
      <w:r>
        <w:rPr>
          <w:rFonts w:hint="default" w:ascii="Times New Roman" w:hAnsi="Times New Roman" w:cs="Times New Roman"/>
          <w:color w:val="auto"/>
          <w:szCs w:val="24"/>
          <w:highlight w:val="none"/>
        </w:rPr>
        <w:t>计</w:t>
      </w:r>
      <w:r>
        <w:rPr>
          <w:rFonts w:hint="default" w:ascii="Times New Roman" w:hAnsi="Times New Roman" w:cs="Times New Roman"/>
          <w:color w:val="auto"/>
          <w:szCs w:val="24"/>
          <w:highlight w:val="none"/>
          <w:lang w:eastAsia="zh-CN"/>
        </w:rPr>
        <w:t>：</w:t>
      </w:r>
      <w:r>
        <w:rPr>
          <w:rFonts w:hint="default" w:ascii="Times New Roman" w:hAnsi="Times New Roman" w:cs="Times New Roman"/>
          <w:color w:val="auto"/>
          <w:sz w:val="24"/>
          <w:highlight w:val="none"/>
        </w:rPr>
        <w:t>一般情况下矿区附近降雨量不大，但在暴雨天气或其它反常情况下，不排除水量较大的可能，对开采产生一定影响，可在矿山开采范围外修建截水沟。设计在</w:t>
      </w:r>
      <w:r>
        <w:rPr>
          <w:rFonts w:hint="default" w:ascii="Times New Roman" w:hAnsi="Times New Roman" w:cs="Times New Roman"/>
          <w:color w:val="auto"/>
          <w:sz w:val="24"/>
          <w:highlight w:val="none"/>
          <w:lang w:eastAsia="zh-CN"/>
        </w:rPr>
        <w:t>露天采场周边修建截水沟</w:t>
      </w:r>
      <w:r>
        <w:rPr>
          <w:rFonts w:hint="default" w:ascii="Times New Roman" w:hAnsi="Times New Roman" w:cs="Times New Roman"/>
          <w:color w:val="auto"/>
          <w:sz w:val="24"/>
          <w:highlight w:val="none"/>
          <w:lang w:val="en-US" w:eastAsia="zh-CN"/>
        </w:rPr>
        <w:t>4860米</w:t>
      </w:r>
      <w:r>
        <w:rPr>
          <w:rFonts w:hint="default" w:ascii="Times New Roman" w:hAnsi="Times New Roman" w:cs="Times New Roman"/>
          <w:color w:val="auto"/>
          <w:sz w:val="24"/>
          <w:highlight w:val="none"/>
        </w:rPr>
        <w:t>，机械开挖沟渠，用于生产期间消除因季节性洪水可能产生的地质灾害隐患，闭坑后及时进行回填处理。</w:t>
      </w:r>
    </w:p>
    <w:p w14:paraId="5809DFB4">
      <w:pPr>
        <w:pStyle w:val="40"/>
        <w:spacing w:line="360" w:lineRule="auto"/>
        <w:ind w:firstLine="480"/>
        <w:rPr>
          <w:rFonts w:hint="default" w:ascii="Times New Roman" w:hAnsi="Times New Roman" w:cs="Times New Roman"/>
          <w:color w:val="auto"/>
          <w:sz w:val="24"/>
          <w:szCs w:val="24"/>
          <w:highlight w:val="none"/>
        </w:rPr>
      </w:pPr>
      <w:bookmarkStart w:id="463" w:name="_Hlk85628089"/>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 5 \* GB3 \* MERGEFORMAT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highlight w:val="none"/>
        </w:rPr>
        <w:t>⑤</w:t>
      </w:r>
      <w:r>
        <w:rPr>
          <w:rFonts w:hint="default" w:ascii="Times New Roman" w:hAnsi="Times New Roman" w:cs="Times New Roman"/>
          <w:color w:val="auto"/>
          <w:sz w:val="24"/>
          <w:szCs w:val="24"/>
          <w:highlight w:val="none"/>
        </w:rPr>
        <w:fldChar w:fldCharType="end"/>
      </w:r>
      <w:r>
        <w:rPr>
          <w:rFonts w:hint="default" w:ascii="Times New Roman" w:hAnsi="Times New Roman" w:cs="Times New Roman"/>
          <w:color w:val="auto"/>
          <w:sz w:val="24"/>
          <w:szCs w:val="24"/>
          <w:highlight w:val="none"/>
        </w:rPr>
        <w:t>边坡修整</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矿山在露天开采过程中，边坡不可能完全按设计施工，边坡角度、形状与设计有出入，矿山环境影响评估指出，边坡坡面上也会产生</w:t>
      </w:r>
      <w:r>
        <w:rPr>
          <w:rFonts w:hint="default" w:ascii="Times New Roman" w:hAnsi="Times New Roman" w:cs="Times New Roman"/>
          <w:color w:val="auto"/>
          <w:sz w:val="24"/>
          <w:szCs w:val="24"/>
          <w:highlight w:val="none"/>
          <w:lang w:eastAsia="zh-CN"/>
        </w:rPr>
        <w:t>危岩土</w:t>
      </w:r>
      <w:r>
        <w:rPr>
          <w:rFonts w:hint="default" w:ascii="Times New Roman" w:hAnsi="Times New Roman" w:cs="Times New Roman"/>
          <w:color w:val="auto"/>
          <w:sz w:val="24"/>
          <w:szCs w:val="24"/>
          <w:highlight w:val="none"/>
        </w:rPr>
        <w:t>，采场上部易产生小型崩塌。因此，在采矿中和结束采矿后，都要对边坡进行修整处理。</w:t>
      </w:r>
    </w:p>
    <w:p w14:paraId="1E68BA68">
      <w:pPr>
        <w:bidi w:val="0"/>
        <w:rPr>
          <w:rFonts w:hint="default" w:ascii="Times New Roman" w:hAnsi="Times New Roman" w:cs="Times New Roman"/>
          <w:color w:val="auto"/>
          <w:sz w:val="24"/>
          <w:szCs w:val="24"/>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 6 \* GB3 \* MERGEFORMAT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⑥</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地质灾害监测措施</w:t>
      </w:r>
      <w:r>
        <w:rPr>
          <w:rFonts w:hint="default" w:ascii="Times New Roman" w:hAnsi="Times New Roman" w:cs="Times New Roman"/>
          <w:color w:val="auto"/>
          <w:highlight w:val="none"/>
          <w:lang w:eastAsia="zh-CN"/>
        </w:rPr>
        <w:t>：</w:t>
      </w:r>
      <w:r>
        <w:rPr>
          <w:rFonts w:hint="default" w:ascii="Times New Roman" w:hAnsi="Times New Roman" w:cs="Times New Roman"/>
          <w:color w:val="auto"/>
          <w:sz w:val="24"/>
          <w:szCs w:val="24"/>
          <w:highlight w:val="none"/>
        </w:rPr>
        <w:t>针对矿山采矿活动，对露天采场、铁丝围栏、警示牌完好情况等进行巡视监测。检查露天采场边坡变形情况，若发生地面裂缝或滑坡，还需对变化发展情况进行监测；对设置的围栏、警示牌的完好情况进行监测，发现问题及时上报，做好设施的维护工作。</w:t>
      </w:r>
    </w:p>
    <w:bookmarkEnd w:id="459"/>
    <w:bookmarkEnd w:id="460"/>
    <w:bookmarkEnd w:id="461"/>
    <w:bookmarkEnd w:id="462"/>
    <w:bookmarkEnd w:id="463"/>
    <w:p w14:paraId="114B7D49">
      <w:pPr>
        <w:pStyle w:val="5"/>
        <w:bidi w:val="0"/>
        <w:rPr>
          <w:rFonts w:hint="default"/>
        </w:rPr>
      </w:pPr>
      <w:bookmarkStart w:id="464" w:name="_Toc4271"/>
      <w:bookmarkStart w:id="465" w:name="_Toc7592"/>
      <w:bookmarkStart w:id="466" w:name="_Toc26119"/>
      <w:bookmarkStart w:id="467" w:name="_Toc26085"/>
      <w:r>
        <w:rPr>
          <w:rFonts w:hint="default"/>
        </w:rPr>
        <w:t>闭矿后</w:t>
      </w:r>
      <w:r>
        <w:rPr>
          <w:rFonts w:hint="default"/>
          <w:lang w:val="en-US" w:eastAsia="zh-CN"/>
        </w:rPr>
        <w:t>土地复垦及</w:t>
      </w:r>
      <w:r>
        <w:rPr>
          <w:rFonts w:hint="default"/>
        </w:rPr>
        <w:t>生态恢复建设</w:t>
      </w:r>
      <w:bookmarkEnd w:id="464"/>
      <w:bookmarkEnd w:id="465"/>
      <w:bookmarkEnd w:id="466"/>
      <w:bookmarkEnd w:id="467"/>
    </w:p>
    <w:p w14:paraId="434E2BED">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按照边开采边恢复、终止采矿活动时必须完成恢复治理的原则，要做到预防为主，针对存在的问题，制定出预防措施，对生产中出现的问题要及时采取相应的措施予以解决，达到防灾、减灾的目的。</w:t>
      </w:r>
    </w:p>
    <w:p w14:paraId="14C93DF2">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根据《新疆采虹矿业投资有限公司新疆阜康市北部沙漠天然石英砂矿（压裂用）外围矿产资源开发利用与生态保护修复方案》，</w:t>
      </w:r>
      <w:r>
        <w:rPr>
          <w:rFonts w:hint="default" w:ascii="Times New Roman" w:hAnsi="Times New Roman" w:cs="Times New Roman"/>
          <w:color w:val="auto"/>
          <w:highlight w:val="none"/>
          <w:lang w:val="en-US" w:eastAsia="zh-CN"/>
        </w:rPr>
        <w:t>本项目土地复垦内容如下：</w:t>
      </w:r>
    </w:p>
    <w:p w14:paraId="23A50F5D">
      <w:pPr>
        <w:shd w:val="clear"/>
        <w:tabs>
          <w:tab w:val="left" w:pos="740"/>
        </w:tabs>
        <w:spacing w:line="360" w:lineRule="auto"/>
        <w:ind w:firstLine="482" w:firstLineChars="200"/>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（1）露天采场复垦单元</w:t>
      </w:r>
    </w:p>
    <w:p w14:paraId="64BC9D90">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①矿山地表共形成</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个露采坑，采坑边坡</w:t>
      </w:r>
      <w:r>
        <w:rPr>
          <w:rFonts w:hint="default" w:ascii="Times New Roman" w:hAnsi="Times New Roman" w:cs="Times New Roman"/>
          <w:color w:val="auto"/>
          <w:highlight w:val="none"/>
          <w:lang w:val="en-US" w:eastAsia="zh-CN"/>
        </w:rPr>
        <w:t>东南角部分和周边地形接洽，北侧和东北部较高</w:t>
      </w:r>
      <w:r>
        <w:rPr>
          <w:rFonts w:hint="default" w:ascii="Times New Roman" w:hAnsi="Times New Roman" w:cs="Times New Roman"/>
          <w:color w:val="auto"/>
          <w:highlight w:val="none"/>
        </w:rPr>
        <w:t>，露天采场面积</w:t>
      </w:r>
      <w:r>
        <w:rPr>
          <w:rFonts w:hint="default" w:ascii="Times New Roman" w:hAnsi="Times New Roman" w:cs="Times New Roman"/>
          <w:color w:val="auto"/>
          <w:highlight w:val="none"/>
          <w:lang w:eastAsia="zh-CN"/>
        </w:rPr>
        <w:t>93.84</w:t>
      </w:r>
      <w:r>
        <w:rPr>
          <w:rFonts w:hint="default" w:ascii="Times New Roman" w:hAnsi="Times New Roman" w:cs="Times New Roman"/>
          <w:color w:val="auto"/>
          <w:highlight w:val="none"/>
        </w:rPr>
        <w:t>公顷，采坑最终帮坡角</w:t>
      </w:r>
      <w:r>
        <w:rPr>
          <w:rFonts w:hint="default" w:ascii="Times New Roman" w:hAnsi="Times New Roman" w:cs="Times New Roman"/>
          <w:color w:val="auto"/>
          <w:highlight w:val="none"/>
          <w:lang w:val="en-US" w:eastAsia="zh-CN"/>
        </w:rPr>
        <w:t>25～30</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矿山闭坑后</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采用排土场废料及废土对采坑进行筑坡，筑坡量31.52万</w:t>
      </w:r>
      <w:r>
        <w:rPr>
          <w:rFonts w:hint="default" w:ascii="Times New Roman" w:hAnsi="Times New Roman" w:cs="Times New Roman"/>
          <w:color w:val="auto"/>
          <w:highlight w:val="none"/>
        </w:rPr>
        <w:t>立方米。</w:t>
      </w:r>
    </w:p>
    <w:p w14:paraId="1E9470B2">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②利用</w:t>
      </w:r>
      <w:r>
        <w:rPr>
          <w:rFonts w:hint="default" w:ascii="Times New Roman" w:hAnsi="Times New Roman" w:cs="Times New Roman"/>
          <w:color w:val="auto"/>
          <w:highlight w:val="none"/>
          <w:lang w:val="en-US" w:eastAsia="zh-CN"/>
        </w:rPr>
        <w:t>表土堆放场</w:t>
      </w:r>
      <w:r>
        <w:rPr>
          <w:rFonts w:hint="default" w:ascii="Times New Roman" w:hAnsi="Times New Roman" w:cs="Times New Roman"/>
          <w:color w:val="auto"/>
          <w:highlight w:val="none"/>
        </w:rPr>
        <w:t>的表土作为复垦后的土壤层，覆土厚度</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0厘米，覆土量约</w:t>
      </w:r>
      <w:r>
        <w:rPr>
          <w:rFonts w:hint="default" w:ascii="Times New Roman" w:hAnsi="Times New Roman" w:cs="Times New Roman"/>
          <w:color w:val="auto"/>
          <w:highlight w:val="none"/>
          <w:lang w:eastAsia="zh-CN"/>
        </w:rPr>
        <w:t>18.7</w:t>
      </w:r>
      <w:r>
        <w:rPr>
          <w:rFonts w:hint="default" w:ascii="Times New Roman" w:hAnsi="Times New Roman" w:cs="Times New Roman"/>
          <w:color w:val="auto"/>
          <w:highlight w:val="none"/>
          <w:lang w:val="en-US" w:eastAsia="zh-CN"/>
        </w:rPr>
        <w:t>7万</w:t>
      </w:r>
      <w:r>
        <w:rPr>
          <w:rFonts w:hint="default" w:ascii="Times New Roman" w:hAnsi="Times New Roman" w:cs="Times New Roman"/>
          <w:color w:val="auto"/>
          <w:highlight w:val="none"/>
        </w:rPr>
        <w:t>立方米</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运距小于500米</w:t>
      </w:r>
      <w:r>
        <w:rPr>
          <w:rFonts w:hint="default" w:ascii="Times New Roman" w:hAnsi="Times New Roman" w:cs="Times New Roman"/>
          <w:color w:val="auto"/>
          <w:highlight w:val="none"/>
        </w:rPr>
        <w:t>。</w:t>
      </w:r>
    </w:p>
    <w:p w14:paraId="4961B71C">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③</w:t>
      </w:r>
      <w:r>
        <w:rPr>
          <w:rFonts w:hint="default" w:ascii="Times New Roman" w:hAnsi="Times New Roman" w:cs="Times New Roman"/>
          <w:color w:val="auto"/>
          <w:highlight w:val="none"/>
          <w:lang w:val="en-US" w:eastAsia="zh-CN"/>
        </w:rPr>
        <w:t>对场地</w:t>
      </w:r>
      <w:r>
        <w:rPr>
          <w:rFonts w:hint="default" w:ascii="Times New Roman" w:hAnsi="Times New Roman" w:cs="Times New Roman"/>
          <w:color w:val="auto"/>
          <w:highlight w:val="none"/>
        </w:rPr>
        <w:t>覆土后撒播草籽，进行人工植被恢复，撒播草籽为</w:t>
      </w:r>
      <w:r>
        <w:rPr>
          <w:rFonts w:hint="default" w:ascii="Times New Roman" w:hAnsi="Times New Roman" w:cs="Times New Roman"/>
          <w:color w:val="auto"/>
          <w:highlight w:val="none"/>
          <w:lang w:val="en-US" w:eastAsia="zh-CN"/>
        </w:rPr>
        <w:t>骆驼刺</w:t>
      </w:r>
      <w:r>
        <w:rPr>
          <w:rFonts w:hint="default" w:ascii="Times New Roman" w:hAnsi="Times New Roman" w:cs="Times New Roman"/>
          <w:color w:val="auto"/>
          <w:highlight w:val="none"/>
        </w:rPr>
        <w:t>、羊茅、冷蒿、伏地肤</w:t>
      </w:r>
      <w:r>
        <w:rPr>
          <w:rFonts w:hint="default" w:ascii="Times New Roman" w:hAnsi="Times New Roman" w:cs="Times New Roman"/>
          <w:color w:val="auto"/>
          <w:highlight w:val="none"/>
          <w:lang w:val="en-US" w:eastAsia="zh-CN"/>
        </w:rPr>
        <w:t>的混合草籽（均为当地原生草籽）</w:t>
      </w:r>
      <w:r>
        <w:rPr>
          <w:rFonts w:hint="default" w:ascii="Times New Roman" w:hAnsi="Times New Roman" w:cs="Times New Roman"/>
          <w:color w:val="auto"/>
          <w:highlight w:val="none"/>
        </w:rPr>
        <w:t>，采用条播手段，覆土后撒播草籽，每公顷播撒草籽</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0千克，播撒草籽4692千克。</w:t>
      </w:r>
    </w:p>
    <w:p w14:paraId="0DFF4753">
      <w:pPr>
        <w:shd w:val="clear"/>
        <w:tabs>
          <w:tab w:val="left" w:pos="740"/>
        </w:tabs>
        <w:spacing w:line="360" w:lineRule="auto"/>
        <w:ind w:firstLine="482" w:firstLineChars="200"/>
        <w:rPr>
          <w:rFonts w:hint="default" w:ascii="Times New Roman" w:hAnsi="Times New Roman" w:eastAsia="宋体" w:cs="Times New Roman"/>
          <w:b/>
          <w:bCs/>
          <w:color w:val="auto"/>
          <w:sz w:val="24"/>
          <w:szCs w:val="24"/>
          <w:highlight w:val="none"/>
          <w:lang w:eastAsia="zh-CN"/>
        </w:rPr>
      </w:pPr>
      <w:bookmarkStart w:id="468" w:name="_Hlk85637758"/>
      <w:r>
        <w:rPr>
          <w:rFonts w:hint="default" w:ascii="Times New Roman" w:hAnsi="Times New Roman" w:cs="Times New Roman"/>
          <w:b/>
          <w:bCs/>
          <w:color w:val="auto"/>
          <w:sz w:val="24"/>
          <w:szCs w:val="24"/>
          <w:highlight w:val="none"/>
        </w:rPr>
        <w:t>（2）工业广场复垦单元</w:t>
      </w:r>
      <w:r>
        <w:rPr>
          <w:rFonts w:hint="default" w:ascii="Times New Roman" w:hAnsi="Times New Roman" w:cs="Times New Roman"/>
          <w:b/>
          <w:bCs/>
          <w:color w:val="auto"/>
          <w:sz w:val="24"/>
          <w:szCs w:val="24"/>
          <w:highlight w:val="none"/>
          <w:lang w:eastAsia="zh-CN"/>
        </w:rPr>
        <w:t>（</w:t>
      </w:r>
      <w:r>
        <w:rPr>
          <w:rFonts w:hint="default" w:ascii="Times New Roman" w:hAnsi="Times New Roman" w:cs="Times New Roman"/>
          <w:b/>
          <w:bCs/>
          <w:color w:val="auto"/>
          <w:sz w:val="24"/>
          <w:szCs w:val="24"/>
          <w:highlight w:val="none"/>
          <w:lang w:val="en-US" w:eastAsia="zh-CN"/>
        </w:rPr>
        <w:t>含生活区</w:t>
      </w:r>
      <w:r>
        <w:rPr>
          <w:rFonts w:hint="default" w:ascii="Times New Roman" w:hAnsi="Times New Roman" w:cs="Times New Roman"/>
          <w:b/>
          <w:bCs/>
          <w:color w:val="auto"/>
          <w:sz w:val="24"/>
          <w:szCs w:val="24"/>
          <w:highlight w:val="none"/>
          <w:lang w:eastAsia="zh-CN"/>
        </w:rPr>
        <w:t>）</w:t>
      </w:r>
    </w:p>
    <w:p w14:paraId="59674A1D">
      <w:pPr>
        <w:keepNext w:val="0"/>
        <w:keepLines w:val="0"/>
        <w:pageBreakBefore w:val="0"/>
        <w:shd w:val="clea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①工业广场</w:t>
      </w:r>
      <w:r>
        <w:rPr>
          <w:rFonts w:hint="default" w:ascii="Times New Roman" w:hAnsi="Times New Roman" w:cs="Times New Roman"/>
          <w:color w:val="auto"/>
          <w:sz w:val="24"/>
          <w:szCs w:val="24"/>
          <w:highlight w:val="none"/>
          <w:lang w:val="en-US" w:eastAsia="zh-CN"/>
        </w:rPr>
        <w:t>构筑物使用</w:t>
      </w:r>
      <w:r>
        <w:rPr>
          <w:rFonts w:hint="default" w:ascii="Times New Roman" w:hAnsi="Times New Roman" w:cs="Times New Roman"/>
          <w:color w:val="auto"/>
          <w:sz w:val="24"/>
          <w:szCs w:val="24"/>
          <w:highlight w:val="none"/>
          <w:lang w:eastAsia="zh-CN"/>
        </w:rPr>
        <w:t>机械拆除，借助推土机和自卸汽车机械清理，</w:t>
      </w:r>
      <w:r>
        <w:rPr>
          <w:rFonts w:hint="default" w:ascii="Times New Roman" w:hAnsi="Times New Roman" w:cs="Times New Roman"/>
          <w:color w:val="auto"/>
          <w:sz w:val="24"/>
          <w:szCs w:val="24"/>
          <w:highlight w:val="none"/>
          <w:lang w:val="en-US" w:eastAsia="zh-CN"/>
        </w:rPr>
        <w:t>拆除物拉运至当地建筑垃圾填埋场填埋处理</w:t>
      </w:r>
      <w:r>
        <w:rPr>
          <w:rFonts w:hint="default" w:ascii="Times New Roman" w:hAnsi="Times New Roman" w:cs="Times New Roman"/>
          <w:color w:val="auto"/>
          <w:sz w:val="24"/>
          <w:szCs w:val="24"/>
          <w:highlight w:val="none"/>
          <w:lang w:eastAsia="zh-CN"/>
        </w:rPr>
        <w:t>。</w:t>
      </w:r>
    </w:p>
    <w:p w14:paraId="25AC9495">
      <w:pPr>
        <w:widowControl/>
        <w:shd w:val="clear"/>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②</w:t>
      </w:r>
      <w:r>
        <w:rPr>
          <w:rFonts w:hint="default" w:ascii="Times New Roman" w:hAnsi="Times New Roman" w:cs="Times New Roman"/>
          <w:color w:val="auto"/>
          <w:kern w:val="0"/>
          <w:sz w:val="24"/>
          <w:szCs w:val="24"/>
          <w:highlight w:val="none"/>
          <w:lang w:bidi="ar"/>
        </w:rPr>
        <w:t>对场地进行平整，平整方式主要借助挖掘机、推土机进行削高填低，根据周边地形地貌特征，将土地平整后的地形起伏控制在3°以内。</w:t>
      </w:r>
    </w:p>
    <w:p w14:paraId="30A1D421">
      <w:pPr>
        <w:keepNext w:val="0"/>
        <w:keepLines w:val="0"/>
        <w:pageBreakBefore w:val="0"/>
        <w:shd w:val="clea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③工业广场</w:t>
      </w:r>
      <w:r>
        <w:rPr>
          <w:rFonts w:hint="default" w:ascii="Times New Roman" w:hAnsi="Times New Roman" w:cs="Times New Roman"/>
          <w:color w:val="auto"/>
          <w:sz w:val="24"/>
          <w:szCs w:val="24"/>
          <w:highlight w:val="none"/>
        </w:rPr>
        <w:t>利用</w:t>
      </w:r>
      <w:r>
        <w:rPr>
          <w:rFonts w:hint="default" w:ascii="Times New Roman" w:hAnsi="Times New Roman" w:cs="Times New Roman"/>
          <w:color w:val="auto"/>
          <w:sz w:val="24"/>
          <w:szCs w:val="24"/>
          <w:highlight w:val="none"/>
          <w:lang w:val="en-US" w:eastAsia="zh-CN"/>
        </w:rPr>
        <w:t>表土堆放场</w:t>
      </w:r>
      <w:r>
        <w:rPr>
          <w:rFonts w:hint="default" w:ascii="Times New Roman" w:hAnsi="Times New Roman" w:cs="Times New Roman"/>
          <w:color w:val="auto"/>
          <w:sz w:val="24"/>
          <w:szCs w:val="24"/>
          <w:highlight w:val="none"/>
        </w:rPr>
        <w:t>的表土作为复垦后的土壤层，覆土厚度</w:t>
      </w:r>
      <w:r>
        <w:rPr>
          <w:rFonts w:hint="default"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0厘米，覆土量约</w:t>
      </w:r>
      <w:r>
        <w:rPr>
          <w:rFonts w:hint="default" w:ascii="Times New Roman" w:hAnsi="Times New Roman" w:cs="Times New Roman"/>
          <w:color w:val="auto"/>
          <w:sz w:val="24"/>
          <w:szCs w:val="24"/>
          <w:highlight w:val="none"/>
          <w:lang w:val="en-US" w:eastAsia="zh-CN"/>
        </w:rPr>
        <w:t>4000</w:t>
      </w:r>
      <w:r>
        <w:rPr>
          <w:rFonts w:hint="default" w:ascii="Times New Roman" w:hAnsi="Times New Roman" w:cs="Times New Roman"/>
          <w:color w:val="auto"/>
          <w:sz w:val="24"/>
          <w:szCs w:val="24"/>
          <w:highlight w:val="none"/>
        </w:rPr>
        <w:t>立方米</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2"/>
          <w:highlight w:val="none"/>
          <w:lang w:val="en-US" w:eastAsia="zh-CN"/>
        </w:rPr>
        <w:t>运距约1500米</w:t>
      </w:r>
      <w:r>
        <w:rPr>
          <w:rFonts w:hint="default" w:ascii="Times New Roman" w:hAnsi="Times New Roman" w:cs="Times New Roman"/>
          <w:color w:val="auto"/>
          <w:sz w:val="24"/>
          <w:szCs w:val="24"/>
          <w:highlight w:val="none"/>
        </w:rPr>
        <w:t>。</w:t>
      </w:r>
    </w:p>
    <w:p w14:paraId="649BE1FF">
      <w:pPr>
        <w:bidi w:val="0"/>
        <w:rPr>
          <w:rFonts w:hint="default" w:ascii="Times New Roman" w:hAnsi="Times New Roman" w:cs="Times New Roman"/>
          <w:color w:val="auto"/>
          <w:highlight w:val="none"/>
        </w:rPr>
      </w:pPr>
      <w:r>
        <w:rPr>
          <w:rFonts w:hint="default" w:ascii="Times New Roman" w:hAnsi="Times New Roman" w:eastAsia="微软雅黑" w:cs="Times New Roman"/>
          <w:color w:val="auto"/>
          <w:highlight w:val="none"/>
        </w:rPr>
        <w:t>④</w:t>
      </w:r>
      <w:r>
        <w:rPr>
          <w:rFonts w:hint="default" w:ascii="Times New Roman" w:hAnsi="Times New Roman" w:cs="Times New Roman"/>
          <w:color w:val="auto"/>
          <w:szCs w:val="24"/>
          <w:highlight w:val="none"/>
          <w:lang w:val="en-US" w:eastAsia="zh-CN"/>
        </w:rPr>
        <w:t>工业广场</w:t>
      </w:r>
      <w:r>
        <w:rPr>
          <w:rFonts w:hint="default" w:ascii="Times New Roman" w:hAnsi="Times New Roman" w:cs="Times New Roman"/>
          <w:color w:val="auto"/>
          <w:szCs w:val="22"/>
          <w:highlight w:val="none"/>
        </w:rPr>
        <w:t>原始地形地貌中</w:t>
      </w:r>
      <w:r>
        <w:rPr>
          <w:rFonts w:hint="default" w:ascii="Times New Roman" w:hAnsi="Times New Roman" w:cs="Times New Roman"/>
          <w:color w:val="auto"/>
          <w:szCs w:val="22"/>
          <w:highlight w:val="none"/>
          <w:lang w:eastAsia="zh-CN"/>
        </w:rPr>
        <w:t>植被较不发育</w:t>
      </w:r>
      <w:r>
        <w:rPr>
          <w:rFonts w:hint="default" w:ascii="Times New Roman" w:hAnsi="Times New Roman" w:cs="Times New Roman"/>
          <w:color w:val="auto"/>
          <w:szCs w:val="22"/>
          <w:highlight w:val="none"/>
        </w:rPr>
        <w:t>，植被覆盖率</w:t>
      </w:r>
      <w:r>
        <w:rPr>
          <w:rFonts w:hint="default" w:ascii="Times New Roman" w:hAnsi="Times New Roman" w:cs="Times New Roman"/>
          <w:color w:val="auto"/>
          <w:szCs w:val="22"/>
          <w:highlight w:val="none"/>
          <w:lang w:eastAsia="zh-CN"/>
        </w:rPr>
        <w:t>小于</w:t>
      </w:r>
      <w:r>
        <w:rPr>
          <w:rFonts w:hint="default" w:ascii="Times New Roman" w:hAnsi="Times New Roman" w:cs="Times New Roman"/>
          <w:color w:val="auto"/>
          <w:szCs w:val="22"/>
          <w:highlight w:val="none"/>
          <w:lang w:val="en-US" w:eastAsia="zh-CN"/>
        </w:rPr>
        <w:t>20</w:t>
      </w:r>
      <w:r>
        <w:rPr>
          <w:rFonts w:hint="default" w:ascii="Times New Roman" w:hAnsi="Times New Roman" w:cs="Times New Roman"/>
          <w:color w:val="auto"/>
          <w:szCs w:val="22"/>
          <w:highlight w:val="none"/>
        </w:rPr>
        <w:t>%，</w:t>
      </w:r>
      <w:r>
        <w:rPr>
          <w:rFonts w:hint="default" w:ascii="Times New Roman" w:hAnsi="Times New Roman" w:cs="Times New Roman"/>
          <w:color w:val="auto"/>
          <w:szCs w:val="22"/>
          <w:highlight w:val="none"/>
          <w:lang w:val="en-US" w:eastAsia="zh-CN"/>
        </w:rPr>
        <w:t>面积</w:t>
      </w:r>
      <w:r>
        <w:rPr>
          <w:rFonts w:hint="default" w:ascii="Times New Roman" w:hAnsi="Times New Roman" w:cs="Times New Roman"/>
          <w:color w:val="auto"/>
          <w:kern w:val="0"/>
          <w:szCs w:val="24"/>
          <w:highlight w:val="none"/>
          <w:lang w:val="en-US" w:eastAsia="zh-CN" w:bidi="ar"/>
        </w:rPr>
        <w:t>2</w:t>
      </w:r>
      <w:r>
        <w:rPr>
          <w:rFonts w:hint="default" w:ascii="Times New Roman" w:hAnsi="Times New Roman" w:cs="Times New Roman"/>
          <w:color w:val="auto"/>
          <w:szCs w:val="22"/>
          <w:highlight w:val="none"/>
          <w:lang w:val="en-US" w:eastAsia="zh-CN"/>
        </w:rPr>
        <w:t>公顷，</w:t>
      </w:r>
      <w:r>
        <w:rPr>
          <w:rFonts w:hint="default" w:ascii="Times New Roman" w:hAnsi="Times New Roman" w:cs="Times New Roman"/>
          <w:color w:val="auto"/>
          <w:szCs w:val="22"/>
          <w:highlight w:val="none"/>
        </w:rPr>
        <w:t>矿山开采结束后，</w:t>
      </w:r>
      <w:r>
        <w:rPr>
          <w:rFonts w:hint="default" w:ascii="Times New Roman" w:hAnsi="Times New Roman" w:cs="Times New Roman"/>
          <w:color w:val="auto"/>
          <w:szCs w:val="22"/>
          <w:highlight w:val="none"/>
          <w:lang w:val="en-US" w:eastAsia="zh-CN"/>
        </w:rPr>
        <w:t>对场地</w:t>
      </w:r>
      <w:r>
        <w:rPr>
          <w:rFonts w:hint="default" w:ascii="Times New Roman" w:hAnsi="Times New Roman" w:cs="Times New Roman"/>
          <w:color w:val="auto"/>
          <w:szCs w:val="22"/>
          <w:highlight w:val="none"/>
        </w:rPr>
        <w:t>覆土后撒播草籽，进行人工植被恢复，撒播草籽为</w:t>
      </w:r>
      <w:r>
        <w:rPr>
          <w:rFonts w:hint="default" w:ascii="Times New Roman" w:hAnsi="Times New Roman" w:cs="Times New Roman"/>
          <w:color w:val="auto"/>
          <w:szCs w:val="24"/>
          <w:highlight w:val="none"/>
          <w:lang w:val="en-US" w:eastAsia="zh-CN"/>
        </w:rPr>
        <w:t>骆驼刺</w:t>
      </w:r>
      <w:r>
        <w:rPr>
          <w:rFonts w:hint="default" w:ascii="Times New Roman" w:hAnsi="Times New Roman" w:eastAsia="宋体" w:cs="Times New Roman"/>
          <w:color w:val="auto"/>
          <w:szCs w:val="24"/>
          <w:highlight w:val="none"/>
        </w:rPr>
        <w:t>、羊茅、冷蒿、伏地肤</w:t>
      </w:r>
      <w:r>
        <w:rPr>
          <w:rFonts w:hint="default" w:ascii="Times New Roman" w:hAnsi="Times New Roman" w:cs="Times New Roman"/>
          <w:color w:val="auto"/>
          <w:szCs w:val="24"/>
          <w:highlight w:val="none"/>
          <w:lang w:val="en-US" w:eastAsia="zh-CN"/>
        </w:rPr>
        <w:t>的混合草籽（均为当地原生草籽）</w:t>
      </w:r>
      <w:r>
        <w:rPr>
          <w:rFonts w:hint="default" w:ascii="Times New Roman" w:hAnsi="Times New Roman" w:cs="Times New Roman"/>
          <w:color w:val="auto"/>
          <w:szCs w:val="22"/>
          <w:highlight w:val="none"/>
        </w:rPr>
        <w:t>，</w:t>
      </w:r>
      <w:r>
        <w:rPr>
          <w:rFonts w:hint="default" w:ascii="Times New Roman" w:hAnsi="Times New Roman" w:cs="Times New Roman"/>
          <w:color w:val="auto"/>
          <w:highlight w:val="none"/>
        </w:rPr>
        <w:t>采用条播手段，覆土后撒播草籽，每公顷播撒草籽</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0千克，播撒草籽</w:t>
      </w:r>
      <w:r>
        <w:rPr>
          <w:rFonts w:hint="default" w:ascii="Times New Roman" w:hAnsi="Times New Roman" w:cs="Times New Roman"/>
          <w:color w:val="auto"/>
          <w:highlight w:val="none"/>
          <w:lang w:val="en-US" w:eastAsia="zh-CN"/>
        </w:rPr>
        <w:t>100</w:t>
      </w:r>
      <w:r>
        <w:rPr>
          <w:rFonts w:hint="default" w:ascii="Times New Roman" w:hAnsi="Times New Roman" w:cs="Times New Roman"/>
          <w:color w:val="auto"/>
          <w:highlight w:val="none"/>
        </w:rPr>
        <w:t>千克。</w:t>
      </w:r>
    </w:p>
    <w:p w14:paraId="1B862A3C">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播撒草籽采用人工播撒，其中包含种子处理、播撒种子作业。</w:t>
      </w:r>
    </w:p>
    <w:p w14:paraId="15278FC4">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排土场</w:t>
      </w:r>
      <w:r>
        <w:rPr>
          <w:rFonts w:hint="default" w:ascii="Times New Roman" w:hAnsi="Times New Roman" w:cs="Times New Roman"/>
          <w:color w:val="auto"/>
          <w:highlight w:val="none"/>
        </w:rPr>
        <w:t>复垦单元</w:t>
      </w:r>
    </w:p>
    <w:p w14:paraId="58523D96">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①矿山闭坑后</w:t>
      </w:r>
      <w:r>
        <w:rPr>
          <w:rFonts w:hint="default" w:ascii="Times New Roman" w:hAnsi="Times New Roman" w:cs="Times New Roman"/>
          <w:color w:val="auto"/>
          <w:highlight w:val="none"/>
          <w:lang w:val="en-US" w:eastAsia="zh-CN"/>
        </w:rPr>
        <w:t>将排土场废料及废土全部回填与采坑。</w:t>
      </w:r>
    </w:p>
    <w:p w14:paraId="44673D59">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②</w:t>
      </w:r>
      <w:r>
        <w:rPr>
          <w:rFonts w:hint="default" w:ascii="Times New Roman" w:hAnsi="Times New Roman" w:cs="Times New Roman"/>
          <w:color w:val="auto"/>
          <w:highlight w:val="none"/>
          <w:lang w:val="en-US" w:eastAsia="zh-CN"/>
        </w:rPr>
        <w:t>对场地进行平整，</w:t>
      </w:r>
      <w:r>
        <w:rPr>
          <w:rFonts w:hint="default" w:ascii="Times New Roman" w:hAnsi="Times New Roman" w:cs="Times New Roman"/>
          <w:color w:val="auto"/>
          <w:highlight w:val="none"/>
        </w:rPr>
        <w:t>利用</w:t>
      </w:r>
      <w:r>
        <w:rPr>
          <w:rFonts w:hint="default" w:ascii="Times New Roman" w:hAnsi="Times New Roman" w:cs="Times New Roman"/>
          <w:color w:val="auto"/>
          <w:highlight w:val="none"/>
          <w:lang w:val="en-US" w:eastAsia="zh-CN"/>
        </w:rPr>
        <w:t>表土堆放场</w:t>
      </w:r>
      <w:r>
        <w:rPr>
          <w:rFonts w:hint="default" w:ascii="Times New Roman" w:hAnsi="Times New Roman" w:cs="Times New Roman"/>
          <w:color w:val="auto"/>
          <w:highlight w:val="none"/>
        </w:rPr>
        <w:t>的表土作为复垦后的土壤层，覆土厚度</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0厘米，覆土量约</w:t>
      </w:r>
      <w:r>
        <w:rPr>
          <w:rFonts w:hint="default" w:ascii="Times New Roman" w:hAnsi="Times New Roman" w:cs="Times New Roman"/>
          <w:color w:val="auto"/>
          <w:highlight w:val="none"/>
          <w:lang w:val="en-US" w:eastAsia="zh-CN"/>
        </w:rPr>
        <w:t>9160</w:t>
      </w:r>
      <w:r>
        <w:rPr>
          <w:rFonts w:hint="default" w:ascii="Times New Roman" w:hAnsi="Times New Roman" w:cs="Times New Roman"/>
          <w:color w:val="auto"/>
          <w:highlight w:val="none"/>
        </w:rPr>
        <w:t>立方米。</w:t>
      </w:r>
    </w:p>
    <w:p w14:paraId="339A8E72">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③</w:t>
      </w:r>
      <w:r>
        <w:rPr>
          <w:rFonts w:hint="default" w:ascii="Times New Roman" w:hAnsi="Times New Roman" w:cs="Times New Roman"/>
          <w:color w:val="auto"/>
          <w:highlight w:val="none"/>
          <w:lang w:val="en-US" w:eastAsia="zh-CN"/>
        </w:rPr>
        <w:t>对场地</w:t>
      </w:r>
      <w:r>
        <w:rPr>
          <w:rFonts w:hint="default" w:ascii="Times New Roman" w:hAnsi="Times New Roman" w:cs="Times New Roman"/>
          <w:color w:val="auto"/>
          <w:highlight w:val="none"/>
        </w:rPr>
        <w:t>覆土后撒播草籽，进行人工植被恢复，撒播草籽为</w:t>
      </w:r>
      <w:r>
        <w:rPr>
          <w:rFonts w:hint="default" w:ascii="Times New Roman" w:hAnsi="Times New Roman" w:cs="Times New Roman"/>
          <w:color w:val="auto"/>
          <w:highlight w:val="none"/>
          <w:lang w:val="en-US" w:eastAsia="zh-CN"/>
        </w:rPr>
        <w:t>骆驼刺</w:t>
      </w:r>
      <w:r>
        <w:rPr>
          <w:rFonts w:hint="default" w:ascii="Times New Roman" w:hAnsi="Times New Roman" w:cs="Times New Roman"/>
          <w:color w:val="auto"/>
          <w:highlight w:val="none"/>
        </w:rPr>
        <w:t>、羊茅、冷蒿、伏地肤</w:t>
      </w:r>
      <w:r>
        <w:rPr>
          <w:rFonts w:hint="default" w:ascii="Times New Roman" w:hAnsi="Times New Roman" w:cs="Times New Roman"/>
          <w:color w:val="auto"/>
          <w:highlight w:val="none"/>
          <w:lang w:val="en-US" w:eastAsia="zh-CN"/>
        </w:rPr>
        <w:t>的混合草籽（均为当地原生草籽）</w:t>
      </w:r>
      <w:r>
        <w:rPr>
          <w:rFonts w:hint="default" w:ascii="Times New Roman" w:hAnsi="Times New Roman" w:cs="Times New Roman"/>
          <w:color w:val="auto"/>
          <w:highlight w:val="none"/>
        </w:rPr>
        <w:t>，采用条播手段，覆土后撒播草籽，每公顷播撒草籽</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0千克，播撒草籽</w:t>
      </w:r>
      <w:r>
        <w:rPr>
          <w:rFonts w:hint="default" w:ascii="Times New Roman" w:hAnsi="Times New Roman" w:cs="Times New Roman"/>
          <w:color w:val="auto"/>
          <w:highlight w:val="none"/>
          <w:lang w:val="en-US" w:eastAsia="zh-CN"/>
        </w:rPr>
        <w:t>229</w:t>
      </w:r>
      <w:r>
        <w:rPr>
          <w:rFonts w:hint="default" w:ascii="Times New Roman" w:hAnsi="Times New Roman" w:cs="Times New Roman"/>
          <w:color w:val="auto"/>
          <w:highlight w:val="none"/>
        </w:rPr>
        <w:t>千克。</w:t>
      </w:r>
    </w:p>
    <w:p w14:paraId="5E4249C1">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播撒草籽采用人工播撒，其中包含种子处理、播撒种子作业。</w:t>
      </w:r>
    </w:p>
    <w:p w14:paraId="09E37E10">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表土堆放场</w:t>
      </w:r>
      <w:r>
        <w:rPr>
          <w:rFonts w:hint="default" w:ascii="Times New Roman" w:hAnsi="Times New Roman" w:cs="Times New Roman"/>
          <w:color w:val="auto"/>
          <w:highlight w:val="none"/>
        </w:rPr>
        <w:t>复垦单元</w:t>
      </w:r>
    </w:p>
    <w:p w14:paraId="2F2B8C6E">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对场地进行翻耕</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翻耕</w:t>
      </w:r>
      <w:r>
        <w:rPr>
          <w:rFonts w:hint="default" w:ascii="Times New Roman" w:hAnsi="Times New Roman" w:cs="Times New Roman"/>
          <w:color w:val="auto"/>
          <w:highlight w:val="none"/>
        </w:rPr>
        <w:t>厚度</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0厘米，</w:t>
      </w:r>
      <w:r>
        <w:rPr>
          <w:rFonts w:hint="default" w:ascii="Times New Roman" w:hAnsi="Times New Roman" w:cs="Times New Roman"/>
          <w:color w:val="auto"/>
          <w:highlight w:val="none"/>
          <w:lang w:eastAsia="zh-CN"/>
        </w:rPr>
        <w:t>翻耕面积</w:t>
      </w:r>
      <w:r>
        <w:rPr>
          <w:rFonts w:hint="default" w:ascii="Times New Roman" w:hAnsi="Times New Roman" w:cs="Times New Roman"/>
          <w:color w:val="auto"/>
          <w:highlight w:val="none"/>
          <w:lang w:val="en-US" w:eastAsia="zh-CN"/>
        </w:rPr>
        <w:t>2.00公顷，平整表土场，</w:t>
      </w:r>
      <w:r>
        <w:rPr>
          <w:rFonts w:hint="default" w:ascii="Times New Roman" w:hAnsi="Times New Roman" w:cs="Times New Roman"/>
          <w:color w:val="auto"/>
          <w:highlight w:val="none"/>
        </w:rPr>
        <w:t>平整方式主要借助挖掘机、推土机进行削高填低，根据周边地形地貌特征，将土地平整后的地形起伏控制在3°以内</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对场地</w:t>
      </w:r>
      <w:r>
        <w:rPr>
          <w:rFonts w:hint="default" w:ascii="Times New Roman" w:hAnsi="Times New Roman" w:cs="Times New Roman"/>
          <w:color w:val="auto"/>
          <w:highlight w:val="none"/>
        </w:rPr>
        <w:t>覆土后撒播草籽，进行人工植被恢复，撒播草籽为</w:t>
      </w:r>
      <w:r>
        <w:rPr>
          <w:rFonts w:hint="default" w:ascii="Times New Roman" w:hAnsi="Times New Roman" w:cs="Times New Roman"/>
          <w:color w:val="auto"/>
          <w:highlight w:val="none"/>
          <w:lang w:val="en-US" w:eastAsia="zh-CN"/>
        </w:rPr>
        <w:t>骆驼刺</w:t>
      </w:r>
      <w:r>
        <w:rPr>
          <w:rFonts w:hint="default" w:ascii="Times New Roman" w:hAnsi="Times New Roman" w:cs="Times New Roman"/>
          <w:color w:val="auto"/>
          <w:highlight w:val="none"/>
        </w:rPr>
        <w:t>、羊茅、冷蒿、伏地肤</w:t>
      </w:r>
      <w:r>
        <w:rPr>
          <w:rFonts w:hint="default" w:ascii="Times New Roman" w:hAnsi="Times New Roman" w:cs="Times New Roman"/>
          <w:color w:val="auto"/>
          <w:highlight w:val="none"/>
          <w:lang w:val="en-US" w:eastAsia="zh-CN"/>
        </w:rPr>
        <w:t>的混合草籽（均为当地原生草籽）</w:t>
      </w:r>
      <w:r>
        <w:rPr>
          <w:rFonts w:hint="default" w:ascii="Times New Roman" w:hAnsi="Times New Roman" w:cs="Times New Roman"/>
          <w:color w:val="auto"/>
          <w:highlight w:val="none"/>
        </w:rPr>
        <w:t>，采用条播手段，覆土后撒播草籽，每公顷播撒草籽</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0千克，播撒草籽</w:t>
      </w:r>
      <w:r>
        <w:rPr>
          <w:rFonts w:hint="default" w:ascii="Times New Roman" w:hAnsi="Times New Roman" w:cs="Times New Roman"/>
          <w:color w:val="auto"/>
          <w:highlight w:val="none"/>
          <w:lang w:val="en-US" w:eastAsia="zh-CN"/>
        </w:rPr>
        <w:t>100</w:t>
      </w:r>
      <w:r>
        <w:rPr>
          <w:rFonts w:hint="default" w:ascii="Times New Roman" w:hAnsi="Times New Roman" w:cs="Times New Roman"/>
          <w:color w:val="auto"/>
          <w:highlight w:val="none"/>
        </w:rPr>
        <w:t>千克。</w:t>
      </w:r>
    </w:p>
    <w:p w14:paraId="3E185C27">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播撒草籽采用人工播撒，其中包含种子处理、播撒种子作业。</w:t>
      </w:r>
    </w:p>
    <w:p w14:paraId="71588BAB">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）矿山道路复垦单元</w:t>
      </w:r>
    </w:p>
    <w:bookmarkEnd w:id="468"/>
    <w:p w14:paraId="6135E3BC">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对矿山道路路基及路面进行平整，使其跟周边环境相协调</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利用</w:t>
      </w:r>
      <w:r>
        <w:rPr>
          <w:rFonts w:hint="default" w:ascii="Times New Roman" w:hAnsi="Times New Roman" w:cs="Times New Roman"/>
          <w:color w:val="auto"/>
          <w:highlight w:val="none"/>
          <w:lang w:val="en-US" w:eastAsia="zh-CN"/>
        </w:rPr>
        <w:t>表土堆放场</w:t>
      </w:r>
      <w:r>
        <w:rPr>
          <w:rFonts w:hint="default" w:ascii="Times New Roman" w:hAnsi="Times New Roman" w:cs="Times New Roman"/>
          <w:color w:val="auto"/>
          <w:highlight w:val="none"/>
        </w:rPr>
        <w:t>的表土作为复垦后的土壤层，覆土厚度</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0厘米，覆土量约</w:t>
      </w:r>
      <w:r>
        <w:rPr>
          <w:rFonts w:hint="default" w:ascii="Times New Roman" w:hAnsi="Times New Roman" w:cs="Times New Roman"/>
          <w:color w:val="auto"/>
          <w:highlight w:val="none"/>
          <w:lang w:val="en-US" w:eastAsia="zh-CN"/>
        </w:rPr>
        <w:t>580</w:t>
      </w:r>
      <w:r>
        <w:rPr>
          <w:rFonts w:hint="default" w:ascii="Times New Roman" w:hAnsi="Times New Roman" w:cs="Times New Roman"/>
          <w:color w:val="auto"/>
          <w:highlight w:val="none"/>
        </w:rPr>
        <w:t>立方米</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对场地</w:t>
      </w:r>
      <w:r>
        <w:rPr>
          <w:rFonts w:hint="default" w:ascii="Times New Roman" w:hAnsi="Times New Roman" w:cs="Times New Roman"/>
          <w:color w:val="auto"/>
          <w:highlight w:val="none"/>
        </w:rPr>
        <w:t>覆土后撒播草籽，进行人工植被恢复，撒播草籽为</w:t>
      </w:r>
      <w:r>
        <w:rPr>
          <w:rFonts w:hint="default" w:ascii="Times New Roman" w:hAnsi="Times New Roman" w:cs="Times New Roman"/>
          <w:color w:val="auto"/>
          <w:highlight w:val="none"/>
          <w:lang w:val="en-US" w:eastAsia="zh-CN"/>
        </w:rPr>
        <w:t>骆驼刺</w:t>
      </w:r>
      <w:r>
        <w:rPr>
          <w:rFonts w:hint="default" w:ascii="Times New Roman" w:hAnsi="Times New Roman" w:cs="Times New Roman"/>
          <w:color w:val="auto"/>
          <w:highlight w:val="none"/>
        </w:rPr>
        <w:t>、羊茅、冷蒿、伏地肤</w:t>
      </w:r>
      <w:r>
        <w:rPr>
          <w:rFonts w:hint="default" w:ascii="Times New Roman" w:hAnsi="Times New Roman" w:cs="Times New Roman"/>
          <w:color w:val="auto"/>
          <w:highlight w:val="none"/>
          <w:lang w:val="en-US" w:eastAsia="zh-CN"/>
        </w:rPr>
        <w:t>的混合草籽（均为当地原生草籽）</w:t>
      </w:r>
      <w:r>
        <w:rPr>
          <w:rFonts w:hint="default" w:ascii="Times New Roman" w:hAnsi="Times New Roman" w:cs="Times New Roman"/>
          <w:color w:val="auto"/>
          <w:highlight w:val="none"/>
        </w:rPr>
        <w:t>，采用条播手段，覆土后撒播草籽，每公顷播撒草籽</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0千克，播撒草籽</w:t>
      </w:r>
      <w:r>
        <w:rPr>
          <w:rFonts w:hint="default" w:ascii="Times New Roman" w:hAnsi="Times New Roman" w:cs="Times New Roman"/>
          <w:color w:val="auto"/>
          <w:highlight w:val="none"/>
          <w:lang w:val="en-US" w:eastAsia="zh-CN"/>
        </w:rPr>
        <w:t>14.5</w:t>
      </w:r>
      <w:r>
        <w:rPr>
          <w:rFonts w:hint="default" w:ascii="Times New Roman" w:hAnsi="Times New Roman" w:cs="Times New Roman"/>
          <w:color w:val="auto"/>
          <w:highlight w:val="none"/>
        </w:rPr>
        <w:t>千克。</w:t>
      </w:r>
    </w:p>
    <w:p w14:paraId="27C4FEE2">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播撒草籽采用人工播撒，其中包含种子处理、播撒种子作业。</w:t>
      </w:r>
    </w:p>
    <w:p w14:paraId="38A04E0E">
      <w:pPr>
        <w:pStyle w:val="5"/>
        <w:bidi w:val="0"/>
        <w:rPr>
          <w:rFonts w:hint="default"/>
          <w:lang w:val="en-US" w:eastAsia="zh-CN"/>
        </w:rPr>
      </w:pPr>
      <w:bookmarkStart w:id="469" w:name="_Toc23920"/>
      <w:bookmarkStart w:id="470" w:name="_Toc23992"/>
      <w:bookmarkStart w:id="471" w:name="_Toc14883"/>
      <w:bookmarkStart w:id="472" w:name="_Toc25211"/>
      <w:r>
        <w:rPr>
          <w:rFonts w:hint="default"/>
          <w:lang w:val="en-US" w:eastAsia="zh-CN"/>
        </w:rPr>
        <w:t>绿色矿山建设措施要求</w:t>
      </w:r>
      <w:bookmarkEnd w:id="469"/>
      <w:bookmarkEnd w:id="470"/>
      <w:bookmarkEnd w:id="471"/>
      <w:bookmarkEnd w:id="472"/>
    </w:p>
    <w:p w14:paraId="0EEAFE87">
      <w:pPr>
        <w:ind w:firstLine="480"/>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本次建设需同步按照</w:t>
      </w:r>
      <w:r>
        <w:rPr>
          <w:rFonts w:hint="default" w:ascii="Times New Roman" w:hAnsi="Times New Roman" w:cs="Times New Roman"/>
          <w:color w:val="auto"/>
          <w:sz w:val="24"/>
          <w:szCs w:val="24"/>
          <w:highlight w:val="none"/>
        </w:rPr>
        <w:t>《非金属矿行业绿色矿山建设规范》（DZ/T 0312-2018）</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进行</w:t>
      </w:r>
      <w:r>
        <w:rPr>
          <w:rFonts w:hint="default" w:ascii="Times New Roman" w:hAnsi="Times New Roman" w:eastAsia="宋体" w:cs="Times New Roman"/>
          <w:color w:val="auto"/>
          <w:kern w:val="0"/>
          <w:sz w:val="24"/>
          <w:highlight w:val="none"/>
          <w:lang w:val="en-US" w:eastAsia="zh-CN"/>
        </w:rPr>
        <w:t>绿色矿山建设，具体建设要求如下：</w:t>
      </w:r>
    </w:p>
    <w:p w14:paraId="58BCA33C">
      <w:pPr>
        <w:numPr>
          <w:ilvl w:val="0"/>
          <w:numId w:val="0"/>
        </w:numPr>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（1）废水排放</w:t>
      </w:r>
    </w:p>
    <w:p w14:paraId="6F6E15CB">
      <w:pPr>
        <w:numPr>
          <w:ilvl w:val="0"/>
          <w:numId w:val="0"/>
        </w:numPr>
        <w:ind w:firstLine="480" w:firstLineChars="2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①采矿</w:t>
      </w:r>
      <w:r>
        <w:rPr>
          <w:rFonts w:hint="default" w:ascii="Times New Roman" w:hAnsi="Times New Roman" w:eastAsia="宋体" w:cs="Times New Roman"/>
          <w:color w:val="auto"/>
          <w:kern w:val="0"/>
          <w:sz w:val="24"/>
          <w:highlight w:val="none"/>
          <w:lang w:val="en-US" w:eastAsia="zh-CN"/>
        </w:rPr>
        <w:t>过程中产生的生产废水，应有固定废水处理站和相关设施，采取针对性措施处理各类废水；生活污水处理设施应满足处理后水质要求。矿区生产</w:t>
      </w:r>
      <w:r>
        <w:rPr>
          <w:rFonts w:hint="default" w:ascii="Times New Roman" w:hAnsi="Times New Roman" w:cs="Times New Roman"/>
          <w:color w:val="auto"/>
          <w:kern w:val="0"/>
          <w:sz w:val="24"/>
          <w:highlight w:val="none"/>
          <w:lang w:val="en-US" w:eastAsia="zh-CN"/>
        </w:rPr>
        <w:t>废水</w:t>
      </w:r>
      <w:r>
        <w:rPr>
          <w:rFonts w:hint="default" w:ascii="Times New Roman" w:hAnsi="Times New Roman" w:eastAsia="宋体" w:cs="Times New Roman"/>
          <w:color w:val="auto"/>
          <w:kern w:val="0"/>
          <w:sz w:val="24"/>
          <w:highlight w:val="none"/>
          <w:lang w:val="en-US" w:eastAsia="zh-CN"/>
        </w:rPr>
        <w:t>与生活</w:t>
      </w:r>
      <w:r>
        <w:rPr>
          <w:rFonts w:hint="default" w:ascii="Times New Roman" w:hAnsi="Times New Roman" w:cs="Times New Roman"/>
          <w:color w:val="auto"/>
          <w:kern w:val="0"/>
          <w:sz w:val="24"/>
          <w:highlight w:val="none"/>
          <w:lang w:val="en-US" w:eastAsia="zh-CN"/>
        </w:rPr>
        <w:t>污水</w:t>
      </w:r>
      <w:r>
        <w:rPr>
          <w:rFonts w:hint="default" w:ascii="Times New Roman" w:hAnsi="Times New Roman" w:eastAsia="宋体" w:cs="Times New Roman"/>
          <w:color w:val="auto"/>
          <w:kern w:val="0"/>
          <w:sz w:val="24"/>
          <w:highlight w:val="none"/>
          <w:lang w:val="en-US" w:eastAsia="zh-CN"/>
        </w:rPr>
        <w:t>分开收集、处理，污水100%达标</w:t>
      </w:r>
      <w:r>
        <w:rPr>
          <w:rFonts w:hint="default" w:ascii="Times New Roman" w:hAnsi="Times New Roman" w:cs="Times New Roman"/>
          <w:color w:val="auto"/>
          <w:kern w:val="0"/>
          <w:sz w:val="24"/>
          <w:highlight w:val="none"/>
          <w:lang w:val="en-US" w:eastAsia="zh-CN"/>
        </w:rPr>
        <w:t>回用</w:t>
      </w:r>
      <w:r>
        <w:rPr>
          <w:rFonts w:hint="default" w:ascii="Times New Roman" w:hAnsi="Times New Roman" w:eastAsia="宋体" w:cs="Times New Roman"/>
          <w:color w:val="auto"/>
          <w:kern w:val="0"/>
          <w:sz w:val="24"/>
          <w:highlight w:val="none"/>
          <w:lang w:val="en-US" w:eastAsia="zh-CN"/>
        </w:rPr>
        <w:t>。</w:t>
      </w:r>
    </w:p>
    <w:p w14:paraId="7DB4CC43">
      <w:pPr>
        <w:numPr>
          <w:ilvl w:val="0"/>
          <w:numId w:val="0"/>
        </w:numPr>
        <w:ind w:firstLine="480" w:firstLineChars="2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②矿区应建有雨水截（排）水沟，地表径流水经沉淀处理后达标排放或用于</w:t>
      </w:r>
      <w:r>
        <w:rPr>
          <w:rFonts w:hint="default" w:ascii="Times New Roman" w:hAnsi="Times New Roman" w:cs="Times New Roman"/>
          <w:color w:val="auto"/>
          <w:kern w:val="0"/>
          <w:sz w:val="24"/>
          <w:highlight w:val="none"/>
          <w:lang w:val="en-US" w:eastAsia="zh-CN"/>
        </w:rPr>
        <w:t>项目区</w:t>
      </w:r>
      <w:r>
        <w:rPr>
          <w:rFonts w:hint="default" w:ascii="Times New Roman" w:hAnsi="Times New Roman" w:eastAsia="宋体" w:cs="Times New Roman"/>
          <w:color w:val="auto"/>
          <w:kern w:val="0"/>
          <w:sz w:val="24"/>
          <w:highlight w:val="none"/>
          <w:lang w:val="en-US" w:eastAsia="zh-CN"/>
        </w:rPr>
        <w:t>绿化。</w:t>
      </w:r>
    </w:p>
    <w:p w14:paraId="407F6262">
      <w:pPr>
        <w:numPr>
          <w:ilvl w:val="0"/>
          <w:numId w:val="0"/>
        </w:numPr>
        <w:ind w:left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（2）废气排放</w:t>
      </w:r>
    </w:p>
    <w:p w14:paraId="1E37555B">
      <w:pPr>
        <w:numPr>
          <w:ilvl w:val="0"/>
          <w:numId w:val="0"/>
        </w:numPr>
        <w:ind w:firstLine="480" w:firstLineChars="2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①</w:t>
      </w:r>
      <w:r>
        <w:rPr>
          <w:rFonts w:hint="default" w:ascii="Times New Roman" w:hAnsi="Times New Roman" w:eastAsia="宋体" w:cs="Times New Roman"/>
          <w:color w:val="auto"/>
          <w:kern w:val="0"/>
          <w:sz w:val="24"/>
          <w:highlight w:val="none"/>
          <w:lang w:val="en-US" w:eastAsia="zh-CN"/>
        </w:rPr>
        <w:t>矿山应采用喷雾、洒水、加设除尘装置等措施处置。</w:t>
      </w:r>
    </w:p>
    <w:p w14:paraId="7D6DF873">
      <w:pPr>
        <w:ind w:firstLine="480"/>
        <w:rPr>
          <w:rFonts w:hint="default" w:ascii="Times New Roman" w:hAnsi="Times New Roman" w:eastAsia="宋体"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②</w:t>
      </w:r>
      <w:r>
        <w:rPr>
          <w:rFonts w:hint="default" w:ascii="Times New Roman" w:hAnsi="Times New Roman" w:eastAsia="宋体" w:cs="Times New Roman"/>
          <w:color w:val="auto"/>
          <w:kern w:val="0"/>
          <w:sz w:val="24"/>
          <w:highlight w:val="none"/>
          <w:lang w:val="en-US" w:eastAsia="zh-CN"/>
        </w:rPr>
        <w:t>推广使用清洁动力设备，降低生产过程中粉尘、废气排放量，保证空气新鲜。</w:t>
      </w:r>
    </w:p>
    <w:p w14:paraId="09E3B8FF">
      <w:pPr>
        <w:ind w:firstLine="480"/>
        <w:rPr>
          <w:rFonts w:hint="default" w:ascii="Times New Roman" w:hAnsi="Times New Roman" w:eastAsia="宋体"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③矿物和矿渣运输道</w:t>
      </w:r>
      <w:r>
        <w:rPr>
          <w:rFonts w:hint="default" w:ascii="Times New Roman" w:hAnsi="Times New Roman" w:eastAsia="宋体" w:cs="Times New Roman"/>
          <w:color w:val="auto"/>
          <w:kern w:val="0"/>
          <w:sz w:val="24"/>
          <w:highlight w:val="none"/>
          <w:lang w:val="en-US" w:eastAsia="zh-CN"/>
        </w:rPr>
        <w:t>路应硬化并洒水防尘，运输车辆应采取围挡、遮盖等措施，矿石运输车辆驶离矿区时采取保洁措施。</w:t>
      </w:r>
    </w:p>
    <w:p w14:paraId="08D81DA0">
      <w:pPr>
        <w:ind w:firstLine="480"/>
        <w:rPr>
          <w:rFonts w:hint="default" w:ascii="Times New Roman" w:hAnsi="Times New Roman"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④废石应有专用堆积场所，</w:t>
      </w:r>
      <w:r>
        <w:rPr>
          <w:rFonts w:hint="default" w:ascii="Times New Roman" w:hAnsi="Times New Roman" w:cs="Times New Roman"/>
          <w:color w:val="auto"/>
          <w:kern w:val="0"/>
          <w:sz w:val="24"/>
          <w:highlight w:val="none"/>
          <w:lang w:val="en-US" w:eastAsia="zh-CN"/>
        </w:rPr>
        <w:t>矿物堆场和临时料场应采取防止风蚀和扬尘措施。</w:t>
      </w:r>
    </w:p>
    <w:p w14:paraId="3CA87BAE">
      <w:pPr>
        <w:numPr>
          <w:ilvl w:val="0"/>
          <w:numId w:val="0"/>
        </w:numPr>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（3）固体废物排放</w:t>
      </w:r>
    </w:p>
    <w:p w14:paraId="40F39BB0">
      <w:pPr>
        <w:ind w:firstLine="480"/>
        <w:rPr>
          <w:rFonts w:hint="default" w:ascii="Times New Roman" w:hAnsi="Times New Roman" w:eastAsia="宋体"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①建设单位</w:t>
      </w:r>
      <w:r>
        <w:rPr>
          <w:rFonts w:hint="default" w:ascii="Times New Roman" w:hAnsi="Times New Roman" w:eastAsia="宋体" w:cs="Times New Roman"/>
          <w:color w:val="auto"/>
          <w:kern w:val="0"/>
          <w:sz w:val="24"/>
          <w:highlight w:val="none"/>
          <w:lang w:val="en-US" w:eastAsia="zh-CN"/>
        </w:rPr>
        <w:t>应当按照“减量化、资源化、无害化”的原则防止固体废物污染环境。</w:t>
      </w:r>
    </w:p>
    <w:p w14:paraId="01603A19">
      <w:pPr>
        <w:ind w:firstLine="480"/>
        <w:rPr>
          <w:rFonts w:hint="default" w:ascii="Times New Roman" w:hAnsi="Times New Roman" w:eastAsia="宋体"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②</w:t>
      </w:r>
      <w:r>
        <w:rPr>
          <w:rFonts w:hint="default" w:ascii="Times New Roman" w:hAnsi="Times New Roman" w:eastAsia="宋体" w:cs="Times New Roman"/>
          <w:color w:val="auto"/>
          <w:kern w:val="0"/>
          <w:sz w:val="24"/>
          <w:highlight w:val="none"/>
          <w:lang w:val="en-US" w:eastAsia="zh-CN"/>
        </w:rPr>
        <w:t>禁止将危险废物混入非危险废物中贮存。堆存一般工业固体废物的</w:t>
      </w:r>
      <w:r>
        <w:rPr>
          <w:rFonts w:hint="default" w:ascii="Times New Roman" w:hAnsi="Times New Roman" w:cs="Times New Roman"/>
          <w:color w:val="auto"/>
          <w:kern w:val="0"/>
          <w:sz w:val="24"/>
          <w:highlight w:val="none"/>
          <w:lang w:val="en-US" w:eastAsia="zh-CN"/>
        </w:rPr>
        <w:t>排土场</w:t>
      </w:r>
      <w:r>
        <w:rPr>
          <w:rFonts w:hint="default" w:ascii="Times New Roman" w:hAnsi="Times New Roman" w:eastAsia="宋体" w:cs="Times New Roman"/>
          <w:color w:val="auto"/>
          <w:kern w:val="0"/>
          <w:sz w:val="24"/>
          <w:highlight w:val="none"/>
          <w:lang w:val="en-US" w:eastAsia="zh-CN"/>
        </w:rPr>
        <w:t>应符合环保防渗要求；堆存危险废物，应按GB8598及其他危险废物的有关规定进行安全处置。</w:t>
      </w:r>
    </w:p>
    <w:p w14:paraId="71269AC3">
      <w:pPr>
        <w:ind w:firstLine="480"/>
        <w:rPr>
          <w:rFonts w:hint="default" w:ascii="Times New Roman" w:hAnsi="Times New Roman" w:eastAsia="宋体"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③建设单位</w:t>
      </w:r>
      <w:r>
        <w:rPr>
          <w:rFonts w:hint="default" w:ascii="Times New Roman" w:hAnsi="Times New Roman" w:eastAsia="宋体" w:cs="Times New Roman"/>
          <w:color w:val="auto"/>
          <w:kern w:val="0"/>
          <w:sz w:val="24"/>
          <w:highlight w:val="none"/>
          <w:lang w:val="en-US" w:eastAsia="zh-CN"/>
        </w:rPr>
        <w:t>应采取科学的开采方法</w:t>
      </w:r>
      <w:r>
        <w:rPr>
          <w:rFonts w:hint="default" w:ascii="Times New Roman" w:hAnsi="Times New Roman"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减少废石等矿业固体废物的产生量和贮存量。</w:t>
      </w:r>
    </w:p>
    <w:p w14:paraId="2C366268">
      <w:pPr>
        <w:ind w:firstLine="480"/>
        <w:rPr>
          <w:rFonts w:hint="default" w:ascii="Times New Roman" w:hAnsi="Times New Roman" w:eastAsia="宋体"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（4）</w:t>
      </w:r>
      <w:r>
        <w:rPr>
          <w:rFonts w:hint="default" w:ascii="Times New Roman" w:hAnsi="Times New Roman" w:eastAsia="宋体" w:cs="Times New Roman"/>
          <w:color w:val="auto"/>
          <w:kern w:val="0"/>
          <w:sz w:val="24"/>
          <w:highlight w:val="none"/>
          <w:lang w:val="en-US" w:eastAsia="zh-CN"/>
        </w:rPr>
        <w:t>噪声排放</w:t>
      </w:r>
    </w:p>
    <w:p w14:paraId="79AAE185">
      <w:pPr>
        <w:ind w:firstLine="480"/>
        <w:rPr>
          <w:rFonts w:hint="default" w:ascii="Times New Roman" w:hAnsi="Times New Roman" w:eastAsia="宋体"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产噪</w:t>
      </w:r>
      <w:r>
        <w:rPr>
          <w:rFonts w:hint="default" w:ascii="Times New Roman" w:hAnsi="Times New Roman" w:eastAsia="宋体" w:cs="Times New Roman"/>
          <w:color w:val="auto"/>
          <w:kern w:val="0"/>
          <w:sz w:val="24"/>
          <w:highlight w:val="none"/>
          <w:lang w:val="en-US" w:eastAsia="zh-CN"/>
        </w:rPr>
        <w:t>设备通过消声、减振、阻隔等措施降低噪声。</w:t>
      </w:r>
    </w:p>
    <w:p w14:paraId="733BFDD9">
      <w:pPr>
        <w:ind w:firstLine="480"/>
        <w:rPr>
          <w:rFonts w:hint="default" w:ascii="Times New Roman" w:hAnsi="Times New Roman" w:eastAsia="宋体"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（5）环境保护</w:t>
      </w:r>
    </w:p>
    <w:p w14:paraId="733E4556">
      <w:pPr>
        <w:ind w:firstLine="480"/>
        <w:rPr>
          <w:rFonts w:hint="default" w:ascii="Times New Roman" w:hAnsi="Times New Roman" w:eastAsia="宋体"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①</w:t>
      </w:r>
      <w:r>
        <w:rPr>
          <w:rFonts w:hint="default" w:ascii="Times New Roman" w:hAnsi="Times New Roman" w:eastAsia="宋体" w:cs="Times New Roman"/>
          <w:color w:val="auto"/>
          <w:kern w:val="0"/>
          <w:sz w:val="24"/>
          <w:highlight w:val="none"/>
          <w:lang w:val="en-US" w:eastAsia="zh-CN"/>
        </w:rPr>
        <w:t>重视地质灾害防治工作，无地质灾害隐患，次生地质灾害的</w:t>
      </w:r>
      <w:r>
        <w:rPr>
          <w:rFonts w:hint="default" w:ascii="Times New Roman" w:hAnsi="Times New Roman" w:cs="Times New Roman"/>
          <w:color w:val="auto"/>
          <w:kern w:val="0"/>
          <w:sz w:val="24"/>
          <w:highlight w:val="none"/>
          <w:lang w:val="en-US" w:eastAsia="zh-CN"/>
        </w:rPr>
        <w:t>防治</w:t>
      </w:r>
      <w:r>
        <w:rPr>
          <w:rFonts w:hint="default" w:ascii="Times New Roman" w:hAnsi="Times New Roman" w:eastAsia="宋体" w:cs="Times New Roman"/>
          <w:color w:val="auto"/>
          <w:kern w:val="0"/>
          <w:sz w:val="24"/>
          <w:highlight w:val="none"/>
          <w:lang w:val="en-US" w:eastAsia="zh-CN"/>
        </w:rPr>
        <w:t>与管理措施得力，近三年未发生重大的地质灾害。</w:t>
      </w:r>
    </w:p>
    <w:p w14:paraId="221D293C">
      <w:pPr>
        <w:ind w:firstLine="480"/>
        <w:rPr>
          <w:rFonts w:hint="default" w:ascii="Times New Roman" w:hAnsi="Times New Roman" w:eastAsia="宋体"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②</w:t>
      </w:r>
      <w:r>
        <w:rPr>
          <w:rFonts w:hint="default" w:ascii="Times New Roman" w:hAnsi="Times New Roman" w:eastAsia="宋体" w:cs="Times New Roman"/>
          <w:color w:val="auto"/>
          <w:kern w:val="0"/>
          <w:sz w:val="24"/>
          <w:highlight w:val="none"/>
          <w:lang w:val="en-US" w:eastAsia="zh-CN"/>
        </w:rPr>
        <w:t>矿区专用道路两侧应进行绿化，设置</w:t>
      </w:r>
      <w:r>
        <w:rPr>
          <w:rFonts w:hint="default" w:ascii="Times New Roman" w:hAnsi="Times New Roman" w:eastAsia="宋体" w:cs="Times New Roman"/>
          <w:color w:val="auto"/>
          <w:kern w:val="0"/>
          <w:sz w:val="24"/>
          <w:szCs w:val="28"/>
          <w:highlight w:val="none"/>
        </w:rPr>
        <w:t>截（排）水沟</w:t>
      </w:r>
      <w:r>
        <w:rPr>
          <w:rFonts w:hint="default" w:ascii="Times New Roman" w:hAnsi="Times New Roman" w:eastAsia="宋体" w:cs="Times New Roman"/>
          <w:color w:val="auto"/>
          <w:kern w:val="0"/>
          <w:sz w:val="24"/>
          <w:highlight w:val="none"/>
          <w:lang w:val="en-US" w:eastAsia="zh-CN"/>
        </w:rPr>
        <w:t>、挡土墙等相应保护措施，道路绿化应以乡土草种为主，选择适应性强、防尘效果好、护坡功能强的植物种。</w:t>
      </w:r>
    </w:p>
    <w:p w14:paraId="63E7B572">
      <w:pPr>
        <w:ind w:firstLine="480"/>
        <w:rPr>
          <w:rFonts w:hint="default" w:ascii="Times New Roman" w:hAnsi="Times New Roman" w:eastAsia="宋体"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③</w:t>
      </w:r>
      <w:r>
        <w:rPr>
          <w:rFonts w:hint="default" w:ascii="Times New Roman" w:hAnsi="Times New Roman" w:eastAsia="宋体" w:cs="Times New Roman"/>
          <w:color w:val="auto"/>
          <w:kern w:val="0"/>
          <w:sz w:val="24"/>
          <w:highlight w:val="none"/>
          <w:lang w:val="en-US" w:eastAsia="zh-CN"/>
        </w:rPr>
        <w:t>矿山临时用工业建筑物及设施拆除后应进行景观和植被恢复。</w:t>
      </w:r>
    </w:p>
    <w:p w14:paraId="14D6BF12">
      <w:pPr>
        <w:ind w:firstLine="480"/>
        <w:rPr>
          <w:rFonts w:hint="default" w:ascii="Times New Roman" w:hAnsi="Times New Roman" w:eastAsia="宋体"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④排土场</w:t>
      </w:r>
      <w:r>
        <w:rPr>
          <w:rFonts w:hint="default" w:ascii="Times New Roman" w:hAnsi="Times New Roman" w:eastAsia="宋体" w:cs="Times New Roman"/>
          <w:color w:val="auto"/>
          <w:kern w:val="0"/>
          <w:sz w:val="24"/>
          <w:highlight w:val="none"/>
          <w:lang w:val="en-US" w:eastAsia="zh-CN"/>
        </w:rPr>
        <w:t>闭场后，应进行平整和覆土处理，依据景观相似性原则选择植物种进行绿化或景观恢复。</w:t>
      </w:r>
    </w:p>
    <w:p w14:paraId="600A1253">
      <w:pPr>
        <w:ind w:firstLine="480"/>
        <w:rPr>
          <w:rFonts w:hint="default" w:ascii="Times New Roman" w:hAnsi="Times New Roman" w:eastAsia="宋体"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⑤排土场</w:t>
      </w:r>
      <w:r>
        <w:rPr>
          <w:rFonts w:hint="default" w:ascii="Times New Roman" w:hAnsi="Times New Roman" w:eastAsia="宋体" w:cs="Times New Roman"/>
          <w:color w:val="auto"/>
          <w:kern w:val="0"/>
          <w:sz w:val="24"/>
          <w:highlight w:val="none"/>
          <w:lang w:val="en-US" w:eastAsia="zh-CN"/>
        </w:rPr>
        <w:t>应分区分片整齐堆放；处于主导风向的下风向先堆放；及时碾压、洒水和喷洒石灰水防止扬尘；设置截洪沟、排水沟、护坡等措施，防止水土流失、滑坡和泥石流；设置终层覆土、土壤整治、培肥、种植；加强监测管理。</w:t>
      </w:r>
    </w:p>
    <w:p w14:paraId="15F33E4C">
      <w:pPr>
        <w:ind w:firstLine="480"/>
        <w:rPr>
          <w:rFonts w:hint="default" w:ascii="Times New Roman" w:hAnsi="Times New Roman" w:eastAsia="宋体"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⑥</w:t>
      </w:r>
      <w:r>
        <w:rPr>
          <w:rFonts w:hint="default" w:ascii="Times New Roman" w:hAnsi="Times New Roman" w:eastAsia="宋体" w:cs="Times New Roman"/>
          <w:color w:val="auto"/>
          <w:kern w:val="0"/>
          <w:sz w:val="24"/>
          <w:highlight w:val="none"/>
          <w:lang w:val="en-US" w:eastAsia="zh-CN"/>
        </w:rPr>
        <w:t>矿区绿化应与周边自然环境和景观相协调，绿化植物搭配合理，矿区绿化覆盖率应达到100%。</w:t>
      </w:r>
    </w:p>
    <w:p w14:paraId="324069F5">
      <w:pPr>
        <w:ind w:firstLine="480"/>
        <w:rPr>
          <w:rFonts w:hint="default" w:ascii="Times New Roman" w:hAnsi="Times New Roman" w:eastAsia="宋体"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（6）土地复垦</w:t>
      </w:r>
    </w:p>
    <w:p w14:paraId="172C7222">
      <w:pPr>
        <w:ind w:firstLine="480"/>
        <w:rPr>
          <w:rFonts w:hint="default" w:ascii="Times New Roman" w:hAnsi="Times New Roman" w:eastAsia="宋体"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①</w:t>
      </w:r>
      <w:r>
        <w:rPr>
          <w:rFonts w:hint="default" w:ascii="Times New Roman" w:hAnsi="Times New Roman" w:eastAsia="宋体" w:cs="Times New Roman"/>
          <w:color w:val="auto"/>
          <w:kern w:val="0"/>
          <w:sz w:val="24"/>
          <w:highlight w:val="none"/>
          <w:lang w:val="en-US" w:eastAsia="zh-CN"/>
        </w:rPr>
        <w:t>矿山勘查及开采按照“谁损毁、谁复垦”的原则，由矿山</w:t>
      </w:r>
      <w:r>
        <w:rPr>
          <w:rFonts w:hint="default" w:ascii="Times New Roman" w:hAnsi="Times New Roman" w:cs="Times New Roman"/>
          <w:color w:val="auto"/>
          <w:kern w:val="0"/>
          <w:sz w:val="24"/>
          <w:highlight w:val="none"/>
          <w:lang w:val="en-US" w:eastAsia="zh-CN"/>
        </w:rPr>
        <w:t>建设单位</w:t>
      </w:r>
      <w:r>
        <w:rPr>
          <w:rFonts w:hint="default" w:ascii="Times New Roman" w:hAnsi="Times New Roman" w:eastAsia="宋体" w:cs="Times New Roman"/>
          <w:color w:val="auto"/>
          <w:kern w:val="0"/>
          <w:sz w:val="24"/>
          <w:highlight w:val="none"/>
          <w:lang w:val="en-US" w:eastAsia="zh-CN"/>
        </w:rPr>
        <w:t>负责复垦。矿山</w:t>
      </w:r>
      <w:r>
        <w:rPr>
          <w:rFonts w:hint="default" w:ascii="Times New Roman" w:hAnsi="Times New Roman" w:cs="Times New Roman"/>
          <w:color w:val="auto"/>
          <w:kern w:val="0"/>
          <w:sz w:val="24"/>
          <w:highlight w:val="none"/>
          <w:lang w:val="en-US" w:eastAsia="zh-CN"/>
        </w:rPr>
        <w:t>建设单位</w:t>
      </w:r>
      <w:r>
        <w:rPr>
          <w:rFonts w:hint="default" w:ascii="Times New Roman" w:hAnsi="Times New Roman" w:eastAsia="宋体" w:cs="Times New Roman"/>
          <w:color w:val="auto"/>
          <w:kern w:val="0"/>
          <w:sz w:val="24"/>
          <w:highlight w:val="none"/>
          <w:lang w:val="en-US" w:eastAsia="zh-CN"/>
        </w:rPr>
        <w:t>切实履行矿山地质环境治理恢复与土地复垦义务，做到资源开发利用方案、矿山地质环境治理恢复方案、土地复垦方案同时设计、同时施工、同时投入生产和管理，确保矿区环境得到及时治理和恢复。</w:t>
      </w:r>
    </w:p>
    <w:p w14:paraId="20FFE1B4">
      <w:pPr>
        <w:ind w:firstLine="480"/>
        <w:rPr>
          <w:rFonts w:hint="default" w:ascii="Times New Roman" w:hAnsi="Times New Roman" w:eastAsia="宋体"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②排土场</w:t>
      </w:r>
      <w:r>
        <w:rPr>
          <w:rFonts w:hint="default" w:ascii="Times New Roman" w:hAnsi="Times New Roman" w:eastAsia="宋体" w:cs="Times New Roman"/>
          <w:color w:val="auto"/>
          <w:kern w:val="0"/>
          <w:sz w:val="24"/>
          <w:highlight w:val="none"/>
          <w:lang w:val="en-US" w:eastAsia="zh-CN"/>
        </w:rPr>
        <w:t>、矿山工业场地、矿山污染场地等生态环境保护与恢复治理，应符合HJ651-2013有关要求。</w:t>
      </w:r>
    </w:p>
    <w:p w14:paraId="20395565">
      <w:pPr>
        <w:ind w:firstLine="480"/>
        <w:rPr>
          <w:rFonts w:hint="default" w:ascii="Times New Roman" w:hAnsi="Times New Roman" w:eastAsia="宋体"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③排土场</w:t>
      </w:r>
      <w:r>
        <w:rPr>
          <w:rFonts w:hint="default" w:ascii="Times New Roman" w:hAnsi="Times New Roman" w:eastAsia="宋体" w:cs="Times New Roman"/>
          <w:color w:val="auto"/>
          <w:kern w:val="0"/>
          <w:sz w:val="24"/>
          <w:highlight w:val="none"/>
          <w:lang w:val="en-US" w:eastAsia="zh-CN"/>
        </w:rPr>
        <w:t>、</w:t>
      </w:r>
      <w:r>
        <w:rPr>
          <w:rFonts w:hint="default" w:ascii="Times New Roman" w:hAnsi="Times New Roman" w:cs="Times New Roman"/>
          <w:color w:val="auto"/>
          <w:kern w:val="0"/>
          <w:sz w:val="24"/>
          <w:highlight w:val="none"/>
          <w:lang w:val="en-US" w:eastAsia="zh-CN"/>
        </w:rPr>
        <w:t>工业场地</w:t>
      </w:r>
      <w:r>
        <w:rPr>
          <w:rFonts w:hint="default" w:ascii="Times New Roman" w:hAnsi="Times New Roman" w:eastAsia="宋体" w:cs="Times New Roman"/>
          <w:color w:val="auto"/>
          <w:kern w:val="0"/>
          <w:sz w:val="24"/>
          <w:highlight w:val="none"/>
          <w:lang w:val="en-US" w:eastAsia="zh-CN"/>
        </w:rPr>
        <w:t>等各类场地建设前，应视土壤类型对表土进行剥离。</w:t>
      </w:r>
    </w:p>
    <w:p w14:paraId="5EE5ADED">
      <w:pPr>
        <w:ind w:firstLine="480"/>
        <w:rPr>
          <w:rFonts w:hint="default" w:ascii="Times New Roman" w:hAnsi="Times New Roman" w:eastAsia="宋体"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④</w:t>
      </w:r>
      <w:r>
        <w:rPr>
          <w:rFonts w:hint="default" w:ascii="Times New Roman" w:hAnsi="Times New Roman" w:eastAsia="宋体" w:cs="Times New Roman"/>
          <w:color w:val="auto"/>
          <w:kern w:val="0"/>
          <w:sz w:val="24"/>
          <w:highlight w:val="none"/>
          <w:lang w:val="en-US" w:eastAsia="zh-CN"/>
        </w:rPr>
        <w:t>矿山环境保护恢复基金专款专用，专门用于矿山土地复垦，不得挪作他用。</w:t>
      </w:r>
    </w:p>
    <w:p w14:paraId="2350C5CC">
      <w:pPr>
        <w:ind w:firstLine="480"/>
        <w:rPr>
          <w:rFonts w:hint="default" w:ascii="Times New Roman" w:hAnsi="Times New Roman" w:eastAsia="宋体"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⑤</w:t>
      </w:r>
      <w:r>
        <w:rPr>
          <w:rFonts w:hint="default" w:ascii="Times New Roman" w:hAnsi="Times New Roman" w:eastAsia="宋体" w:cs="Times New Roman"/>
          <w:color w:val="auto"/>
          <w:kern w:val="0"/>
          <w:sz w:val="24"/>
          <w:highlight w:val="none"/>
          <w:lang w:val="en-US" w:eastAsia="zh-CN"/>
        </w:rPr>
        <w:t>实行“边开采、边治理”，实现生态修复动态化。</w:t>
      </w:r>
    </w:p>
    <w:p w14:paraId="4BE2A9F6">
      <w:pPr>
        <w:ind w:firstLine="480"/>
        <w:rPr>
          <w:rFonts w:hint="default" w:ascii="Times New Roman" w:hAnsi="Times New Roman" w:eastAsia="宋体"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⑥</w:t>
      </w:r>
      <w:r>
        <w:rPr>
          <w:rFonts w:hint="default" w:ascii="Times New Roman" w:hAnsi="Times New Roman" w:eastAsia="宋体" w:cs="Times New Roman"/>
          <w:color w:val="auto"/>
          <w:kern w:val="0"/>
          <w:sz w:val="24"/>
          <w:highlight w:val="none"/>
          <w:lang w:val="en-US" w:eastAsia="zh-CN"/>
        </w:rPr>
        <w:t>建立土地复垦质量控制制度、对拟损毁的草地进行表土剥离，剥离掉的表土用于被损毁土地的复垦。</w:t>
      </w:r>
    </w:p>
    <w:p w14:paraId="5F531B07">
      <w:pPr>
        <w:ind w:firstLine="480"/>
        <w:rPr>
          <w:rFonts w:hint="default" w:ascii="Times New Roman" w:hAnsi="Times New Roman" w:eastAsia="宋体"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⑦</w:t>
      </w:r>
      <w:r>
        <w:rPr>
          <w:rFonts w:hint="default" w:ascii="Times New Roman" w:hAnsi="Times New Roman" w:eastAsia="宋体" w:cs="Times New Roman"/>
          <w:color w:val="auto"/>
          <w:kern w:val="0"/>
          <w:sz w:val="24"/>
          <w:highlight w:val="none"/>
          <w:lang w:val="en-US" w:eastAsia="zh-CN"/>
        </w:rPr>
        <w:t>矿山经地质环境治理后的各类场地应安全稳定，对人类和动植物不造成威胁；对周边环境不产生污染；与周边自然环境和景观相协调；恢复土地基本功能，因地制宜实现土地可持续利用。</w:t>
      </w:r>
    </w:p>
    <w:p w14:paraId="44575C41">
      <w:pPr>
        <w:ind w:firstLine="480"/>
        <w:rPr>
          <w:rFonts w:hint="default" w:ascii="Times New Roman" w:hAnsi="Times New Roman" w:eastAsia="宋体"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⑧</w:t>
      </w:r>
      <w:r>
        <w:rPr>
          <w:rFonts w:hint="default" w:ascii="Times New Roman" w:hAnsi="Times New Roman" w:eastAsia="宋体" w:cs="Times New Roman"/>
          <w:color w:val="auto"/>
          <w:kern w:val="0"/>
          <w:sz w:val="24"/>
          <w:highlight w:val="none"/>
          <w:lang w:val="en-US" w:eastAsia="zh-CN"/>
        </w:rPr>
        <w:t>对</w:t>
      </w:r>
      <w:r>
        <w:rPr>
          <w:rFonts w:hint="default" w:ascii="Times New Roman" w:hAnsi="Times New Roman" w:cs="Times New Roman"/>
          <w:color w:val="auto"/>
          <w:kern w:val="0"/>
          <w:sz w:val="24"/>
          <w:highlight w:val="none"/>
          <w:lang w:val="en-US" w:eastAsia="zh-CN"/>
        </w:rPr>
        <w:t>排土场</w:t>
      </w:r>
      <w:r>
        <w:rPr>
          <w:rFonts w:hint="default" w:ascii="Times New Roman" w:hAnsi="Times New Roman" w:eastAsia="宋体" w:cs="Times New Roman"/>
          <w:color w:val="auto"/>
          <w:kern w:val="0"/>
          <w:sz w:val="24"/>
          <w:highlight w:val="none"/>
          <w:lang w:val="en-US" w:eastAsia="zh-CN"/>
        </w:rPr>
        <w:t>、采场粉尘、噪音等污染源和污染物实行动态监测，并向社会公开数据，接受社会公众监督。开采中和开采后应建立、健全长效监测机制，对土地复垦区稳定性和质量进行动态监测。</w:t>
      </w:r>
    </w:p>
    <w:p w14:paraId="4B10AD0E">
      <w:pPr>
        <w:ind w:firstLine="480"/>
        <w:rPr>
          <w:rFonts w:hint="default" w:ascii="Times New Roman" w:hAnsi="Times New Roman" w:eastAsia="宋体"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⑨排土场</w:t>
      </w:r>
      <w:r>
        <w:rPr>
          <w:rFonts w:hint="default" w:ascii="Times New Roman" w:hAnsi="Times New Roman" w:eastAsia="宋体" w:cs="Times New Roman"/>
          <w:color w:val="auto"/>
          <w:kern w:val="0"/>
          <w:sz w:val="24"/>
          <w:highlight w:val="none"/>
          <w:lang w:val="en-US" w:eastAsia="zh-CN"/>
        </w:rPr>
        <w:t>植被恢复宜草则草、草灌优先、</w:t>
      </w:r>
      <w:r>
        <w:rPr>
          <w:rFonts w:hint="default" w:ascii="Times New Roman" w:hAnsi="Times New Roman" w:cs="Times New Roman"/>
          <w:color w:val="auto"/>
          <w:kern w:val="0"/>
          <w:sz w:val="24"/>
          <w:highlight w:val="none"/>
          <w:lang w:val="en-US" w:eastAsia="zh-CN"/>
        </w:rPr>
        <w:t>与</w:t>
      </w:r>
      <w:r>
        <w:rPr>
          <w:rFonts w:hint="default" w:ascii="Times New Roman" w:hAnsi="Times New Roman" w:eastAsia="宋体" w:cs="Times New Roman"/>
          <w:color w:val="auto"/>
          <w:kern w:val="0"/>
          <w:sz w:val="24"/>
          <w:highlight w:val="none"/>
          <w:lang w:val="en-US" w:eastAsia="zh-CN"/>
        </w:rPr>
        <w:t>周边自然景观协调；不得使用外来有害植物种进行</w:t>
      </w:r>
      <w:r>
        <w:rPr>
          <w:rFonts w:hint="default" w:ascii="Times New Roman" w:hAnsi="Times New Roman" w:cs="Times New Roman"/>
          <w:color w:val="auto"/>
          <w:kern w:val="0"/>
          <w:sz w:val="24"/>
          <w:highlight w:val="none"/>
          <w:lang w:val="en-US" w:eastAsia="zh-CN"/>
        </w:rPr>
        <w:t>排土场</w:t>
      </w:r>
      <w:r>
        <w:rPr>
          <w:rFonts w:hint="default" w:ascii="Times New Roman" w:hAnsi="Times New Roman" w:eastAsia="宋体" w:cs="Times New Roman"/>
          <w:color w:val="auto"/>
          <w:kern w:val="0"/>
          <w:sz w:val="24"/>
          <w:highlight w:val="none"/>
          <w:lang w:val="en-US" w:eastAsia="zh-CN"/>
        </w:rPr>
        <w:t>植被恢复；生态恢复后的</w:t>
      </w:r>
      <w:r>
        <w:rPr>
          <w:rFonts w:hint="default" w:ascii="Times New Roman" w:hAnsi="Times New Roman" w:cs="Times New Roman"/>
          <w:color w:val="auto"/>
          <w:kern w:val="0"/>
          <w:sz w:val="24"/>
          <w:highlight w:val="none"/>
          <w:lang w:val="en-US" w:eastAsia="zh-CN"/>
        </w:rPr>
        <w:t>排土场</w:t>
      </w:r>
      <w:r>
        <w:rPr>
          <w:rFonts w:hint="default" w:ascii="Times New Roman" w:hAnsi="Times New Roman" w:eastAsia="宋体" w:cs="Times New Roman"/>
          <w:color w:val="auto"/>
          <w:kern w:val="0"/>
          <w:sz w:val="24"/>
          <w:highlight w:val="none"/>
          <w:lang w:val="en-US" w:eastAsia="zh-CN"/>
        </w:rPr>
        <w:t>因地制宜地转为农业、林业、牧业、建筑等类型用地。</w:t>
      </w:r>
    </w:p>
    <w:p w14:paraId="659EB7A5">
      <w:pPr>
        <w:numPr>
          <w:ilvl w:val="0"/>
          <w:numId w:val="0"/>
        </w:numPr>
        <w:ind w:firstLine="480" w:firstLineChars="2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（7）</w:t>
      </w:r>
      <w:r>
        <w:rPr>
          <w:rFonts w:hint="default" w:ascii="Times New Roman" w:hAnsi="Times New Roman" w:eastAsia="宋体" w:cs="Times New Roman"/>
          <w:color w:val="auto"/>
          <w:kern w:val="0"/>
          <w:sz w:val="24"/>
          <w:highlight w:val="none"/>
          <w:lang w:val="en-US" w:eastAsia="zh-CN"/>
        </w:rPr>
        <w:t>矿区环境</w:t>
      </w:r>
    </w:p>
    <w:p w14:paraId="22C498A9">
      <w:pPr>
        <w:ind w:firstLine="480"/>
        <w:rPr>
          <w:rFonts w:hint="default" w:ascii="Times New Roman" w:hAnsi="Times New Roman" w:eastAsia="宋体"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①</w:t>
      </w:r>
      <w:r>
        <w:rPr>
          <w:rFonts w:hint="default" w:ascii="Times New Roman" w:hAnsi="Times New Roman" w:eastAsia="宋体" w:cs="Times New Roman"/>
          <w:color w:val="auto"/>
          <w:kern w:val="0"/>
          <w:sz w:val="24"/>
          <w:highlight w:val="none"/>
          <w:lang w:val="en-US" w:eastAsia="zh-CN"/>
        </w:rPr>
        <w:t>矿区按生产区、管理区、生活区和生态区等功能分区，各功能区应符合CB50187的规定。</w:t>
      </w:r>
    </w:p>
    <w:p w14:paraId="5A95F4B0">
      <w:pPr>
        <w:ind w:firstLine="480"/>
        <w:rPr>
          <w:rFonts w:hint="default" w:ascii="Times New Roman" w:hAnsi="Times New Roman" w:eastAsia="宋体"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②</w:t>
      </w:r>
      <w:r>
        <w:rPr>
          <w:rFonts w:hint="default" w:ascii="Times New Roman" w:hAnsi="Times New Roman" w:eastAsia="宋体" w:cs="Times New Roman"/>
          <w:color w:val="auto"/>
          <w:kern w:val="0"/>
          <w:sz w:val="24"/>
          <w:highlight w:val="none"/>
          <w:lang w:val="en-US" w:eastAsia="zh-CN"/>
        </w:rPr>
        <w:t>矿区生产、运输、贮存、生活，运行有序、管理规范。</w:t>
      </w:r>
    </w:p>
    <w:p w14:paraId="071635F8">
      <w:pPr>
        <w:ind w:firstLine="480"/>
        <w:rPr>
          <w:rFonts w:hint="default" w:ascii="Times New Roman" w:hAnsi="Times New Roman" w:eastAsia="宋体"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③</w:t>
      </w:r>
      <w:r>
        <w:rPr>
          <w:rFonts w:hint="default" w:ascii="Times New Roman" w:hAnsi="Times New Roman" w:eastAsia="宋体" w:cs="Times New Roman"/>
          <w:color w:val="auto"/>
          <w:kern w:val="0"/>
          <w:sz w:val="24"/>
          <w:highlight w:val="none"/>
          <w:lang w:val="en-US" w:eastAsia="zh-CN"/>
        </w:rPr>
        <w:t>矿区地面道路、供水、供电、卫生、环保等配套设施齐全;在生产区应设置操作提示牌、说明牌、线路示意图牌等标牌；在需警示安全的区域应设置安全标志。</w:t>
      </w:r>
    </w:p>
    <w:p w14:paraId="003BD591">
      <w:pPr>
        <w:ind w:firstLine="480"/>
        <w:rPr>
          <w:rFonts w:hint="default" w:ascii="Times New Roman" w:hAnsi="Times New Roman" w:eastAsia="宋体"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④</w:t>
      </w:r>
      <w:r>
        <w:rPr>
          <w:rFonts w:hint="default" w:ascii="Times New Roman" w:hAnsi="Times New Roman" w:eastAsia="宋体" w:cs="Times New Roman"/>
          <w:color w:val="auto"/>
          <w:kern w:val="0"/>
          <w:sz w:val="24"/>
          <w:highlight w:val="none"/>
          <w:lang w:val="en-US" w:eastAsia="zh-CN"/>
        </w:rPr>
        <w:t>主运输道路两侧应设置隔离绿化带。</w:t>
      </w:r>
    </w:p>
    <w:p w14:paraId="67CFDE58">
      <w:pPr>
        <w:ind w:firstLine="480"/>
        <w:rPr>
          <w:rFonts w:hint="default" w:ascii="Times New Roman" w:hAnsi="Times New Roman" w:eastAsia="宋体"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⑤</w:t>
      </w:r>
      <w:r>
        <w:rPr>
          <w:rFonts w:hint="default" w:ascii="Times New Roman" w:hAnsi="Times New Roman" w:eastAsia="宋体" w:cs="Times New Roman"/>
          <w:color w:val="auto"/>
          <w:kern w:val="0"/>
          <w:sz w:val="24"/>
          <w:highlight w:val="none"/>
          <w:lang w:val="en-US" w:eastAsia="zh-CN"/>
        </w:rPr>
        <w:t>矿石的生产、运输、储存过程中做好防尘保洁措施，确保矿区环境卫生整洁。</w:t>
      </w:r>
    </w:p>
    <w:p w14:paraId="4453D6F3">
      <w:pPr>
        <w:pStyle w:val="5"/>
        <w:bidi w:val="0"/>
        <w:rPr>
          <w:rFonts w:hint="default"/>
        </w:rPr>
      </w:pPr>
      <w:bookmarkStart w:id="473" w:name="6.2.5.3对新疆阜康市彩南国家沙化土地封禁保护区保护措施"/>
      <w:bookmarkEnd w:id="473"/>
      <w:r>
        <w:rPr>
          <w:rFonts w:hint="default"/>
        </w:rPr>
        <w:t>防风固沙措施</w:t>
      </w:r>
    </w:p>
    <w:p w14:paraId="72BABB8F">
      <w:pPr>
        <w:widowControl/>
        <w:spacing w:line="360" w:lineRule="auto"/>
        <w:ind w:firstLine="480" w:firstLineChars="200"/>
        <w:jc w:val="left"/>
        <w:rPr>
          <w:color w:val="FF0000"/>
        </w:rPr>
      </w:pPr>
      <w:r>
        <w:rPr>
          <w:color w:val="FF0000"/>
          <w:kern w:val="0"/>
          <w:szCs w:val="21"/>
          <w:lang w:bidi="ar"/>
        </w:rPr>
        <w:t>①施工中严格控制作业区范围，临时占地避开植被生长较好的区域，施工人员不得随意破坏植被；</w:t>
      </w:r>
    </w:p>
    <w:p w14:paraId="74090E16">
      <w:pPr>
        <w:widowControl/>
        <w:spacing w:line="360" w:lineRule="auto"/>
        <w:ind w:firstLine="480" w:firstLineChars="200"/>
        <w:jc w:val="left"/>
        <w:rPr>
          <w:color w:val="FF0000"/>
        </w:rPr>
      </w:pPr>
      <w:r>
        <w:rPr>
          <w:color w:val="FF0000"/>
          <w:kern w:val="0"/>
          <w:szCs w:val="21"/>
          <w:lang w:bidi="ar"/>
        </w:rPr>
        <w:t xml:space="preserve">②减少施工便道修筑，施工便道宽度控制在红线范围内，严禁车辆随意行驶，规范车辆行驶路线； </w:t>
      </w:r>
    </w:p>
    <w:p w14:paraId="44D47990">
      <w:pPr>
        <w:widowControl/>
        <w:spacing w:line="360" w:lineRule="auto"/>
        <w:ind w:firstLine="480" w:firstLineChars="200"/>
        <w:jc w:val="left"/>
        <w:rPr>
          <w:color w:val="FF0000"/>
        </w:rPr>
      </w:pPr>
      <w:r>
        <w:rPr>
          <w:color w:val="FF0000"/>
          <w:kern w:val="0"/>
          <w:szCs w:val="21"/>
          <w:lang w:bidi="ar"/>
        </w:rPr>
        <w:t xml:space="preserve">③临时施工场所、施工机械行走路线应设置在无植被或少植被区域； </w:t>
      </w:r>
    </w:p>
    <w:p w14:paraId="3EF55AC8">
      <w:pPr>
        <w:widowControl/>
        <w:spacing w:line="360" w:lineRule="auto"/>
        <w:ind w:firstLine="480" w:firstLineChars="200"/>
        <w:jc w:val="left"/>
        <w:rPr>
          <w:color w:val="FF0000"/>
        </w:rPr>
      </w:pPr>
      <w:r>
        <w:rPr>
          <w:color w:val="FF0000"/>
          <w:kern w:val="0"/>
          <w:szCs w:val="21"/>
          <w:lang w:bidi="ar"/>
        </w:rPr>
        <w:t xml:space="preserve">④在施工过程中需加强管理，严禁不按操作规程野蛮施工； </w:t>
      </w:r>
    </w:p>
    <w:p w14:paraId="4453F250">
      <w:pPr>
        <w:bidi w:val="0"/>
        <w:rPr>
          <w:color w:val="FF0000"/>
        </w:rPr>
      </w:pPr>
      <w:r>
        <w:rPr>
          <w:color w:val="FF0000"/>
        </w:rPr>
        <w:t>⑤施工后期对施工迹地进行平整，保持一定的粗糙度，利于植被自然恢复。在工程施工保护措施的同时开展防沙治沙人为参与治理方式。</w:t>
      </w:r>
    </w:p>
    <w:p w14:paraId="162A9B78">
      <w:pPr>
        <w:bidi w:val="0"/>
        <w:rPr>
          <w:rFonts w:hint="eastAsia" w:ascii="Times New Roman" w:hAnsi="Times New Roman" w:eastAsia="宋体" w:cs="Times New Roman"/>
          <w:color w:val="FF0000"/>
        </w:rPr>
      </w:pPr>
      <w:r>
        <w:rPr>
          <w:rFonts w:hint="eastAsia" w:ascii="Times New Roman" w:hAnsi="Times New Roman" w:eastAsia="宋体" w:cs="Times New Roman"/>
          <w:color w:val="FF0000"/>
        </w:rPr>
        <w:t>⑥</w:t>
      </w:r>
      <w:r>
        <w:rPr>
          <w:rFonts w:hint="default" w:ascii="Times New Roman" w:hAnsi="Times New Roman" w:eastAsia="宋体" w:cs="Times New Roman"/>
          <w:color w:val="FF0000"/>
        </w:rPr>
        <w:t>将矿区划分为若干区块，采用 “分区开采、逐块恢复”模式，避免大面积同时开挖导致沙地裸露。每区块开采面积不超过10-20公顷，开采完成后立即进行生态恢复。</w:t>
      </w:r>
    </w:p>
    <w:p w14:paraId="5C0725D8">
      <w:pPr>
        <w:bidi w:val="0"/>
        <w:rPr>
          <w:rFonts w:hint="default"/>
          <w:color w:val="FF0000"/>
        </w:rPr>
      </w:pPr>
      <w:r>
        <w:rPr>
          <w:rFonts w:hint="eastAsia" w:ascii="微软雅黑" w:hAnsi="微软雅黑" w:eastAsia="微软雅黑" w:cs="微软雅黑"/>
          <w:color w:val="FF0000"/>
        </w:rPr>
        <w:t>⑦</w:t>
      </w:r>
      <w:r>
        <w:rPr>
          <w:rFonts w:hint="default"/>
          <w:color w:val="FF0000"/>
        </w:rPr>
        <w:t>实时风沙监测与应急处理</w:t>
      </w:r>
      <w:r>
        <w:rPr>
          <w:rFonts w:hint="eastAsia"/>
          <w:color w:val="FF0000"/>
          <w:lang w:eastAsia="zh-CN"/>
        </w:rPr>
        <w:t>，</w:t>
      </w:r>
      <w:r>
        <w:rPr>
          <w:rFonts w:hint="default"/>
          <w:color w:val="FF0000"/>
        </w:rPr>
        <w:t>当风速≥5级，立即暂停</w:t>
      </w:r>
      <w:r>
        <w:rPr>
          <w:rFonts w:hint="eastAsia"/>
          <w:color w:val="FF0000"/>
          <w:lang w:val="en-US" w:eastAsia="zh-CN"/>
        </w:rPr>
        <w:t>采矿</w:t>
      </w:r>
      <w:r>
        <w:rPr>
          <w:rFonts w:hint="default"/>
          <w:color w:val="FF0000"/>
        </w:rPr>
        <w:t>作业。</w:t>
      </w:r>
    </w:p>
    <w:p w14:paraId="61C628CE">
      <w:pPr>
        <w:widowControl/>
        <w:spacing w:line="360" w:lineRule="auto"/>
        <w:ind w:firstLine="480" w:firstLineChars="200"/>
        <w:jc w:val="left"/>
        <w:rPr>
          <w:color w:val="FF0000"/>
        </w:rPr>
      </w:pPr>
      <w:r>
        <w:rPr>
          <w:color w:val="FF0000"/>
          <w:kern w:val="0"/>
          <w:szCs w:val="21"/>
          <w:lang w:bidi="ar"/>
        </w:rPr>
        <w:t>工程施工结束后采用自然恢复的方式进行恢复区域植被，临时占地内植被在未来3～5 年时间内通过自然降水及温度等因素得以恢复。对于恢复状态不好的地段，根据实际情况对地表进行人工固沙处理。</w:t>
      </w:r>
    </w:p>
    <w:p w14:paraId="07572065">
      <w:pPr>
        <w:pStyle w:val="5"/>
        <w:bidi w:val="0"/>
        <w:rPr>
          <w:rFonts w:hint="default"/>
        </w:rPr>
      </w:pPr>
      <w:r>
        <w:rPr>
          <w:rFonts w:hint="default"/>
        </w:rPr>
        <w:t>对新疆阜康市彩南国家沙化土地封禁保护区保护措施</w:t>
      </w:r>
    </w:p>
    <w:p w14:paraId="73F6399F">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本项目西侧</w:t>
      </w:r>
      <w:r>
        <w:rPr>
          <w:rFonts w:hint="default" w:ascii="Times New Roman" w:hAnsi="Times New Roman" w:cs="Times New Roman"/>
          <w:color w:val="auto"/>
          <w:sz w:val="24"/>
          <w:szCs w:val="24"/>
          <w:highlight w:val="none"/>
          <w:lang w:val="en-US" w:eastAsia="zh-CN"/>
        </w:rPr>
        <w:t>为</w:t>
      </w:r>
      <w:r>
        <w:rPr>
          <w:rFonts w:hint="default" w:ascii="Times New Roman" w:hAnsi="Times New Roman" w:cs="Times New Roman"/>
          <w:color w:val="auto"/>
          <w:sz w:val="24"/>
          <w:szCs w:val="24"/>
          <w:highlight w:val="none"/>
        </w:rPr>
        <w:t>新疆阜康市彩南国家沙化土地封禁保护区，矿区不占用其保护区范围，距离其保护区最近距离</w:t>
      </w:r>
      <w:r>
        <w:rPr>
          <w:rFonts w:hint="default" w:ascii="Times New Roman" w:hAnsi="Times New Roman" w:cs="Times New Roman"/>
          <w:color w:val="auto"/>
          <w:sz w:val="24"/>
          <w:szCs w:val="24"/>
          <w:highlight w:val="none"/>
          <w:lang w:val="en-US" w:eastAsia="zh-CN"/>
        </w:rPr>
        <w:t>900</w:t>
      </w:r>
      <w:r>
        <w:rPr>
          <w:rFonts w:hint="default" w:ascii="Times New Roman" w:hAnsi="Times New Roman" w:cs="Times New Roman"/>
          <w:color w:val="auto"/>
          <w:sz w:val="24"/>
          <w:szCs w:val="24"/>
          <w:highlight w:val="none"/>
        </w:rPr>
        <w:t>m。</w:t>
      </w:r>
    </w:p>
    <w:p w14:paraId="628938C8">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根据《国家沙化土地封禁保护区管理办法》，“第十四条，除国家另有规定外，在国家沙化土地封禁保护区范围内禁止下列行为：</w:t>
      </w:r>
    </w:p>
    <w:p w14:paraId="0FC2F086">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（一）禁止砍伐、樵采、开垦、放牧、采药、狩猎、勘探、开矿和滥用水资源等一切破坏植被的活动；</w:t>
      </w:r>
    </w:p>
    <w:p w14:paraId="4564CA71">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（二）禁止在国家沙化土地封禁保护区范围内安置移民；</w:t>
      </w:r>
    </w:p>
    <w:p w14:paraId="6B33BB1C">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（三）未经批准，禁止在国家沙化土地封禁保护区范围内进行修建铁路、公路等建设活动。</w:t>
      </w:r>
    </w:p>
    <w:p w14:paraId="393D5004">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第十五条，确需在国家沙化土地封禁保护区范围内进行修建铁路、公路等建设活动的，应当按照“在沙化土地封禁保护区范围内进行修建铁路、公路等建设活动审核”的行政许可要求，报国家林业局行政许可。”</w:t>
      </w:r>
    </w:p>
    <w:p w14:paraId="5064C8CA">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本项目未占用新疆阜康市彩南国家沙化土地封禁保护区，已对该封禁保护区采取了避让措施。本次环评严禁在保护区与矿区范围中间区域开展施工、建设等活动，</w:t>
      </w:r>
      <w:r>
        <w:rPr>
          <w:rFonts w:hint="default" w:ascii="Times New Roman" w:hAnsi="Times New Roman" w:cs="Times New Roman"/>
          <w:color w:val="auto"/>
          <w:sz w:val="24"/>
          <w:szCs w:val="24"/>
          <w:highlight w:val="none"/>
          <w:lang w:val="en-US" w:eastAsia="zh-CN"/>
        </w:rPr>
        <w:t>本项目</w:t>
      </w:r>
      <w:r>
        <w:rPr>
          <w:rFonts w:hint="default" w:ascii="Times New Roman" w:hAnsi="Times New Roman" w:cs="Times New Roman"/>
          <w:color w:val="auto"/>
          <w:sz w:val="24"/>
          <w:szCs w:val="24"/>
          <w:highlight w:val="none"/>
        </w:rPr>
        <w:t>临时占地均布置在矿区东侧，</w:t>
      </w:r>
      <w:r>
        <w:rPr>
          <w:rFonts w:hint="default" w:ascii="Times New Roman" w:hAnsi="Times New Roman" w:cs="Times New Roman"/>
          <w:color w:val="auto"/>
          <w:sz w:val="24"/>
          <w:szCs w:val="24"/>
          <w:highlight w:val="none"/>
          <w:lang w:val="en-US" w:eastAsia="zh-CN"/>
        </w:rPr>
        <w:t>未占用封禁保护区用地，本项目对外运输时会依托现有公路穿越保护区，首先要求</w:t>
      </w:r>
      <w:r>
        <w:rPr>
          <w:rFonts w:hint="default" w:ascii="Times New Roman" w:hAnsi="Times New Roman" w:cs="Times New Roman"/>
          <w:color w:val="auto"/>
          <w:sz w:val="24"/>
          <w:szCs w:val="24"/>
          <w:highlight w:val="none"/>
        </w:rPr>
        <w:t>运输车辆</w:t>
      </w:r>
      <w:r>
        <w:rPr>
          <w:rFonts w:hint="default" w:ascii="Times New Roman" w:hAnsi="Times New Roman" w:cs="Times New Roman"/>
          <w:color w:val="auto"/>
          <w:sz w:val="24"/>
          <w:szCs w:val="24"/>
          <w:highlight w:val="none"/>
          <w:lang w:val="en-US" w:eastAsia="zh-CN"/>
        </w:rPr>
        <w:t>减速慢行，运输物料采用篷布遮盖</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减轻扬尘污染，</w:t>
      </w:r>
      <w:r>
        <w:rPr>
          <w:rFonts w:hint="default" w:ascii="Times New Roman" w:hAnsi="Times New Roman" w:cs="Times New Roman"/>
          <w:color w:val="auto"/>
          <w:sz w:val="24"/>
          <w:szCs w:val="24"/>
          <w:highlight w:val="none"/>
        </w:rPr>
        <w:t>禁止鸣笛，以减轻对保护区内动物的</w:t>
      </w:r>
      <w:r>
        <w:rPr>
          <w:rFonts w:hint="default" w:ascii="Times New Roman" w:hAnsi="Times New Roman" w:cs="Times New Roman"/>
          <w:color w:val="auto"/>
          <w:sz w:val="24"/>
          <w:szCs w:val="24"/>
          <w:highlight w:val="none"/>
          <w:lang w:val="en-US" w:eastAsia="zh-CN"/>
        </w:rPr>
        <w:t>影响</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其次</w:t>
      </w:r>
      <w:r>
        <w:rPr>
          <w:rFonts w:hint="default" w:ascii="Times New Roman" w:hAnsi="Times New Roman" w:cs="Times New Roman"/>
          <w:color w:val="auto"/>
          <w:sz w:val="24"/>
          <w:szCs w:val="24"/>
          <w:highlight w:val="none"/>
        </w:rPr>
        <w:t>建设单位定期须对员工开展野生动物教育培训，严禁捕杀保护区内野生动物。除此之外，项目需采取防风固沙措施，运营期间，</w:t>
      </w:r>
      <w:r>
        <w:rPr>
          <w:rFonts w:hint="default" w:ascii="Times New Roman" w:hAnsi="Times New Roman" w:cs="Times New Roman"/>
          <w:color w:val="auto"/>
          <w:sz w:val="24"/>
          <w:szCs w:val="24"/>
          <w:highlight w:val="none"/>
          <w:lang w:val="en-US" w:eastAsia="zh-CN"/>
        </w:rPr>
        <w:t>优化开采次序，减少对地表的扰动，减少水土流失，</w:t>
      </w:r>
      <w:r>
        <w:rPr>
          <w:rFonts w:hint="default" w:ascii="Times New Roman" w:hAnsi="Times New Roman" w:cs="Times New Roman"/>
          <w:color w:val="auto"/>
          <w:sz w:val="24"/>
          <w:szCs w:val="24"/>
          <w:highlight w:val="none"/>
        </w:rPr>
        <w:t>加强矿区绿化建设，扩大区域植被覆盖度，</w:t>
      </w:r>
      <w:r>
        <w:rPr>
          <w:rFonts w:hint="default" w:ascii="Times New Roman" w:hAnsi="Times New Roman" w:cs="Times New Roman"/>
          <w:color w:val="auto"/>
          <w:sz w:val="24"/>
          <w:szCs w:val="24"/>
          <w:highlight w:val="none"/>
          <w:lang w:val="en-US" w:eastAsia="zh-CN"/>
        </w:rPr>
        <w:t>骑到防风沙，</w:t>
      </w:r>
      <w:r>
        <w:rPr>
          <w:rFonts w:hint="default" w:ascii="Times New Roman" w:hAnsi="Times New Roman" w:cs="Times New Roman"/>
          <w:color w:val="auto"/>
          <w:sz w:val="24"/>
          <w:szCs w:val="24"/>
          <w:highlight w:val="none"/>
        </w:rPr>
        <w:t>控制水土流失</w:t>
      </w:r>
      <w:r>
        <w:rPr>
          <w:rFonts w:hint="default" w:ascii="Times New Roman" w:hAnsi="Times New Roman" w:cs="Times New Roman"/>
          <w:color w:val="auto"/>
          <w:sz w:val="24"/>
          <w:szCs w:val="24"/>
          <w:highlight w:val="none"/>
          <w:lang w:val="en-US" w:eastAsia="zh-CN"/>
        </w:rPr>
        <w:t>的作用</w:t>
      </w:r>
      <w:r>
        <w:rPr>
          <w:rFonts w:hint="default" w:ascii="Times New Roman" w:hAnsi="Times New Roman" w:cs="Times New Roman"/>
          <w:color w:val="auto"/>
          <w:sz w:val="24"/>
          <w:szCs w:val="24"/>
          <w:highlight w:val="none"/>
        </w:rPr>
        <w:t>。</w:t>
      </w:r>
    </w:p>
    <w:p w14:paraId="14075E27">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综上，在采取措施后，一定程度上可以减轻对封禁保护区的扰动影响，满足其生态功能需求。</w:t>
      </w:r>
    </w:p>
    <w:p w14:paraId="3DDF7EE8">
      <w:pPr>
        <w:pStyle w:val="14"/>
        <w:kinsoku w:val="0"/>
        <w:overflowPunct w:val="0"/>
        <w:spacing w:beforeLines="0" w:afterLines="0"/>
        <w:ind w:left="0"/>
        <w:rPr>
          <w:rFonts w:hint="default" w:ascii="Times New Roman" w:hAnsi="Times New Roman" w:cs="Times New Roman"/>
          <w:color w:val="auto"/>
          <w:sz w:val="20"/>
          <w:szCs w:val="24"/>
          <w:highlight w:val="none"/>
        </w:rPr>
      </w:pPr>
    </w:p>
    <w:p w14:paraId="74B4C9D3">
      <w:pPr>
        <w:pStyle w:val="14"/>
        <w:kinsoku w:val="0"/>
        <w:overflowPunct w:val="0"/>
        <w:spacing w:beforeLines="0" w:afterLines="0"/>
        <w:ind w:left="0"/>
        <w:rPr>
          <w:rFonts w:hint="default" w:ascii="Times New Roman" w:hAnsi="Times New Roman" w:cs="Times New Roman"/>
          <w:color w:val="auto"/>
          <w:sz w:val="20"/>
          <w:szCs w:val="24"/>
          <w:highlight w:val="none"/>
        </w:rPr>
      </w:pPr>
    </w:p>
    <w:p w14:paraId="1C4A4A0F">
      <w:pPr>
        <w:pStyle w:val="14"/>
        <w:kinsoku w:val="0"/>
        <w:overflowPunct w:val="0"/>
        <w:spacing w:before="10" w:beforeLines="0" w:afterLines="0"/>
        <w:ind w:left="0"/>
        <w:rPr>
          <w:rFonts w:hint="default" w:ascii="Times New Roman" w:hAnsi="Times New Roman" w:eastAsia="Calibri" w:cs="Times New Roman"/>
          <w:color w:val="auto"/>
          <w:sz w:val="13"/>
          <w:szCs w:val="24"/>
          <w:highlight w:val="none"/>
        </w:rPr>
      </w:pPr>
      <w:r>
        <w:rPr>
          <w:rFonts w:hint="default" w:ascii="Times New Roman" w:hAnsi="Times New Roman" w:eastAsia="Calibri" w:cs="Times New Roman"/>
          <w:color w:val="auto"/>
          <w:sz w:val="13"/>
          <w:szCs w:val="24"/>
          <w:highlight w:val="none"/>
        </w:rPr>
        <w:br w:type="page"/>
      </w:r>
    </w:p>
    <w:p w14:paraId="00E12AF4">
      <w:pPr>
        <w:pStyle w:val="2"/>
        <w:bidi w:val="0"/>
        <w:rPr>
          <w:rFonts w:hint="default"/>
        </w:rPr>
      </w:pPr>
      <w:bookmarkStart w:id="474" w:name="bookmark34"/>
      <w:bookmarkEnd w:id="474"/>
      <w:bookmarkStart w:id="475" w:name="7环境影响经济损益分析"/>
      <w:bookmarkEnd w:id="475"/>
      <w:bookmarkStart w:id="476" w:name="_Toc8530"/>
      <w:bookmarkStart w:id="477" w:name="_Toc22313"/>
      <w:r>
        <w:rPr>
          <w:rFonts w:hint="default"/>
        </w:rPr>
        <w:t>环境影响经济损益分析</w:t>
      </w:r>
      <w:bookmarkEnd w:id="476"/>
      <w:bookmarkEnd w:id="477"/>
    </w:p>
    <w:p w14:paraId="4FF556CE">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环境影响经济损益分析是针对建设项目的性质和当地的具体情况，确定环境影响因子，从而对项目环境影响范围内的环境影响总体</w:t>
      </w:r>
      <w:r>
        <w:rPr>
          <w:rFonts w:hint="default" w:ascii="Times New Roman" w:hAnsi="Times New Roman" w:cs="Times New Roman"/>
          <w:color w:val="auto"/>
          <w:highlight w:val="none"/>
          <w:lang w:eastAsia="zh-CN"/>
        </w:rPr>
        <w:t>作出</w:t>
      </w:r>
      <w:r>
        <w:rPr>
          <w:rFonts w:hint="default" w:ascii="Times New Roman" w:hAnsi="Times New Roman" w:cs="Times New Roman"/>
          <w:color w:val="auto"/>
          <w:highlight w:val="none"/>
        </w:rPr>
        <w:t>经济评价。</w:t>
      </w:r>
    </w:p>
    <w:p w14:paraId="7A4B42AE">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根据理论发展多年的实践经验，任何项目工程都不可能对全部环境影响因子做出经济评价，因此，环境影响经济损益分析的重点，主要是对工程的主要影响因子做出投资和经济损益的评价，即项目的环境保护措施投资估算和经济效益、环境效益和社会效益以及项目环境影响费用</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效益总体分析评价。</w:t>
      </w:r>
    </w:p>
    <w:p w14:paraId="2BAEE3B4">
      <w:pPr>
        <w:pStyle w:val="3"/>
        <w:bidi w:val="0"/>
        <w:rPr>
          <w:rFonts w:hint="default"/>
          <w:lang w:val="en-US" w:eastAsia="zh-CN"/>
        </w:rPr>
      </w:pPr>
      <w:bookmarkStart w:id="478" w:name="_Toc811"/>
      <w:bookmarkStart w:id="479" w:name="_Toc16393"/>
      <w:bookmarkStart w:id="480" w:name="_Toc29255"/>
      <w:bookmarkStart w:id="481" w:name="_Toc26052"/>
      <w:bookmarkStart w:id="482" w:name="_Toc143"/>
      <w:bookmarkStart w:id="483" w:name="_Toc4062"/>
      <w:bookmarkStart w:id="484" w:name="_Toc26902"/>
      <w:bookmarkStart w:id="485" w:name="_Toc27478"/>
      <w:bookmarkStart w:id="486" w:name="_Toc31356"/>
      <w:bookmarkStart w:id="487" w:name="_Toc19197"/>
      <w:r>
        <w:rPr>
          <w:rFonts w:hint="default"/>
          <w:lang w:val="en-US" w:eastAsia="zh-CN"/>
        </w:rPr>
        <w:t>社会效益分析</w:t>
      </w:r>
      <w:bookmarkEnd w:id="478"/>
      <w:bookmarkEnd w:id="479"/>
      <w:bookmarkEnd w:id="480"/>
      <w:bookmarkEnd w:id="481"/>
      <w:bookmarkEnd w:id="482"/>
      <w:bookmarkEnd w:id="483"/>
      <w:bookmarkEnd w:id="484"/>
      <w:bookmarkEnd w:id="485"/>
      <w:bookmarkEnd w:id="486"/>
      <w:bookmarkEnd w:id="487"/>
    </w:p>
    <w:p w14:paraId="491FB64D">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本工程</w:t>
      </w:r>
      <w:r>
        <w:rPr>
          <w:rFonts w:hint="default" w:ascii="Times New Roman" w:hAnsi="Times New Roman" w:cs="Times New Roman"/>
          <w:color w:val="auto"/>
          <w:highlight w:val="none"/>
        </w:rPr>
        <w:t>社会效益主要体现在以下几个方面：</w:t>
      </w:r>
    </w:p>
    <w:p w14:paraId="740ACE9C">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（1）</w:t>
      </w:r>
      <w:r>
        <w:rPr>
          <w:rFonts w:hint="default" w:ascii="Times New Roman" w:hAnsi="Times New Roman" w:cs="Times New Roman"/>
          <w:color w:val="auto"/>
          <w:highlight w:val="none"/>
          <w:lang w:eastAsia="zh-CN"/>
        </w:rPr>
        <w:t>本工程</w:t>
      </w:r>
      <w:r>
        <w:rPr>
          <w:rFonts w:hint="default" w:ascii="Times New Roman" w:hAnsi="Times New Roman" w:cs="Times New Roman"/>
          <w:color w:val="auto"/>
          <w:highlight w:val="none"/>
        </w:rPr>
        <w:t>实施有利于促进当地</w:t>
      </w:r>
      <w:r>
        <w:rPr>
          <w:rFonts w:hint="default" w:ascii="Times New Roman" w:hAnsi="Times New Roman" w:cs="Times New Roman"/>
          <w:color w:val="auto"/>
          <w:highlight w:val="none"/>
          <w:lang w:val="en-US" w:eastAsia="zh-CN"/>
        </w:rPr>
        <w:t>石英砂矿</w:t>
      </w:r>
      <w:r>
        <w:rPr>
          <w:rFonts w:hint="default" w:ascii="Times New Roman" w:hAnsi="Times New Roman" w:cs="Times New Roman"/>
          <w:color w:val="auto"/>
          <w:highlight w:val="none"/>
        </w:rPr>
        <w:t>采掘行业的快速发展，满足当地相关市场需求，有利于市场竞争，并可带动当地相关产业发展，为当地下游行业提供发展机遇，可扩大当地相关产品消费市场，创造较大经济效益同时在一定程度上增加区域经济竞争力，促进当地社会可持续发展。</w:t>
      </w:r>
    </w:p>
    <w:p w14:paraId="22194D74">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w:t>
      </w:r>
      <w:r>
        <w:rPr>
          <w:rFonts w:hint="default" w:ascii="Times New Roman" w:hAnsi="Times New Roman" w:cs="Times New Roman"/>
          <w:color w:val="auto"/>
          <w:highlight w:val="none"/>
          <w:lang w:eastAsia="zh-CN"/>
        </w:rPr>
        <w:t>本工程</w:t>
      </w:r>
      <w:r>
        <w:rPr>
          <w:rFonts w:hint="default" w:ascii="Times New Roman" w:hAnsi="Times New Roman" w:cs="Times New Roman"/>
          <w:color w:val="auto"/>
          <w:highlight w:val="none"/>
        </w:rPr>
        <w:t>需要聘用一批长期固定技术管理人员和生产工人，这就为当地剩余劳动力提供就业机会，促进当地就业，同时建设单位愿积极吸纳优秀大中专院校毕业生就业，一定程度上可缓解当前严峻就业压力，并可增加当地政府财政税收。</w:t>
      </w:r>
    </w:p>
    <w:p w14:paraId="463625BB">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综上所述，</w:t>
      </w:r>
      <w:r>
        <w:rPr>
          <w:rFonts w:hint="default" w:ascii="Times New Roman" w:hAnsi="Times New Roman" w:cs="Times New Roman"/>
          <w:color w:val="auto"/>
          <w:highlight w:val="none"/>
          <w:lang w:eastAsia="zh-CN"/>
        </w:rPr>
        <w:t>本工程</w:t>
      </w:r>
      <w:r>
        <w:rPr>
          <w:rFonts w:hint="default" w:ascii="Times New Roman" w:hAnsi="Times New Roman" w:cs="Times New Roman"/>
          <w:color w:val="auto"/>
          <w:highlight w:val="none"/>
        </w:rPr>
        <w:t>具有良</w:t>
      </w:r>
      <w:r>
        <w:rPr>
          <w:rFonts w:hint="default" w:ascii="Times New Roman" w:hAnsi="Times New Roman" w:cs="Times New Roman"/>
          <w:color w:val="auto"/>
          <w:highlight w:val="none"/>
          <w:lang w:eastAsia="zh-CN"/>
        </w:rPr>
        <w:t>好的</w:t>
      </w:r>
      <w:r>
        <w:rPr>
          <w:rFonts w:hint="default" w:ascii="Times New Roman" w:hAnsi="Times New Roman" w:cs="Times New Roman"/>
          <w:color w:val="auto"/>
          <w:highlight w:val="none"/>
        </w:rPr>
        <w:t>社会效益。</w:t>
      </w:r>
    </w:p>
    <w:p w14:paraId="2BE3C60D">
      <w:pPr>
        <w:pStyle w:val="3"/>
        <w:bidi w:val="0"/>
        <w:rPr>
          <w:rFonts w:hint="default"/>
          <w:lang w:val="en-US" w:eastAsia="zh-CN"/>
        </w:rPr>
      </w:pPr>
      <w:bookmarkStart w:id="488" w:name="_Toc446160747"/>
      <w:bookmarkStart w:id="489" w:name="_Toc426642707"/>
      <w:bookmarkStart w:id="490" w:name="_Toc4460"/>
      <w:bookmarkStart w:id="491" w:name="_Toc25187"/>
      <w:bookmarkStart w:id="492" w:name="_Toc12953"/>
      <w:bookmarkStart w:id="493" w:name="_Toc17328"/>
      <w:bookmarkStart w:id="494" w:name="_Toc16759"/>
      <w:bookmarkStart w:id="495" w:name="_Toc19356"/>
      <w:bookmarkStart w:id="496" w:name="_Toc6945"/>
      <w:bookmarkStart w:id="497" w:name="_Toc24021"/>
      <w:bookmarkStart w:id="498" w:name="_Toc29409"/>
      <w:bookmarkStart w:id="499" w:name="_Toc29130"/>
      <w:bookmarkStart w:id="500" w:name="_Toc3243"/>
      <w:bookmarkStart w:id="501" w:name="_Toc27822"/>
      <w:bookmarkStart w:id="502" w:name="_Toc447541235"/>
      <w:bookmarkStart w:id="503" w:name="_Toc15786"/>
      <w:bookmarkStart w:id="504" w:name="_Toc355784248"/>
      <w:bookmarkStart w:id="505" w:name="_Toc27225"/>
      <w:bookmarkStart w:id="506" w:name="_Toc6908840"/>
      <w:bookmarkStart w:id="507" w:name="_Toc23259"/>
      <w:bookmarkStart w:id="508" w:name="_Toc10922"/>
      <w:bookmarkStart w:id="509" w:name="_Toc31322"/>
      <w:bookmarkStart w:id="510" w:name="_Toc365647381"/>
      <w:bookmarkStart w:id="511" w:name="_Toc20622"/>
      <w:bookmarkStart w:id="512" w:name="_Toc6908842"/>
      <w:bookmarkStart w:id="513" w:name="_Toc29958"/>
      <w:bookmarkStart w:id="514" w:name="_Toc10315"/>
      <w:bookmarkStart w:id="515" w:name="_Toc426642709"/>
      <w:bookmarkStart w:id="516" w:name="_Toc25579"/>
      <w:bookmarkStart w:id="517" w:name="_Toc446160749"/>
      <w:bookmarkStart w:id="518" w:name="_Toc11474"/>
      <w:bookmarkStart w:id="519" w:name="_Toc1921"/>
      <w:bookmarkStart w:id="520" w:name="_Toc7852"/>
      <w:bookmarkStart w:id="521" w:name="_Toc447541237"/>
      <w:bookmarkStart w:id="522" w:name="_Toc32566"/>
      <w:bookmarkStart w:id="523" w:name="_Toc10207"/>
      <w:bookmarkStart w:id="524" w:name="_Toc32096"/>
      <w:bookmarkStart w:id="525" w:name="_Toc246847776"/>
      <w:bookmarkStart w:id="526" w:name="_Toc2292"/>
      <w:bookmarkStart w:id="527" w:name="_Toc4703"/>
      <w:bookmarkStart w:id="528" w:name="_Toc390077138"/>
      <w:bookmarkStart w:id="529" w:name="_Toc26732"/>
      <w:bookmarkStart w:id="530" w:name="_Toc17963"/>
      <w:r>
        <w:rPr>
          <w:rFonts w:hint="default"/>
          <w:lang w:val="en-US" w:eastAsia="zh-CN"/>
        </w:rPr>
        <w:t>环保投资估算</w:t>
      </w:r>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p>
    <w:p w14:paraId="337F8D48">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本工程总投资6681.82万元，其中环保投资9</w:t>
      </w:r>
      <w:r>
        <w:rPr>
          <w:rFonts w:hint="eastAsia" w:cs="Times New Roman"/>
          <w:color w:val="auto"/>
          <w:highlight w:val="none"/>
          <w:lang w:val="en-US" w:eastAsia="zh-CN"/>
        </w:rPr>
        <w:t>4</w:t>
      </w:r>
      <w:r>
        <w:rPr>
          <w:rFonts w:hint="eastAsia"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eastAsia="zh-CN"/>
        </w:rPr>
        <w:t>万元，占项目总投资的</w:t>
      </w:r>
      <w:r>
        <w:rPr>
          <w:rFonts w:hint="eastAsia" w:cs="Times New Roman"/>
          <w:color w:val="auto"/>
          <w:highlight w:val="none"/>
          <w:lang w:val="en-US" w:eastAsia="zh-CN"/>
        </w:rPr>
        <w:t>14.1%</w:t>
      </w:r>
      <w:r>
        <w:rPr>
          <w:rFonts w:hint="default" w:ascii="Times New Roman" w:hAnsi="Times New Roman" w:cs="Times New Roman"/>
          <w:color w:val="auto"/>
          <w:highlight w:val="none"/>
          <w:lang w:val="en-US" w:eastAsia="zh-CN"/>
        </w:rPr>
        <w:t>，项目环保治理设施及投资估算见表7.2-1。</w:t>
      </w:r>
    </w:p>
    <w:p w14:paraId="23BB87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表7.2-1    环保设施及投资一览表</w:t>
      </w:r>
    </w:p>
    <w:tbl>
      <w:tblPr>
        <w:tblStyle w:val="31"/>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98"/>
        <w:gridCol w:w="474"/>
        <w:gridCol w:w="1562"/>
        <w:gridCol w:w="4931"/>
        <w:gridCol w:w="1697"/>
      </w:tblGrid>
      <w:tr w14:paraId="4F76E0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1460" w:type="pct"/>
            <w:gridSpan w:val="3"/>
            <w:tcBorders>
              <w:tl2br w:val="nil"/>
              <w:tr2bl w:val="nil"/>
            </w:tcBorders>
            <w:noWrap w:val="0"/>
            <w:vAlign w:val="center"/>
          </w:tcPr>
          <w:p w14:paraId="38774009">
            <w:pPr>
              <w:pStyle w:val="48"/>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项目</w:t>
            </w:r>
          </w:p>
        </w:tc>
        <w:tc>
          <w:tcPr>
            <w:tcW w:w="2633" w:type="pct"/>
            <w:tcBorders>
              <w:tl2br w:val="nil"/>
              <w:tr2bl w:val="nil"/>
            </w:tcBorders>
            <w:noWrap w:val="0"/>
            <w:vAlign w:val="center"/>
          </w:tcPr>
          <w:p w14:paraId="4E7002B3">
            <w:pPr>
              <w:pStyle w:val="48"/>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环保措施概要</w:t>
            </w:r>
          </w:p>
        </w:tc>
        <w:tc>
          <w:tcPr>
            <w:tcW w:w="906" w:type="pct"/>
            <w:tcBorders>
              <w:tl2br w:val="nil"/>
              <w:tr2bl w:val="nil"/>
            </w:tcBorders>
            <w:noWrap w:val="0"/>
            <w:vAlign w:val="center"/>
          </w:tcPr>
          <w:p w14:paraId="57428CA2">
            <w:pPr>
              <w:pStyle w:val="48"/>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投资（万元）</w:t>
            </w:r>
          </w:p>
        </w:tc>
      </w:tr>
      <w:tr w14:paraId="2AC454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73" w:type="pct"/>
            <w:vMerge w:val="restart"/>
            <w:tcBorders>
              <w:tl2br w:val="nil"/>
              <w:tr2bl w:val="nil"/>
            </w:tcBorders>
            <w:noWrap w:val="0"/>
            <w:vAlign w:val="center"/>
          </w:tcPr>
          <w:p w14:paraId="56114981">
            <w:pPr>
              <w:pStyle w:val="48"/>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施工期</w:t>
            </w:r>
          </w:p>
        </w:tc>
        <w:tc>
          <w:tcPr>
            <w:tcW w:w="1087" w:type="pct"/>
            <w:gridSpan w:val="2"/>
            <w:tcBorders>
              <w:tl2br w:val="nil"/>
              <w:tr2bl w:val="nil"/>
            </w:tcBorders>
            <w:noWrap w:val="0"/>
            <w:vAlign w:val="center"/>
          </w:tcPr>
          <w:p w14:paraId="1B330432">
            <w:pPr>
              <w:pStyle w:val="48"/>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大气防治</w:t>
            </w:r>
          </w:p>
        </w:tc>
        <w:tc>
          <w:tcPr>
            <w:tcW w:w="2633" w:type="pct"/>
            <w:tcBorders>
              <w:tl2br w:val="nil"/>
              <w:tr2bl w:val="nil"/>
            </w:tcBorders>
            <w:noWrap w:val="0"/>
            <w:vAlign w:val="center"/>
          </w:tcPr>
          <w:p w14:paraId="0D2A14F6">
            <w:pPr>
              <w:pStyle w:val="4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施工场地、道路洒水，运输物料遮盖等</w:t>
            </w:r>
          </w:p>
        </w:tc>
        <w:tc>
          <w:tcPr>
            <w:tcW w:w="906" w:type="pct"/>
            <w:tcBorders>
              <w:tl2br w:val="nil"/>
              <w:tr2bl w:val="nil"/>
            </w:tcBorders>
            <w:noWrap w:val="0"/>
            <w:vAlign w:val="center"/>
          </w:tcPr>
          <w:p w14:paraId="71A0A429">
            <w:pPr>
              <w:pStyle w:val="48"/>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cs="Times New Roman"/>
                <w:b w:val="0"/>
                <w:bCs w:val="0"/>
                <w:color w:val="auto"/>
                <w:sz w:val="21"/>
                <w:szCs w:val="21"/>
                <w:highlight w:val="none"/>
                <w:lang w:val="en-US" w:eastAsia="zh-CN"/>
              </w:rPr>
              <w:t>6</w:t>
            </w:r>
          </w:p>
        </w:tc>
      </w:tr>
      <w:tr w14:paraId="1F3B43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73" w:type="pct"/>
            <w:vMerge w:val="continue"/>
            <w:tcBorders>
              <w:tl2br w:val="nil"/>
              <w:tr2bl w:val="nil"/>
            </w:tcBorders>
            <w:noWrap w:val="0"/>
            <w:vAlign w:val="center"/>
          </w:tcPr>
          <w:p w14:paraId="7A3DAA55">
            <w:pPr>
              <w:pStyle w:val="48"/>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rPr>
            </w:pPr>
          </w:p>
        </w:tc>
        <w:tc>
          <w:tcPr>
            <w:tcW w:w="1087" w:type="pct"/>
            <w:gridSpan w:val="2"/>
            <w:tcBorders>
              <w:tl2br w:val="nil"/>
              <w:tr2bl w:val="nil"/>
            </w:tcBorders>
            <w:noWrap w:val="0"/>
            <w:vAlign w:val="center"/>
          </w:tcPr>
          <w:p w14:paraId="1C2FD381">
            <w:pPr>
              <w:pStyle w:val="48"/>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水环境</w:t>
            </w:r>
          </w:p>
        </w:tc>
        <w:tc>
          <w:tcPr>
            <w:tcW w:w="2633" w:type="pct"/>
            <w:tcBorders>
              <w:tl2br w:val="nil"/>
              <w:tr2bl w:val="nil"/>
            </w:tcBorders>
            <w:noWrap w:val="0"/>
            <w:vAlign w:val="center"/>
          </w:tcPr>
          <w:p w14:paraId="5E2A1912">
            <w:pPr>
              <w:pStyle w:val="4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地埋式一体化生活污水处理设施</w:t>
            </w:r>
          </w:p>
        </w:tc>
        <w:tc>
          <w:tcPr>
            <w:tcW w:w="906" w:type="pct"/>
            <w:tcBorders>
              <w:tl2br w:val="nil"/>
              <w:tr2bl w:val="nil"/>
            </w:tcBorders>
            <w:noWrap w:val="0"/>
            <w:vAlign w:val="center"/>
          </w:tcPr>
          <w:p w14:paraId="1E170CF5">
            <w:pPr>
              <w:pStyle w:val="48"/>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cs="Times New Roman"/>
                <w:b w:val="0"/>
                <w:bCs w:val="0"/>
                <w:color w:val="auto"/>
                <w:sz w:val="21"/>
                <w:szCs w:val="21"/>
                <w:highlight w:val="none"/>
                <w:lang w:val="en-US" w:eastAsia="zh-CN"/>
              </w:rPr>
              <w:t>4</w:t>
            </w:r>
          </w:p>
        </w:tc>
      </w:tr>
      <w:tr w14:paraId="5C4FA1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73" w:type="pct"/>
            <w:vMerge w:val="continue"/>
            <w:tcBorders>
              <w:tl2br w:val="nil"/>
              <w:tr2bl w:val="nil"/>
            </w:tcBorders>
            <w:noWrap w:val="0"/>
            <w:vAlign w:val="center"/>
          </w:tcPr>
          <w:p w14:paraId="5F397B69">
            <w:pPr>
              <w:pStyle w:val="48"/>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rPr>
            </w:pPr>
          </w:p>
        </w:tc>
        <w:tc>
          <w:tcPr>
            <w:tcW w:w="1087" w:type="pct"/>
            <w:gridSpan w:val="2"/>
            <w:tcBorders>
              <w:tl2br w:val="nil"/>
              <w:tr2bl w:val="nil"/>
            </w:tcBorders>
            <w:noWrap w:val="0"/>
            <w:vAlign w:val="center"/>
          </w:tcPr>
          <w:p w14:paraId="4AD13C01">
            <w:pPr>
              <w:pStyle w:val="48"/>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噪声防治</w:t>
            </w:r>
          </w:p>
        </w:tc>
        <w:tc>
          <w:tcPr>
            <w:tcW w:w="2633" w:type="pct"/>
            <w:tcBorders>
              <w:tl2br w:val="nil"/>
              <w:tr2bl w:val="nil"/>
            </w:tcBorders>
            <w:noWrap w:val="0"/>
            <w:vAlign w:val="center"/>
          </w:tcPr>
          <w:p w14:paraId="1148CD0A">
            <w:pPr>
              <w:pStyle w:val="4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合理布局，基础减振</w:t>
            </w:r>
          </w:p>
        </w:tc>
        <w:tc>
          <w:tcPr>
            <w:tcW w:w="906" w:type="pct"/>
            <w:tcBorders>
              <w:tl2br w:val="nil"/>
              <w:tr2bl w:val="nil"/>
            </w:tcBorders>
            <w:noWrap w:val="0"/>
            <w:vAlign w:val="center"/>
          </w:tcPr>
          <w:p w14:paraId="5095E946">
            <w:pPr>
              <w:pStyle w:val="48"/>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w:t>
            </w:r>
          </w:p>
        </w:tc>
      </w:tr>
      <w:tr w14:paraId="69257C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73" w:type="pct"/>
            <w:vMerge w:val="continue"/>
            <w:tcBorders>
              <w:tl2br w:val="nil"/>
              <w:tr2bl w:val="nil"/>
            </w:tcBorders>
            <w:noWrap w:val="0"/>
            <w:vAlign w:val="center"/>
          </w:tcPr>
          <w:p w14:paraId="7C259ADE">
            <w:pPr>
              <w:pStyle w:val="48"/>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rPr>
            </w:pPr>
          </w:p>
        </w:tc>
        <w:tc>
          <w:tcPr>
            <w:tcW w:w="1087" w:type="pct"/>
            <w:gridSpan w:val="2"/>
            <w:tcBorders>
              <w:tl2br w:val="nil"/>
              <w:tr2bl w:val="nil"/>
            </w:tcBorders>
            <w:noWrap w:val="0"/>
            <w:vAlign w:val="center"/>
          </w:tcPr>
          <w:p w14:paraId="2465F6DE">
            <w:pPr>
              <w:pStyle w:val="48"/>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固废</w:t>
            </w:r>
          </w:p>
        </w:tc>
        <w:tc>
          <w:tcPr>
            <w:tcW w:w="2633" w:type="pct"/>
            <w:tcBorders>
              <w:tl2br w:val="nil"/>
              <w:tr2bl w:val="nil"/>
            </w:tcBorders>
            <w:noWrap w:val="0"/>
            <w:vAlign w:val="center"/>
          </w:tcPr>
          <w:p w14:paraId="0F3FE2FC">
            <w:pPr>
              <w:pStyle w:val="4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弃土、弃方、建筑垃圾的处置，施工期生活垃圾的处置</w:t>
            </w:r>
          </w:p>
        </w:tc>
        <w:tc>
          <w:tcPr>
            <w:tcW w:w="906" w:type="pct"/>
            <w:tcBorders>
              <w:tl2br w:val="nil"/>
              <w:tr2bl w:val="nil"/>
            </w:tcBorders>
            <w:noWrap w:val="0"/>
            <w:vAlign w:val="center"/>
          </w:tcPr>
          <w:p w14:paraId="37111CE9">
            <w:pPr>
              <w:pStyle w:val="48"/>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cs="Times New Roman"/>
                <w:b w:val="0"/>
                <w:bCs w:val="0"/>
                <w:color w:val="auto"/>
                <w:sz w:val="21"/>
                <w:szCs w:val="21"/>
                <w:highlight w:val="none"/>
                <w:lang w:val="en-US" w:eastAsia="zh-CN"/>
              </w:rPr>
              <w:t>2</w:t>
            </w:r>
          </w:p>
        </w:tc>
      </w:tr>
      <w:tr w14:paraId="54DB41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73" w:type="pct"/>
            <w:vMerge w:val="continue"/>
            <w:tcBorders>
              <w:tl2br w:val="nil"/>
              <w:tr2bl w:val="nil"/>
            </w:tcBorders>
            <w:noWrap w:val="0"/>
            <w:vAlign w:val="center"/>
          </w:tcPr>
          <w:p w14:paraId="6381E225">
            <w:pPr>
              <w:pStyle w:val="48"/>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rPr>
            </w:pPr>
          </w:p>
        </w:tc>
        <w:tc>
          <w:tcPr>
            <w:tcW w:w="1087" w:type="pct"/>
            <w:gridSpan w:val="2"/>
            <w:tcBorders>
              <w:tl2br w:val="nil"/>
              <w:tr2bl w:val="nil"/>
            </w:tcBorders>
            <w:noWrap w:val="0"/>
            <w:vAlign w:val="center"/>
          </w:tcPr>
          <w:p w14:paraId="36AFF360">
            <w:pPr>
              <w:pStyle w:val="48"/>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生态环境</w:t>
            </w:r>
          </w:p>
        </w:tc>
        <w:tc>
          <w:tcPr>
            <w:tcW w:w="2633" w:type="pct"/>
            <w:tcBorders>
              <w:tl2br w:val="nil"/>
              <w:tr2bl w:val="nil"/>
            </w:tcBorders>
            <w:noWrap w:val="0"/>
            <w:vAlign w:val="center"/>
          </w:tcPr>
          <w:p w14:paraId="798F25BE">
            <w:pPr>
              <w:pStyle w:val="48"/>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rPr>
              <w:t>减少临时占地面积；施工生产区采取围挡；土方堆放时洒水降尘</w:t>
            </w:r>
            <w:r>
              <w:rPr>
                <w:rFonts w:hint="default" w:ascii="Times New Roman" w:hAnsi="Times New Roman" w:eastAsia="宋体" w:cs="Times New Roman"/>
                <w:b w:val="0"/>
                <w:bCs w:val="0"/>
                <w:color w:val="auto"/>
                <w:sz w:val="21"/>
                <w:szCs w:val="21"/>
                <w:highlight w:val="none"/>
                <w:lang w:eastAsia="zh-CN"/>
              </w:rPr>
              <w:t>。</w:t>
            </w:r>
          </w:p>
        </w:tc>
        <w:tc>
          <w:tcPr>
            <w:tcW w:w="906" w:type="pct"/>
            <w:tcBorders>
              <w:tl2br w:val="nil"/>
              <w:tr2bl w:val="nil"/>
            </w:tcBorders>
            <w:noWrap w:val="0"/>
            <w:vAlign w:val="center"/>
          </w:tcPr>
          <w:p w14:paraId="445BC12C">
            <w:pPr>
              <w:pStyle w:val="48"/>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4</w:t>
            </w:r>
          </w:p>
        </w:tc>
      </w:tr>
      <w:tr w14:paraId="3BC1CC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73" w:type="pct"/>
            <w:vMerge w:val="continue"/>
            <w:tcBorders>
              <w:tl2br w:val="nil"/>
              <w:tr2bl w:val="nil"/>
            </w:tcBorders>
            <w:noWrap w:val="0"/>
            <w:vAlign w:val="center"/>
          </w:tcPr>
          <w:p w14:paraId="7FBDD82D">
            <w:pPr>
              <w:pStyle w:val="48"/>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rPr>
            </w:pPr>
          </w:p>
        </w:tc>
        <w:tc>
          <w:tcPr>
            <w:tcW w:w="1087" w:type="pct"/>
            <w:gridSpan w:val="2"/>
            <w:tcBorders>
              <w:tl2br w:val="nil"/>
              <w:tr2bl w:val="nil"/>
            </w:tcBorders>
            <w:noWrap w:val="0"/>
            <w:vAlign w:val="center"/>
          </w:tcPr>
          <w:p w14:paraId="0F80CF2B">
            <w:pPr>
              <w:pStyle w:val="48"/>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防沙治沙</w:t>
            </w:r>
          </w:p>
        </w:tc>
        <w:tc>
          <w:tcPr>
            <w:tcW w:w="2633" w:type="pct"/>
            <w:tcBorders>
              <w:tl2br w:val="nil"/>
              <w:tr2bl w:val="nil"/>
            </w:tcBorders>
            <w:noWrap w:val="0"/>
            <w:vAlign w:val="center"/>
          </w:tcPr>
          <w:p w14:paraId="59A6F483">
            <w:pPr>
              <w:pStyle w:val="4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rPr>
              <w:t>(1)植物措施(在流动沙地、风蚀严重的风口、施工区域采取恢复林草植被的林网、林带和林片等防风固沙植被恢复措施)。(</w:t>
            </w:r>
            <w:r>
              <w:rPr>
                <w:rFonts w:hint="default" w:ascii="Times New Roman" w:hAnsi="Times New Roman" w:cs="Times New Roman"/>
                <w:b w:val="0"/>
                <w:bCs w:val="0"/>
                <w:color w:val="auto"/>
                <w:sz w:val="21"/>
                <w:szCs w:val="21"/>
                <w:highlight w:val="none"/>
                <w:lang w:val="en-US" w:eastAsia="zh-CN"/>
              </w:rPr>
              <w:t>2</w:t>
            </w:r>
            <w:r>
              <w:rPr>
                <w:rFonts w:hint="default" w:ascii="Times New Roman" w:hAnsi="Times New Roman" w:eastAsia="宋体" w:cs="Times New Roman"/>
                <w:b w:val="0"/>
                <w:bCs w:val="0"/>
                <w:color w:val="auto"/>
                <w:sz w:val="21"/>
                <w:szCs w:val="21"/>
                <w:highlight w:val="none"/>
              </w:rPr>
              <w:t>)工程施工过程如遇到植被覆盖度高的区域，施工结束后，及时采取</w:t>
            </w:r>
            <w:r>
              <w:rPr>
                <w:rFonts w:hint="default" w:ascii="Times New Roman" w:hAnsi="Times New Roman" w:cs="Times New Roman"/>
                <w:b w:val="0"/>
                <w:bCs w:val="0"/>
                <w:color w:val="auto"/>
                <w:sz w:val="21"/>
                <w:szCs w:val="21"/>
                <w:highlight w:val="none"/>
                <w:lang w:val="en-US" w:eastAsia="zh-CN"/>
              </w:rPr>
              <w:t>播撒</w:t>
            </w:r>
            <w:r>
              <w:rPr>
                <w:rFonts w:hint="default" w:ascii="Times New Roman" w:hAnsi="Times New Roman" w:eastAsia="宋体" w:cs="Times New Roman"/>
                <w:b w:val="0"/>
                <w:bCs w:val="0"/>
                <w:color w:val="auto"/>
                <w:sz w:val="21"/>
                <w:szCs w:val="21"/>
                <w:highlight w:val="none"/>
              </w:rPr>
              <w:t>草籽等措施，恢复原地貌。(</w:t>
            </w:r>
            <w:r>
              <w:rPr>
                <w:rFonts w:hint="default" w:ascii="Times New Roman" w:hAnsi="Times New Roman" w:cs="Times New Roman"/>
                <w:b w:val="0"/>
                <w:bCs w:val="0"/>
                <w:color w:val="auto"/>
                <w:sz w:val="21"/>
                <w:szCs w:val="21"/>
                <w:highlight w:val="none"/>
                <w:lang w:val="en-US" w:eastAsia="zh-CN"/>
              </w:rPr>
              <w:t>3</w:t>
            </w:r>
            <w:r>
              <w:rPr>
                <w:rFonts w:hint="default" w:ascii="Times New Roman" w:hAnsi="Times New Roman" w:eastAsia="宋体" w:cs="Times New Roman"/>
                <w:b w:val="0"/>
                <w:bCs w:val="0"/>
                <w:color w:val="auto"/>
                <w:sz w:val="21"/>
                <w:szCs w:val="21"/>
                <w:highlight w:val="none"/>
              </w:rPr>
              <w:t>)施工期间应划定施工活动范围，严格控制和管理运输车辆及重型机械的运输路线和范围，不得离开运输道路随意行驶，由专人负责，以防破坏土壤和植被，加剧土地荒漠</w:t>
            </w:r>
            <w:r>
              <w:rPr>
                <w:rFonts w:hint="default" w:ascii="Times New Roman" w:hAnsi="Times New Roman" w:eastAsia="宋体" w:cs="Times New Roman"/>
                <w:b w:val="0"/>
                <w:bCs w:val="0"/>
                <w:color w:val="auto"/>
                <w:sz w:val="21"/>
                <w:szCs w:val="21"/>
                <w:highlight w:val="none"/>
                <w:lang w:eastAsia="zh-CN"/>
              </w:rPr>
              <w:t>。</w:t>
            </w:r>
          </w:p>
        </w:tc>
        <w:tc>
          <w:tcPr>
            <w:tcW w:w="906" w:type="pct"/>
            <w:tcBorders>
              <w:tl2br w:val="nil"/>
              <w:tr2bl w:val="nil"/>
            </w:tcBorders>
            <w:noWrap w:val="0"/>
            <w:vAlign w:val="center"/>
          </w:tcPr>
          <w:p w14:paraId="6CCC8D3B">
            <w:pPr>
              <w:pStyle w:val="4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20</w:t>
            </w:r>
          </w:p>
        </w:tc>
      </w:tr>
      <w:tr w14:paraId="4EAD7F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2" w:hRule="atLeast"/>
          <w:jc w:val="center"/>
        </w:trPr>
        <w:tc>
          <w:tcPr>
            <w:tcW w:w="373" w:type="pct"/>
            <w:vMerge w:val="restart"/>
            <w:tcBorders>
              <w:tl2br w:val="nil"/>
              <w:tr2bl w:val="nil"/>
            </w:tcBorders>
            <w:noWrap w:val="0"/>
            <w:vAlign w:val="center"/>
          </w:tcPr>
          <w:p w14:paraId="192F4A55">
            <w:pPr>
              <w:pStyle w:val="48"/>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运营期</w:t>
            </w:r>
          </w:p>
        </w:tc>
        <w:tc>
          <w:tcPr>
            <w:tcW w:w="253" w:type="pct"/>
            <w:vMerge w:val="restart"/>
            <w:tcBorders>
              <w:tl2br w:val="nil"/>
              <w:tr2bl w:val="nil"/>
            </w:tcBorders>
            <w:noWrap w:val="0"/>
            <w:vAlign w:val="center"/>
          </w:tcPr>
          <w:p w14:paraId="791FAF09">
            <w:pPr>
              <w:pStyle w:val="48"/>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废气</w:t>
            </w:r>
          </w:p>
        </w:tc>
        <w:tc>
          <w:tcPr>
            <w:tcW w:w="834" w:type="pct"/>
            <w:tcBorders>
              <w:tl2br w:val="nil"/>
              <w:tr2bl w:val="nil"/>
            </w:tcBorders>
            <w:noWrap w:val="0"/>
            <w:vAlign w:val="center"/>
          </w:tcPr>
          <w:p w14:paraId="00E8F494">
            <w:pPr>
              <w:pStyle w:val="48"/>
              <w:bidi w:val="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开采区</w:t>
            </w:r>
          </w:p>
        </w:tc>
        <w:tc>
          <w:tcPr>
            <w:tcW w:w="2633" w:type="pct"/>
            <w:tcBorders>
              <w:tl2br w:val="nil"/>
              <w:tr2bl w:val="nil"/>
            </w:tcBorders>
            <w:noWrap w:val="0"/>
            <w:vAlign w:val="center"/>
          </w:tcPr>
          <w:p w14:paraId="2B068EF7">
            <w:pPr>
              <w:pStyle w:val="48"/>
              <w:bidi w:val="0"/>
              <w:jc w:val="left"/>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采掘过程对采掘场地采用移动式雾炮机降尘</w:t>
            </w:r>
          </w:p>
        </w:tc>
        <w:tc>
          <w:tcPr>
            <w:tcW w:w="906" w:type="pct"/>
            <w:tcBorders>
              <w:tl2br w:val="nil"/>
              <w:tr2bl w:val="nil"/>
            </w:tcBorders>
            <w:noWrap w:val="0"/>
            <w:vAlign w:val="center"/>
          </w:tcPr>
          <w:p w14:paraId="195E8060">
            <w:pPr>
              <w:pStyle w:val="48"/>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5</w:t>
            </w:r>
          </w:p>
        </w:tc>
      </w:tr>
      <w:tr w14:paraId="69D293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73" w:type="pct"/>
            <w:vMerge w:val="continue"/>
            <w:tcBorders>
              <w:tl2br w:val="nil"/>
              <w:tr2bl w:val="nil"/>
            </w:tcBorders>
            <w:noWrap w:val="0"/>
            <w:vAlign w:val="center"/>
          </w:tcPr>
          <w:p w14:paraId="606AB838">
            <w:pPr>
              <w:pStyle w:val="48"/>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rPr>
            </w:pPr>
          </w:p>
        </w:tc>
        <w:tc>
          <w:tcPr>
            <w:tcW w:w="253" w:type="pct"/>
            <w:vMerge w:val="continue"/>
            <w:tcBorders>
              <w:tl2br w:val="nil"/>
              <w:tr2bl w:val="nil"/>
            </w:tcBorders>
            <w:noWrap w:val="0"/>
            <w:vAlign w:val="center"/>
          </w:tcPr>
          <w:p w14:paraId="386677B8">
            <w:pPr>
              <w:pStyle w:val="48"/>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rPr>
            </w:pPr>
          </w:p>
        </w:tc>
        <w:tc>
          <w:tcPr>
            <w:tcW w:w="834" w:type="pct"/>
            <w:tcBorders>
              <w:tl2br w:val="nil"/>
              <w:tr2bl w:val="nil"/>
            </w:tcBorders>
            <w:noWrap w:val="0"/>
            <w:vAlign w:val="center"/>
          </w:tcPr>
          <w:p w14:paraId="7394D038">
            <w:pPr>
              <w:pStyle w:val="48"/>
              <w:bidi w:val="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筛分粉尘</w:t>
            </w:r>
          </w:p>
        </w:tc>
        <w:tc>
          <w:tcPr>
            <w:tcW w:w="2633" w:type="pct"/>
            <w:tcBorders>
              <w:tl2br w:val="nil"/>
              <w:tr2bl w:val="nil"/>
            </w:tcBorders>
            <w:noWrap w:val="0"/>
            <w:vAlign w:val="center"/>
          </w:tcPr>
          <w:p w14:paraId="58EDF86A">
            <w:pPr>
              <w:pStyle w:val="48"/>
              <w:bidi w:val="0"/>
              <w:jc w:val="left"/>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配套设置集气罩+布袋除尘器+15m排气筒</w:t>
            </w:r>
          </w:p>
        </w:tc>
        <w:tc>
          <w:tcPr>
            <w:tcW w:w="906" w:type="pct"/>
            <w:tcBorders>
              <w:tl2br w:val="nil"/>
              <w:tr2bl w:val="nil"/>
            </w:tcBorders>
            <w:noWrap w:val="0"/>
            <w:vAlign w:val="center"/>
          </w:tcPr>
          <w:p w14:paraId="094133A5">
            <w:pPr>
              <w:pStyle w:val="48"/>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5</w:t>
            </w:r>
          </w:p>
        </w:tc>
      </w:tr>
      <w:tr w14:paraId="6AAE82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0" w:hRule="atLeast"/>
          <w:jc w:val="center"/>
        </w:trPr>
        <w:tc>
          <w:tcPr>
            <w:tcW w:w="373" w:type="pct"/>
            <w:vMerge w:val="continue"/>
            <w:tcBorders>
              <w:tl2br w:val="nil"/>
              <w:tr2bl w:val="nil"/>
            </w:tcBorders>
            <w:noWrap w:val="0"/>
            <w:vAlign w:val="center"/>
          </w:tcPr>
          <w:p w14:paraId="3D9AE9F7">
            <w:pPr>
              <w:pStyle w:val="48"/>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rPr>
            </w:pPr>
          </w:p>
        </w:tc>
        <w:tc>
          <w:tcPr>
            <w:tcW w:w="253" w:type="pct"/>
            <w:vMerge w:val="continue"/>
            <w:tcBorders>
              <w:tl2br w:val="nil"/>
              <w:tr2bl w:val="nil"/>
            </w:tcBorders>
            <w:noWrap w:val="0"/>
            <w:vAlign w:val="center"/>
          </w:tcPr>
          <w:p w14:paraId="757A0763">
            <w:pPr>
              <w:pStyle w:val="48"/>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rPr>
            </w:pPr>
          </w:p>
        </w:tc>
        <w:tc>
          <w:tcPr>
            <w:tcW w:w="834" w:type="pct"/>
            <w:tcBorders>
              <w:tl2br w:val="nil"/>
              <w:tr2bl w:val="nil"/>
            </w:tcBorders>
            <w:noWrap w:val="0"/>
            <w:vAlign w:val="center"/>
          </w:tcPr>
          <w:p w14:paraId="65DD65C2">
            <w:pPr>
              <w:pStyle w:val="48"/>
              <w:bidi w:val="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烘干废气</w:t>
            </w:r>
          </w:p>
        </w:tc>
        <w:tc>
          <w:tcPr>
            <w:tcW w:w="2633" w:type="pct"/>
            <w:tcBorders>
              <w:tl2br w:val="nil"/>
              <w:tr2bl w:val="nil"/>
            </w:tcBorders>
            <w:noWrap w:val="0"/>
            <w:vAlign w:val="center"/>
          </w:tcPr>
          <w:p w14:paraId="054B8A35">
            <w:pPr>
              <w:pStyle w:val="48"/>
              <w:bidi w:val="0"/>
              <w:jc w:val="left"/>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布袋除尘器+15m排气筒</w:t>
            </w:r>
          </w:p>
        </w:tc>
        <w:tc>
          <w:tcPr>
            <w:tcW w:w="906" w:type="pct"/>
            <w:tcBorders>
              <w:tl2br w:val="nil"/>
              <w:tr2bl w:val="nil"/>
            </w:tcBorders>
            <w:noWrap w:val="0"/>
            <w:vAlign w:val="center"/>
          </w:tcPr>
          <w:p w14:paraId="01D86D1F">
            <w:pPr>
              <w:pStyle w:val="48"/>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5</w:t>
            </w:r>
          </w:p>
        </w:tc>
      </w:tr>
      <w:tr w14:paraId="1DB899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0" w:hRule="atLeast"/>
          <w:jc w:val="center"/>
        </w:trPr>
        <w:tc>
          <w:tcPr>
            <w:tcW w:w="373" w:type="pct"/>
            <w:vMerge w:val="continue"/>
            <w:tcBorders>
              <w:tl2br w:val="nil"/>
              <w:tr2bl w:val="nil"/>
            </w:tcBorders>
            <w:noWrap w:val="0"/>
            <w:vAlign w:val="center"/>
          </w:tcPr>
          <w:p w14:paraId="3D50EE71">
            <w:pPr>
              <w:pStyle w:val="48"/>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rPr>
            </w:pPr>
          </w:p>
        </w:tc>
        <w:tc>
          <w:tcPr>
            <w:tcW w:w="253" w:type="pct"/>
            <w:vMerge w:val="continue"/>
            <w:tcBorders>
              <w:tl2br w:val="nil"/>
              <w:tr2bl w:val="nil"/>
            </w:tcBorders>
            <w:noWrap w:val="0"/>
            <w:vAlign w:val="center"/>
          </w:tcPr>
          <w:p w14:paraId="75CC5BB9">
            <w:pPr>
              <w:pStyle w:val="48"/>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rPr>
            </w:pPr>
          </w:p>
        </w:tc>
        <w:tc>
          <w:tcPr>
            <w:tcW w:w="834" w:type="pct"/>
            <w:tcBorders>
              <w:tl2br w:val="nil"/>
              <w:tr2bl w:val="nil"/>
            </w:tcBorders>
            <w:noWrap w:val="0"/>
            <w:vAlign w:val="center"/>
          </w:tcPr>
          <w:p w14:paraId="3E9A7D06">
            <w:pPr>
              <w:pStyle w:val="48"/>
              <w:bidi w:val="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堆场扬尘</w:t>
            </w:r>
          </w:p>
        </w:tc>
        <w:tc>
          <w:tcPr>
            <w:tcW w:w="2633" w:type="pct"/>
            <w:tcBorders>
              <w:tl2br w:val="nil"/>
              <w:tr2bl w:val="nil"/>
            </w:tcBorders>
            <w:noWrap w:val="0"/>
            <w:vAlign w:val="center"/>
          </w:tcPr>
          <w:p w14:paraId="37A2EC47">
            <w:pPr>
              <w:pStyle w:val="48"/>
              <w:bidi w:val="0"/>
              <w:jc w:val="left"/>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配备雾炮定期洒水，篷布覆盖</w:t>
            </w:r>
          </w:p>
        </w:tc>
        <w:tc>
          <w:tcPr>
            <w:tcW w:w="906" w:type="pct"/>
            <w:tcBorders>
              <w:tl2br w:val="nil"/>
              <w:tr2bl w:val="nil"/>
            </w:tcBorders>
            <w:noWrap w:val="0"/>
            <w:vAlign w:val="center"/>
          </w:tcPr>
          <w:p w14:paraId="56C51B48">
            <w:pPr>
              <w:pStyle w:val="48"/>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5</w:t>
            </w:r>
          </w:p>
        </w:tc>
      </w:tr>
      <w:tr w14:paraId="5135AC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0" w:hRule="atLeast"/>
          <w:jc w:val="center"/>
        </w:trPr>
        <w:tc>
          <w:tcPr>
            <w:tcW w:w="373" w:type="pct"/>
            <w:vMerge w:val="continue"/>
            <w:tcBorders>
              <w:tl2br w:val="nil"/>
              <w:tr2bl w:val="nil"/>
            </w:tcBorders>
            <w:noWrap w:val="0"/>
            <w:vAlign w:val="center"/>
          </w:tcPr>
          <w:p w14:paraId="2A983C5D">
            <w:pPr>
              <w:pStyle w:val="48"/>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rPr>
            </w:pPr>
          </w:p>
        </w:tc>
        <w:tc>
          <w:tcPr>
            <w:tcW w:w="253" w:type="pct"/>
            <w:vMerge w:val="continue"/>
            <w:tcBorders>
              <w:tl2br w:val="nil"/>
              <w:tr2bl w:val="nil"/>
            </w:tcBorders>
            <w:noWrap w:val="0"/>
            <w:vAlign w:val="center"/>
          </w:tcPr>
          <w:p w14:paraId="60E8EBDC">
            <w:pPr>
              <w:pStyle w:val="48"/>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rPr>
            </w:pPr>
          </w:p>
        </w:tc>
        <w:tc>
          <w:tcPr>
            <w:tcW w:w="834" w:type="pct"/>
            <w:tcBorders>
              <w:tl2br w:val="nil"/>
              <w:tr2bl w:val="nil"/>
            </w:tcBorders>
            <w:noWrap w:val="0"/>
            <w:vAlign w:val="center"/>
          </w:tcPr>
          <w:p w14:paraId="71AD8CC5">
            <w:pPr>
              <w:pStyle w:val="48"/>
              <w:bidi w:val="0"/>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原料堆场</w:t>
            </w:r>
          </w:p>
        </w:tc>
        <w:tc>
          <w:tcPr>
            <w:tcW w:w="2633" w:type="pct"/>
            <w:tcBorders>
              <w:tl2br w:val="nil"/>
              <w:tr2bl w:val="nil"/>
            </w:tcBorders>
            <w:noWrap w:val="0"/>
            <w:vAlign w:val="center"/>
          </w:tcPr>
          <w:p w14:paraId="55A2666B">
            <w:pPr>
              <w:pStyle w:val="48"/>
              <w:bidi w:val="0"/>
              <w:jc w:val="left"/>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封闭厂房，作业时洒水</w:t>
            </w:r>
          </w:p>
        </w:tc>
        <w:tc>
          <w:tcPr>
            <w:tcW w:w="906" w:type="pct"/>
            <w:tcBorders>
              <w:tl2br w:val="nil"/>
              <w:tr2bl w:val="nil"/>
            </w:tcBorders>
            <w:noWrap w:val="0"/>
            <w:vAlign w:val="center"/>
          </w:tcPr>
          <w:p w14:paraId="3FF0271A">
            <w:pPr>
              <w:pStyle w:val="48"/>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20</w:t>
            </w:r>
          </w:p>
        </w:tc>
      </w:tr>
      <w:tr w14:paraId="6ABF79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73" w:type="pct"/>
            <w:vMerge w:val="continue"/>
            <w:tcBorders>
              <w:tl2br w:val="nil"/>
              <w:tr2bl w:val="nil"/>
            </w:tcBorders>
            <w:noWrap w:val="0"/>
            <w:vAlign w:val="center"/>
          </w:tcPr>
          <w:p w14:paraId="12CDD60C">
            <w:pPr>
              <w:pStyle w:val="48"/>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rPr>
            </w:pPr>
          </w:p>
        </w:tc>
        <w:tc>
          <w:tcPr>
            <w:tcW w:w="1087" w:type="pct"/>
            <w:gridSpan w:val="2"/>
            <w:vMerge w:val="restart"/>
            <w:tcBorders>
              <w:tl2br w:val="nil"/>
              <w:tr2bl w:val="nil"/>
            </w:tcBorders>
            <w:noWrap w:val="0"/>
            <w:vAlign w:val="center"/>
          </w:tcPr>
          <w:p w14:paraId="4E34DEBC">
            <w:pPr>
              <w:pStyle w:val="4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废水</w:t>
            </w:r>
          </w:p>
        </w:tc>
        <w:tc>
          <w:tcPr>
            <w:tcW w:w="2633" w:type="pct"/>
            <w:tcBorders>
              <w:tl2br w:val="nil"/>
              <w:tr2bl w:val="nil"/>
            </w:tcBorders>
            <w:noWrap w:val="0"/>
            <w:vAlign w:val="center"/>
          </w:tcPr>
          <w:p w14:paraId="3AE3403D">
            <w:pPr>
              <w:pStyle w:val="4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地埋式一体化生活污水处理设施</w:t>
            </w:r>
          </w:p>
        </w:tc>
        <w:tc>
          <w:tcPr>
            <w:tcW w:w="906" w:type="pct"/>
            <w:tcBorders>
              <w:tl2br w:val="nil"/>
              <w:tr2bl w:val="nil"/>
            </w:tcBorders>
            <w:noWrap w:val="0"/>
            <w:vAlign w:val="center"/>
          </w:tcPr>
          <w:p w14:paraId="7FB3AE10">
            <w:pPr>
              <w:pStyle w:val="48"/>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施工期已计</w:t>
            </w:r>
          </w:p>
        </w:tc>
      </w:tr>
      <w:tr w14:paraId="1A1AFC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73" w:type="pct"/>
            <w:vMerge w:val="continue"/>
            <w:tcBorders>
              <w:tl2br w:val="nil"/>
              <w:tr2bl w:val="nil"/>
            </w:tcBorders>
            <w:noWrap w:val="0"/>
            <w:vAlign w:val="center"/>
          </w:tcPr>
          <w:p w14:paraId="2A359F41">
            <w:pPr>
              <w:pStyle w:val="48"/>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rPr>
            </w:pPr>
          </w:p>
        </w:tc>
        <w:tc>
          <w:tcPr>
            <w:tcW w:w="1087" w:type="pct"/>
            <w:gridSpan w:val="2"/>
            <w:vMerge w:val="continue"/>
            <w:tcBorders>
              <w:tl2br w:val="nil"/>
              <w:tr2bl w:val="nil"/>
            </w:tcBorders>
            <w:noWrap w:val="0"/>
            <w:vAlign w:val="center"/>
          </w:tcPr>
          <w:p w14:paraId="4BDC484F">
            <w:pPr>
              <w:pStyle w:val="4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rPr>
            </w:pPr>
          </w:p>
        </w:tc>
        <w:tc>
          <w:tcPr>
            <w:tcW w:w="2633" w:type="pct"/>
            <w:tcBorders>
              <w:tl2br w:val="nil"/>
              <w:tr2bl w:val="nil"/>
            </w:tcBorders>
            <w:noWrap w:val="0"/>
            <w:vAlign w:val="center"/>
          </w:tcPr>
          <w:p w14:paraId="1E04054D">
            <w:pPr>
              <w:pStyle w:val="4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生产废水沉淀池</w:t>
            </w:r>
          </w:p>
        </w:tc>
        <w:tc>
          <w:tcPr>
            <w:tcW w:w="906" w:type="pct"/>
            <w:tcBorders>
              <w:tl2br w:val="nil"/>
              <w:tr2bl w:val="nil"/>
            </w:tcBorders>
            <w:noWrap w:val="0"/>
            <w:vAlign w:val="center"/>
          </w:tcPr>
          <w:p w14:paraId="1B70AD76">
            <w:pPr>
              <w:pStyle w:val="48"/>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10</w:t>
            </w:r>
          </w:p>
        </w:tc>
      </w:tr>
      <w:tr w14:paraId="51C0A1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73" w:type="pct"/>
            <w:vMerge w:val="continue"/>
            <w:tcBorders>
              <w:tl2br w:val="nil"/>
              <w:tr2bl w:val="nil"/>
            </w:tcBorders>
            <w:noWrap w:val="0"/>
            <w:vAlign w:val="center"/>
          </w:tcPr>
          <w:p w14:paraId="45DCF0FA">
            <w:pPr>
              <w:pStyle w:val="48"/>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rPr>
            </w:pPr>
          </w:p>
        </w:tc>
        <w:tc>
          <w:tcPr>
            <w:tcW w:w="1087" w:type="pct"/>
            <w:gridSpan w:val="2"/>
            <w:tcBorders>
              <w:tl2br w:val="nil"/>
              <w:tr2bl w:val="nil"/>
            </w:tcBorders>
            <w:noWrap w:val="0"/>
            <w:vAlign w:val="center"/>
          </w:tcPr>
          <w:p w14:paraId="0D0C61A0">
            <w:pPr>
              <w:pStyle w:val="4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声环境</w:t>
            </w:r>
          </w:p>
        </w:tc>
        <w:tc>
          <w:tcPr>
            <w:tcW w:w="2633" w:type="pct"/>
            <w:tcBorders>
              <w:tl2br w:val="nil"/>
              <w:tr2bl w:val="nil"/>
            </w:tcBorders>
            <w:noWrap w:val="0"/>
            <w:vAlign w:val="center"/>
          </w:tcPr>
          <w:p w14:paraId="34249BBD">
            <w:pPr>
              <w:pStyle w:val="4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高噪声设备进行基础减振，设备养护等</w:t>
            </w:r>
          </w:p>
        </w:tc>
        <w:tc>
          <w:tcPr>
            <w:tcW w:w="906" w:type="pct"/>
            <w:tcBorders>
              <w:tl2br w:val="nil"/>
              <w:tr2bl w:val="nil"/>
            </w:tcBorders>
            <w:noWrap w:val="0"/>
            <w:vAlign w:val="center"/>
          </w:tcPr>
          <w:p w14:paraId="2AA26EA7">
            <w:pPr>
              <w:pStyle w:val="48"/>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cs="Times New Roman"/>
                <w:b w:val="0"/>
                <w:bCs w:val="0"/>
                <w:color w:val="auto"/>
                <w:sz w:val="21"/>
                <w:szCs w:val="21"/>
                <w:highlight w:val="none"/>
                <w:lang w:val="en-US" w:eastAsia="zh-CN"/>
              </w:rPr>
              <w:t>2</w:t>
            </w:r>
          </w:p>
        </w:tc>
      </w:tr>
      <w:tr w14:paraId="1B44FE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73" w:type="pct"/>
            <w:vMerge w:val="continue"/>
            <w:tcBorders>
              <w:tl2br w:val="nil"/>
              <w:tr2bl w:val="nil"/>
            </w:tcBorders>
            <w:noWrap w:val="0"/>
            <w:vAlign w:val="center"/>
          </w:tcPr>
          <w:p w14:paraId="503EA141">
            <w:pPr>
              <w:pStyle w:val="48"/>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rPr>
            </w:pPr>
          </w:p>
        </w:tc>
        <w:tc>
          <w:tcPr>
            <w:tcW w:w="1087" w:type="pct"/>
            <w:gridSpan w:val="2"/>
            <w:tcBorders>
              <w:tl2br w:val="nil"/>
              <w:tr2bl w:val="nil"/>
            </w:tcBorders>
            <w:noWrap w:val="0"/>
            <w:vAlign w:val="center"/>
          </w:tcPr>
          <w:p w14:paraId="70A93AAA">
            <w:pPr>
              <w:pStyle w:val="4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固废</w:t>
            </w:r>
          </w:p>
        </w:tc>
        <w:tc>
          <w:tcPr>
            <w:tcW w:w="2633" w:type="pct"/>
            <w:tcBorders>
              <w:tl2br w:val="nil"/>
              <w:tr2bl w:val="nil"/>
            </w:tcBorders>
            <w:noWrap w:val="0"/>
            <w:vAlign w:val="center"/>
          </w:tcPr>
          <w:p w14:paraId="4877E13C">
            <w:pPr>
              <w:pStyle w:val="4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b w:val="0"/>
                <w:bCs w:val="0"/>
                <w:color w:val="auto"/>
                <w:sz w:val="21"/>
                <w:szCs w:val="21"/>
                <w:highlight w:val="none"/>
              </w:rPr>
            </w:pPr>
            <w:r>
              <w:rPr>
                <w:rFonts w:hint="eastAsia" w:ascii="Times New Roman" w:hAnsi="Times New Roman" w:cs="Times New Roman"/>
                <w:b w:val="0"/>
                <w:bCs w:val="0"/>
                <w:color w:val="auto"/>
                <w:sz w:val="21"/>
                <w:szCs w:val="21"/>
                <w:highlight w:val="none"/>
                <w:lang w:val="en-US" w:eastAsia="zh-CN"/>
              </w:rPr>
              <w:t>设置</w:t>
            </w:r>
            <w:r>
              <w:rPr>
                <w:rFonts w:hint="default" w:ascii="Times New Roman" w:hAnsi="Times New Roman" w:cs="Times New Roman"/>
                <w:b w:val="0"/>
                <w:bCs w:val="0"/>
                <w:color w:val="auto"/>
                <w:sz w:val="21"/>
                <w:szCs w:val="21"/>
                <w:highlight w:val="none"/>
                <w:lang w:val="en-US" w:eastAsia="zh-CN"/>
              </w:rPr>
              <w:t>危废贮存点</w:t>
            </w:r>
            <w:r>
              <w:rPr>
                <w:rFonts w:hint="default" w:ascii="Times New Roman" w:hAnsi="Times New Roman" w:eastAsia="宋体" w:cs="Times New Roman"/>
                <w:b w:val="0"/>
                <w:bCs w:val="0"/>
                <w:color w:val="auto"/>
                <w:sz w:val="21"/>
                <w:szCs w:val="21"/>
                <w:highlight w:val="none"/>
              </w:rPr>
              <w:t>，生活垃圾设置垃圾箱</w:t>
            </w:r>
          </w:p>
        </w:tc>
        <w:tc>
          <w:tcPr>
            <w:tcW w:w="906" w:type="pct"/>
            <w:tcBorders>
              <w:tl2br w:val="nil"/>
              <w:tr2bl w:val="nil"/>
            </w:tcBorders>
            <w:noWrap w:val="0"/>
            <w:vAlign w:val="center"/>
          </w:tcPr>
          <w:p w14:paraId="5D8CF82E">
            <w:pPr>
              <w:pStyle w:val="48"/>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5</w:t>
            </w:r>
          </w:p>
        </w:tc>
      </w:tr>
      <w:tr w14:paraId="233B33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73" w:type="pct"/>
            <w:vMerge w:val="continue"/>
            <w:tcBorders>
              <w:tl2br w:val="nil"/>
              <w:tr2bl w:val="nil"/>
            </w:tcBorders>
            <w:noWrap w:val="0"/>
            <w:vAlign w:val="center"/>
          </w:tcPr>
          <w:p w14:paraId="20658B5D">
            <w:pPr>
              <w:pStyle w:val="48"/>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rPr>
            </w:pPr>
          </w:p>
        </w:tc>
        <w:tc>
          <w:tcPr>
            <w:tcW w:w="1087" w:type="pct"/>
            <w:gridSpan w:val="2"/>
            <w:tcBorders>
              <w:tl2br w:val="nil"/>
              <w:tr2bl w:val="nil"/>
            </w:tcBorders>
            <w:noWrap w:val="0"/>
            <w:vAlign w:val="center"/>
          </w:tcPr>
          <w:p w14:paraId="21C9FFA4">
            <w:pPr>
              <w:pStyle w:val="4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水土保持</w:t>
            </w:r>
          </w:p>
        </w:tc>
        <w:tc>
          <w:tcPr>
            <w:tcW w:w="2633" w:type="pct"/>
            <w:tcBorders>
              <w:tl2br w:val="nil"/>
              <w:tr2bl w:val="nil"/>
            </w:tcBorders>
            <w:noWrap w:val="0"/>
            <w:vAlign w:val="center"/>
          </w:tcPr>
          <w:p w14:paraId="1D536135">
            <w:pPr>
              <w:pStyle w:val="4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工业场地、道路、</w:t>
            </w:r>
            <w:r>
              <w:rPr>
                <w:rFonts w:hint="default" w:ascii="Times New Roman" w:hAnsi="Times New Roman" w:cs="Times New Roman"/>
                <w:b w:val="0"/>
                <w:bCs w:val="0"/>
                <w:color w:val="auto"/>
                <w:sz w:val="21"/>
                <w:szCs w:val="21"/>
                <w:highlight w:val="none"/>
                <w:lang w:val="en-US" w:eastAsia="zh-CN"/>
              </w:rPr>
              <w:t>排土场、表土堆场</w:t>
            </w:r>
            <w:r>
              <w:rPr>
                <w:rFonts w:hint="default" w:ascii="Times New Roman" w:hAnsi="Times New Roman" w:eastAsia="宋体" w:cs="Times New Roman"/>
                <w:b w:val="0"/>
                <w:bCs w:val="0"/>
                <w:color w:val="auto"/>
                <w:sz w:val="21"/>
                <w:szCs w:val="21"/>
                <w:highlight w:val="none"/>
              </w:rPr>
              <w:t>建设截、排水沟，建设拦挡坝等工程措施</w:t>
            </w:r>
          </w:p>
        </w:tc>
        <w:tc>
          <w:tcPr>
            <w:tcW w:w="906" w:type="pct"/>
            <w:tcBorders>
              <w:tl2br w:val="nil"/>
              <w:tr2bl w:val="nil"/>
            </w:tcBorders>
            <w:noWrap w:val="0"/>
            <w:vAlign w:val="center"/>
          </w:tcPr>
          <w:p w14:paraId="5C1D947B">
            <w:pPr>
              <w:pStyle w:val="48"/>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10</w:t>
            </w:r>
          </w:p>
        </w:tc>
      </w:tr>
      <w:tr w14:paraId="6F3F4C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73" w:type="pct"/>
            <w:vMerge w:val="restart"/>
            <w:tcBorders>
              <w:tl2br w:val="nil"/>
              <w:tr2bl w:val="nil"/>
            </w:tcBorders>
            <w:noWrap w:val="0"/>
            <w:vAlign w:val="center"/>
          </w:tcPr>
          <w:p w14:paraId="28AE300D">
            <w:pPr>
              <w:pStyle w:val="48"/>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闭矿期</w:t>
            </w:r>
          </w:p>
        </w:tc>
        <w:tc>
          <w:tcPr>
            <w:tcW w:w="1087" w:type="pct"/>
            <w:gridSpan w:val="2"/>
            <w:tcBorders>
              <w:tl2br w:val="nil"/>
              <w:tr2bl w:val="nil"/>
            </w:tcBorders>
            <w:noWrap w:val="0"/>
            <w:vAlign w:val="center"/>
          </w:tcPr>
          <w:p w14:paraId="785A562A">
            <w:pPr>
              <w:pStyle w:val="4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kern w:val="0"/>
                <w:sz w:val="21"/>
                <w:szCs w:val="21"/>
                <w:highlight w:val="none"/>
              </w:rPr>
              <w:t>地面隐患区</w:t>
            </w:r>
          </w:p>
        </w:tc>
        <w:tc>
          <w:tcPr>
            <w:tcW w:w="2633" w:type="pct"/>
            <w:tcBorders>
              <w:tl2br w:val="nil"/>
              <w:tr2bl w:val="nil"/>
            </w:tcBorders>
            <w:noWrap w:val="0"/>
            <w:vAlign w:val="center"/>
          </w:tcPr>
          <w:p w14:paraId="0098FE38">
            <w:pPr>
              <w:pStyle w:val="4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kern w:val="0"/>
                <w:sz w:val="21"/>
                <w:szCs w:val="21"/>
                <w:highlight w:val="none"/>
              </w:rPr>
              <w:t>外围铁丝网围栏、外围设置警示牌</w:t>
            </w:r>
          </w:p>
        </w:tc>
        <w:tc>
          <w:tcPr>
            <w:tcW w:w="906" w:type="pct"/>
            <w:tcBorders>
              <w:tl2br w:val="nil"/>
              <w:tr2bl w:val="nil"/>
            </w:tcBorders>
            <w:noWrap w:val="0"/>
            <w:vAlign w:val="center"/>
          </w:tcPr>
          <w:p w14:paraId="16F9A9E2">
            <w:pPr>
              <w:pStyle w:val="48"/>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5</w:t>
            </w:r>
          </w:p>
        </w:tc>
      </w:tr>
      <w:tr w14:paraId="6124A1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73" w:type="pct"/>
            <w:vMerge w:val="continue"/>
            <w:tcBorders>
              <w:tl2br w:val="nil"/>
              <w:tr2bl w:val="nil"/>
            </w:tcBorders>
            <w:noWrap w:val="0"/>
            <w:vAlign w:val="center"/>
          </w:tcPr>
          <w:p w14:paraId="73A90568">
            <w:pPr>
              <w:pStyle w:val="48"/>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rPr>
            </w:pPr>
          </w:p>
        </w:tc>
        <w:tc>
          <w:tcPr>
            <w:tcW w:w="1087" w:type="pct"/>
            <w:gridSpan w:val="2"/>
            <w:tcBorders>
              <w:tl2br w:val="nil"/>
              <w:tr2bl w:val="nil"/>
            </w:tcBorders>
            <w:noWrap w:val="0"/>
            <w:vAlign w:val="center"/>
          </w:tcPr>
          <w:p w14:paraId="58B19FD5">
            <w:pPr>
              <w:pStyle w:val="4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生态恢复措施</w:t>
            </w:r>
          </w:p>
        </w:tc>
        <w:tc>
          <w:tcPr>
            <w:tcW w:w="2633" w:type="pct"/>
            <w:tcBorders>
              <w:tl2br w:val="nil"/>
              <w:tr2bl w:val="nil"/>
            </w:tcBorders>
            <w:noWrap w:val="0"/>
            <w:vAlign w:val="center"/>
          </w:tcPr>
          <w:p w14:paraId="3AD18CFE">
            <w:pPr>
              <w:pStyle w:val="4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土地复垦</w:t>
            </w:r>
          </w:p>
        </w:tc>
        <w:tc>
          <w:tcPr>
            <w:tcW w:w="906" w:type="pct"/>
            <w:tcBorders>
              <w:tl2br w:val="nil"/>
              <w:tr2bl w:val="nil"/>
            </w:tcBorders>
            <w:noWrap w:val="0"/>
            <w:vAlign w:val="center"/>
          </w:tcPr>
          <w:p w14:paraId="5749B45A">
            <w:pPr>
              <w:pStyle w:val="48"/>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822</w:t>
            </w:r>
          </w:p>
        </w:tc>
      </w:tr>
      <w:tr w14:paraId="4B7A3F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73" w:type="pct"/>
            <w:vMerge w:val="continue"/>
            <w:tcBorders>
              <w:tl2br w:val="nil"/>
              <w:tr2bl w:val="nil"/>
            </w:tcBorders>
            <w:noWrap w:val="0"/>
            <w:vAlign w:val="center"/>
          </w:tcPr>
          <w:p w14:paraId="1EA5B6E0">
            <w:pPr>
              <w:pStyle w:val="48"/>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rPr>
            </w:pPr>
          </w:p>
        </w:tc>
        <w:tc>
          <w:tcPr>
            <w:tcW w:w="1087" w:type="pct"/>
            <w:gridSpan w:val="2"/>
            <w:tcBorders>
              <w:tl2br w:val="nil"/>
              <w:tr2bl w:val="nil"/>
            </w:tcBorders>
            <w:noWrap w:val="0"/>
            <w:vAlign w:val="center"/>
          </w:tcPr>
          <w:p w14:paraId="7B4E7DBD">
            <w:pPr>
              <w:pStyle w:val="4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sz w:val="21"/>
                <w:szCs w:val="21"/>
                <w:highlight w:val="none"/>
              </w:rPr>
              <w:t>矿山闭矿后地面治理</w:t>
            </w:r>
          </w:p>
        </w:tc>
        <w:tc>
          <w:tcPr>
            <w:tcW w:w="2633" w:type="pct"/>
            <w:tcBorders>
              <w:tl2br w:val="nil"/>
              <w:tr2bl w:val="nil"/>
            </w:tcBorders>
            <w:noWrap w:val="0"/>
            <w:vAlign w:val="center"/>
          </w:tcPr>
          <w:p w14:paraId="7B7881CF">
            <w:pPr>
              <w:pStyle w:val="4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生活区及工业广场建筑设施拆除、清理</w:t>
            </w:r>
          </w:p>
        </w:tc>
        <w:tc>
          <w:tcPr>
            <w:tcW w:w="906" w:type="pct"/>
            <w:tcBorders>
              <w:tl2br w:val="nil"/>
              <w:tr2bl w:val="nil"/>
            </w:tcBorders>
            <w:noWrap w:val="0"/>
            <w:vAlign w:val="center"/>
          </w:tcPr>
          <w:p w14:paraId="6D2FBBE3">
            <w:pPr>
              <w:pStyle w:val="48"/>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2</w:t>
            </w:r>
          </w:p>
        </w:tc>
      </w:tr>
      <w:tr w14:paraId="2A3FE9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73" w:type="pct"/>
            <w:vMerge w:val="restart"/>
            <w:tcBorders>
              <w:tl2br w:val="nil"/>
              <w:tr2bl w:val="nil"/>
            </w:tcBorders>
            <w:noWrap w:val="0"/>
            <w:vAlign w:val="center"/>
          </w:tcPr>
          <w:p w14:paraId="1ED26CE7">
            <w:pPr>
              <w:pStyle w:val="48"/>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cs="Times New Roman"/>
                <w:b w:val="0"/>
                <w:bCs w:val="0"/>
                <w:color w:val="auto"/>
                <w:sz w:val="21"/>
                <w:szCs w:val="21"/>
                <w:highlight w:val="none"/>
                <w:lang w:eastAsia="zh-CN"/>
              </w:rPr>
              <w:t>其他</w:t>
            </w:r>
          </w:p>
        </w:tc>
        <w:tc>
          <w:tcPr>
            <w:tcW w:w="1087" w:type="pct"/>
            <w:gridSpan w:val="2"/>
            <w:tcBorders>
              <w:tl2br w:val="nil"/>
              <w:tr2bl w:val="nil"/>
            </w:tcBorders>
            <w:noWrap w:val="0"/>
            <w:vAlign w:val="center"/>
          </w:tcPr>
          <w:p w14:paraId="6CFBE0EA">
            <w:pPr>
              <w:pStyle w:val="48"/>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cs="Times New Roman"/>
                <w:b w:val="0"/>
                <w:bCs w:val="0"/>
                <w:color w:val="auto"/>
                <w:sz w:val="21"/>
                <w:szCs w:val="21"/>
                <w:highlight w:val="none"/>
                <w:lang w:eastAsia="zh-CN"/>
              </w:rPr>
              <w:t>验收</w:t>
            </w:r>
          </w:p>
        </w:tc>
        <w:tc>
          <w:tcPr>
            <w:tcW w:w="2633" w:type="pct"/>
            <w:tcBorders>
              <w:tl2br w:val="nil"/>
              <w:tr2bl w:val="nil"/>
            </w:tcBorders>
            <w:noWrap w:val="0"/>
            <w:vAlign w:val="center"/>
          </w:tcPr>
          <w:p w14:paraId="62828C2F">
            <w:pPr>
              <w:pStyle w:val="48"/>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cs="Times New Roman"/>
                <w:b w:val="0"/>
                <w:bCs w:val="0"/>
                <w:color w:val="auto"/>
                <w:sz w:val="21"/>
                <w:szCs w:val="21"/>
                <w:highlight w:val="none"/>
                <w:lang w:eastAsia="zh-CN"/>
              </w:rPr>
              <w:t>竣工环境保护验收</w:t>
            </w:r>
          </w:p>
        </w:tc>
        <w:tc>
          <w:tcPr>
            <w:tcW w:w="906" w:type="pct"/>
            <w:tcBorders>
              <w:tl2br w:val="nil"/>
              <w:tr2bl w:val="nil"/>
            </w:tcBorders>
            <w:noWrap w:val="0"/>
            <w:vAlign w:val="center"/>
          </w:tcPr>
          <w:p w14:paraId="164E1D7B">
            <w:pPr>
              <w:pStyle w:val="48"/>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3</w:t>
            </w:r>
          </w:p>
        </w:tc>
      </w:tr>
      <w:tr w14:paraId="68B652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73" w:type="pct"/>
            <w:vMerge w:val="continue"/>
            <w:tcBorders>
              <w:tl2br w:val="nil"/>
              <w:tr2bl w:val="nil"/>
            </w:tcBorders>
            <w:noWrap w:val="0"/>
            <w:vAlign w:val="center"/>
          </w:tcPr>
          <w:p w14:paraId="3BDBB104">
            <w:pPr>
              <w:pStyle w:val="48"/>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rPr>
            </w:pPr>
          </w:p>
        </w:tc>
        <w:tc>
          <w:tcPr>
            <w:tcW w:w="1087" w:type="pct"/>
            <w:gridSpan w:val="2"/>
            <w:tcBorders>
              <w:tl2br w:val="nil"/>
              <w:tr2bl w:val="nil"/>
            </w:tcBorders>
            <w:noWrap w:val="0"/>
            <w:vAlign w:val="center"/>
          </w:tcPr>
          <w:p w14:paraId="3DB08498">
            <w:pPr>
              <w:pStyle w:val="48"/>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cs="Times New Roman"/>
                <w:b w:val="0"/>
                <w:bCs w:val="0"/>
                <w:color w:val="auto"/>
                <w:sz w:val="21"/>
                <w:szCs w:val="21"/>
                <w:highlight w:val="none"/>
                <w:lang w:eastAsia="zh-CN"/>
              </w:rPr>
              <w:t>监理</w:t>
            </w:r>
          </w:p>
        </w:tc>
        <w:tc>
          <w:tcPr>
            <w:tcW w:w="2633" w:type="pct"/>
            <w:tcBorders>
              <w:tl2br w:val="nil"/>
              <w:tr2bl w:val="nil"/>
            </w:tcBorders>
            <w:noWrap w:val="0"/>
            <w:vAlign w:val="center"/>
          </w:tcPr>
          <w:p w14:paraId="2DB33BF1">
            <w:pPr>
              <w:pStyle w:val="48"/>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cs="Times New Roman"/>
                <w:b w:val="0"/>
                <w:bCs w:val="0"/>
                <w:color w:val="auto"/>
                <w:sz w:val="21"/>
                <w:szCs w:val="21"/>
                <w:highlight w:val="none"/>
                <w:lang w:eastAsia="zh-CN"/>
              </w:rPr>
              <w:t>施工期环境监理</w:t>
            </w:r>
          </w:p>
        </w:tc>
        <w:tc>
          <w:tcPr>
            <w:tcW w:w="906" w:type="pct"/>
            <w:tcBorders>
              <w:tl2br w:val="nil"/>
              <w:tr2bl w:val="nil"/>
            </w:tcBorders>
            <w:noWrap w:val="0"/>
            <w:vAlign w:val="center"/>
          </w:tcPr>
          <w:p w14:paraId="7D9E3D05">
            <w:pPr>
              <w:pStyle w:val="48"/>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5</w:t>
            </w:r>
          </w:p>
        </w:tc>
      </w:tr>
      <w:tr w14:paraId="30238F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73" w:type="pct"/>
            <w:vMerge w:val="continue"/>
            <w:tcBorders>
              <w:tl2br w:val="nil"/>
              <w:tr2bl w:val="nil"/>
            </w:tcBorders>
            <w:noWrap w:val="0"/>
            <w:vAlign w:val="center"/>
          </w:tcPr>
          <w:p w14:paraId="7349B33A">
            <w:pPr>
              <w:pStyle w:val="48"/>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rPr>
            </w:pPr>
          </w:p>
        </w:tc>
        <w:tc>
          <w:tcPr>
            <w:tcW w:w="1087" w:type="pct"/>
            <w:gridSpan w:val="2"/>
            <w:tcBorders>
              <w:tl2br w:val="nil"/>
              <w:tr2bl w:val="nil"/>
            </w:tcBorders>
            <w:noWrap w:val="0"/>
            <w:vAlign w:val="center"/>
          </w:tcPr>
          <w:p w14:paraId="0389B767">
            <w:pPr>
              <w:pStyle w:val="48"/>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highlight w:val="none"/>
                <w:lang w:eastAsia="zh-CN"/>
              </w:rPr>
            </w:pPr>
            <w:r>
              <w:rPr>
                <w:rFonts w:hint="default" w:ascii="Times New Roman" w:hAnsi="Times New Roman" w:cs="Times New Roman"/>
                <w:b w:val="0"/>
                <w:bCs w:val="0"/>
                <w:color w:val="auto"/>
                <w:sz w:val="21"/>
                <w:szCs w:val="21"/>
                <w:highlight w:val="none"/>
                <w:lang w:eastAsia="zh-CN"/>
              </w:rPr>
              <w:t>自行监测</w:t>
            </w:r>
          </w:p>
        </w:tc>
        <w:tc>
          <w:tcPr>
            <w:tcW w:w="2633" w:type="pct"/>
            <w:tcBorders>
              <w:tl2br w:val="nil"/>
              <w:tr2bl w:val="nil"/>
            </w:tcBorders>
            <w:noWrap w:val="0"/>
            <w:vAlign w:val="center"/>
          </w:tcPr>
          <w:p w14:paraId="38E18F52">
            <w:pPr>
              <w:pStyle w:val="48"/>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cs="Times New Roman"/>
                <w:b w:val="0"/>
                <w:bCs w:val="0"/>
                <w:color w:val="auto"/>
                <w:sz w:val="21"/>
                <w:szCs w:val="21"/>
                <w:highlight w:val="none"/>
                <w:lang w:eastAsia="zh-CN"/>
              </w:rPr>
              <w:t>运营期自行监测</w:t>
            </w:r>
          </w:p>
        </w:tc>
        <w:tc>
          <w:tcPr>
            <w:tcW w:w="906" w:type="pct"/>
            <w:tcBorders>
              <w:tl2br w:val="nil"/>
              <w:tr2bl w:val="nil"/>
            </w:tcBorders>
            <w:noWrap w:val="0"/>
            <w:vAlign w:val="center"/>
          </w:tcPr>
          <w:p w14:paraId="50AB62A3">
            <w:pPr>
              <w:pStyle w:val="48"/>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3</w:t>
            </w:r>
          </w:p>
        </w:tc>
      </w:tr>
      <w:tr w14:paraId="0545BA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093" w:type="pct"/>
            <w:gridSpan w:val="4"/>
            <w:tcBorders>
              <w:tl2br w:val="nil"/>
              <w:tr2bl w:val="nil"/>
            </w:tcBorders>
            <w:noWrap w:val="0"/>
            <w:vAlign w:val="center"/>
          </w:tcPr>
          <w:p w14:paraId="5F00B89D">
            <w:pPr>
              <w:pStyle w:val="48"/>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合计</w:t>
            </w:r>
          </w:p>
        </w:tc>
        <w:tc>
          <w:tcPr>
            <w:tcW w:w="906" w:type="pct"/>
            <w:tcBorders>
              <w:tl2br w:val="nil"/>
              <w:tr2bl w:val="nil"/>
            </w:tcBorders>
            <w:noWrap w:val="0"/>
            <w:vAlign w:val="center"/>
          </w:tcPr>
          <w:p w14:paraId="41D5B3DF">
            <w:pPr>
              <w:pStyle w:val="48"/>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9</w:t>
            </w:r>
            <w:r>
              <w:rPr>
                <w:rFonts w:hint="eastAsia" w:ascii="Times New Roman" w:hAnsi="Times New Roman" w:cs="Times New Roman"/>
                <w:b w:val="0"/>
                <w:bCs w:val="0"/>
                <w:color w:val="auto"/>
                <w:sz w:val="21"/>
                <w:szCs w:val="21"/>
                <w:highlight w:val="none"/>
                <w:lang w:val="en-US" w:eastAsia="zh-CN"/>
              </w:rPr>
              <w:t>44</w:t>
            </w:r>
          </w:p>
        </w:tc>
      </w:tr>
    </w:tbl>
    <w:p w14:paraId="6C6829E9">
      <w:pPr>
        <w:pStyle w:val="3"/>
        <w:bidi w:val="0"/>
        <w:rPr>
          <w:rFonts w:hint="default"/>
          <w:lang w:val="en-US" w:eastAsia="zh-CN"/>
        </w:rPr>
      </w:pPr>
      <w:bookmarkStart w:id="531" w:name="_Toc29931"/>
      <w:bookmarkStart w:id="532" w:name="_Toc30218"/>
      <w:r>
        <w:rPr>
          <w:rFonts w:hint="default"/>
          <w:lang w:val="en-US" w:eastAsia="zh-CN"/>
        </w:rPr>
        <w:t>环境效益分析</w:t>
      </w:r>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p>
    <w:p w14:paraId="3F38CE3E">
      <w:pPr>
        <w:pStyle w:val="4"/>
        <w:bidi w:val="0"/>
        <w:rPr>
          <w:rFonts w:hint="default"/>
        </w:rPr>
      </w:pPr>
      <w:bookmarkStart w:id="533" w:name="_Toc18719"/>
      <w:bookmarkStart w:id="534" w:name="_Toc16176"/>
      <w:bookmarkStart w:id="535" w:name="_Toc19823"/>
      <w:bookmarkStart w:id="536" w:name="_Toc308705920"/>
      <w:bookmarkStart w:id="537" w:name="_Toc19272"/>
      <w:bookmarkStart w:id="538" w:name="_Toc446160750"/>
      <w:bookmarkStart w:id="539" w:name="_Toc20345"/>
      <w:bookmarkStart w:id="540" w:name="_Toc8477"/>
      <w:bookmarkStart w:id="541" w:name="_Toc323979910"/>
      <w:bookmarkStart w:id="542" w:name="_Toc390077139"/>
      <w:bookmarkStart w:id="543" w:name="_Toc27250"/>
      <w:bookmarkStart w:id="544" w:name="_Toc6908843"/>
      <w:bookmarkStart w:id="545" w:name="_Toc23411"/>
      <w:bookmarkStart w:id="546" w:name="_Toc24964"/>
      <w:bookmarkStart w:id="547" w:name="_Toc31816"/>
      <w:bookmarkStart w:id="548" w:name="_Toc10529"/>
      <w:bookmarkStart w:id="549" w:name="_Toc447541238"/>
      <w:bookmarkStart w:id="550" w:name="_Toc31253"/>
      <w:bookmarkStart w:id="551" w:name="_Toc24326"/>
      <w:bookmarkStart w:id="552" w:name="_Toc426642710"/>
      <w:r>
        <w:rPr>
          <w:rFonts w:hint="default"/>
        </w:rPr>
        <w:t>环境损失分析</w:t>
      </w:r>
    </w:p>
    <w:p w14:paraId="4771080E">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（1）区域建设占地、扰动地表造成水土流失</w:t>
      </w:r>
    </w:p>
    <w:p w14:paraId="308A4437">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项目建设运行过程中占压部分土地，毁坏植被，对区域生态环境产生一定的负面影响，引发或加剧水土流失、土地沙化。</w:t>
      </w:r>
    </w:p>
    <w:p w14:paraId="311FCA96">
      <w:pPr>
        <w:numPr>
          <w:ilvl w:val="0"/>
          <w:numId w:val="49"/>
        </w:numPr>
        <w:spacing w:beforeLines="0" w:afterLines="0"/>
        <w:ind w:left="0" w:leftChars="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废气排放增加</w:t>
      </w:r>
    </w:p>
    <w:p w14:paraId="78A551FB">
      <w:pPr>
        <w:numPr>
          <w:ilvl w:val="0"/>
          <w:numId w:val="0"/>
        </w:numPr>
        <w:spacing w:beforeLines="0" w:afterLines="0"/>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项目主要以无组织排放为主，虽然投入资金进行治理，但对环境的影响仍然难以避免，将致使大气环境质量下降，对区域环境质量造成一定影响。</w:t>
      </w:r>
    </w:p>
    <w:p w14:paraId="2482FF10">
      <w:pPr>
        <w:numPr>
          <w:ilvl w:val="0"/>
          <w:numId w:val="49"/>
        </w:numPr>
        <w:spacing w:beforeLines="0" w:afterLines="0"/>
        <w:ind w:left="0" w:leftChars="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运输量的增加</w:t>
      </w:r>
    </w:p>
    <w:p w14:paraId="4231CE37">
      <w:pPr>
        <w:numPr>
          <w:ilvl w:val="0"/>
          <w:numId w:val="0"/>
        </w:numPr>
        <w:spacing w:beforeLines="0" w:afterLines="0"/>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项目生产经营不仅增加了交通运输量，同时增加了交通噪声、交通道路扬尘、汽车尾气等污染，甚至增加了发生交通事故的可能性和频率。</w:t>
      </w:r>
    </w:p>
    <w:p w14:paraId="3B153E5E">
      <w:pPr>
        <w:pStyle w:val="4"/>
        <w:bidi w:val="0"/>
        <w:rPr>
          <w:rFonts w:hint="default"/>
        </w:rPr>
      </w:pPr>
      <w:bookmarkStart w:id="553" w:name="7.3.2环境效益"/>
      <w:bookmarkEnd w:id="553"/>
      <w:r>
        <w:rPr>
          <w:rFonts w:hint="default"/>
        </w:rPr>
        <w:t>环境效益</w:t>
      </w:r>
    </w:p>
    <w:p w14:paraId="66EBBE58">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工程的环境效益主要体现在投资的环保设施对环境质量的改善作用，结合本工程特点，对项目的环境效益作定性分析。</w:t>
      </w:r>
    </w:p>
    <w:p w14:paraId="3F7385CF">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矿山开采采用湿式作业，减少粉尘的排放量；生活污水经污水处理设施处理后</w:t>
      </w:r>
      <w:r>
        <w:rPr>
          <w:rFonts w:hint="default" w:ascii="Times New Roman" w:hAnsi="Times New Roman" w:cs="Times New Roman"/>
          <w:color w:val="auto"/>
          <w:sz w:val="24"/>
          <w:szCs w:val="24"/>
          <w:highlight w:val="none"/>
          <w:lang w:val="en-US" w:eastAsia="zh-CN"/>
        </w:rPr>
        <w:t>用作绿化和降尘</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生产废水采用沉淀池沉淀后循环利用，</w:t>
      </w:r>
      <w:r>
        <w:rPr>
          <w:rFonts w:hint="default" w:ascii="Times New Roman" w:hAnsi="Times New Roman" w:cs="Times New Roman"/>
          <w:color w:val="auto"/>
          <w:sz w:val="24"/>
          <w:szCs w:val="24"/>
          <w:highlight w:val="none"/>
        </w:rPr>
        <w:t>减少水耗量，降低单位矿石产品的水耗，降低资源成本</w:t>
      </w:r>
      <w:r>
        <w:rPr>
          <w:rFonts w:hint="default" w:ascii="Times New Roman" w:hAnsi="Times New Roman" w:cs="Times New Roman"/>
          <w:color w:val="auto"/>
          <w:sz w:val="24"/>
          <w:szCs w:val="24"/>
          <w:highlight w:val="none"/>
          <w:lang w:val="en-US" w:eastAsia="zh-CN"/>
        </w:rPr>
        <w:t>；生产设备采取</w:t>
      </w:r>
      <w:r>
        <w:rPr>
          <w:rFonts w:hint="default" w:ascii="Times New Roman" w:hAnsi="Times New Roman" w:cs="Times New Roman"/>
          <w:color w:val="auto"/>
          <w:sz w:val="24"/>
          <w:szCs w:val="24"/>
          <w:highlight w:val="none"/>
        </w:rPr>
        <w:t>降噪措施后，可减轻噪声对周围环境的影响，场界噪声达标；闭矿期土地复垦及生态恢复，可使当地遭到破坏的生态环境得到恢复。在这些环境保护措施充分实施后，生产过程的污染物排放将会有所减少，由于人为能量的持续性输入，会恢复区域的生态承载力水平。</w:t>
      </w:r>
    </w:p>
    <w:p w14:paraId="7FBE07AD">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就项目的自身特点而言，其间接经济效益不是通过货币形式体现，而是通过项目对其所在区域的环境影响程度来体现，通过各类环保设施的投入，使建设项目的环境影响减少到最低程度。</w:t>
      </w:r>
    </w:p>
    <w:p w14:paraId="24446CE9">
      <w:pPr>
        <w:pStyle w:val="3"/>
        <w:bidi w:val="0"/>
        <w:rPr>
          <w:rFonts w:hint="default"/>
          <w:lang w:val="en-US" w:eastAsia="zh-CN"/>
        </w:rPr>
      </w:pPr>
      <w:bookmarkStart w:id="554" w:name="_Toc8204"/>
      <w:bookmarkStart w:id="555" w:name="_Toc3073"/>
      <w:r>
        <w:rPr>
          <w:rFonts w:hint="default"/>
          <w:lang w:val="en-US" w:eastAsia="zh-CN"/>
        </w:rPr>
        <w:t>经济效益分析</w:t>
      </w:r>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4"/>
      <w:bookmarkEnd w:id="555"/>
    </w:p>
    <w:p w14:paraId="35728541">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石英砂矿的开采能带动运输、物流、设备制造等相关产业的发展。同时，企业运营过程中会产生税收，增加地方财政收入，有助于当地基础设施建设和经济发展，</w:t>
      </w:r>
      <w:r>
        <w:rPr>
          <w:rFonts w:hint="eastAsia" w:ascii="Times New Roman" w:hAnsi="Times New Roman" w:eastAsia="宋体" w:cs="Times New Roman"/>
          <w:color w:val="auto"/>
          <w:highlight w:val="none"/>
          <w:lang w:val="en-US" w:eastAsia="zh-CN"/>
        </w:rPr>
        <w:t>具有很好的经济效益</w:t>
      </w:r>
      <w:r>
        <w:rPr>
          <w:rFonts w:hint="default" w:ascii="Times New Roman" w:hAnsi="Times New Roman" w:eastAsia="宋体" w:cs="Times New Roman"/>
          <w:color w:val="auto"/>
          <w:highlight w:val="none"/>
          <w:lang w:val="en-US" w:eastAsia="zh-CN"/>
        </w:rPr>
        <w:t>。</w:t>
      </w:r>
    </w:p>
    <w:p w14:paraId="348AB7D1">
      <w:pPr>
        <w:pStyle w:val="3"/>
        <w:bidi w:val="0"/>
        <w:rPr>
          <w:rFonts w:hint="default"/>
          <w:lang w:val="en-US" w:eastAsia="zh-CN"/>
        </w:rPr>
      </w:pPr>
      <w:bookmarkStart w:id="556" w:name="_Toc29002"/>
      <w:bookmarkStart w:id="557" w:name="_Toc29228"/>
      <w:bookmarkStart w:id="558" w:name="_Toc14462"/>
      <w:bookmarkStart w:id="559" w:name="_Toc7259"/>
      <w:bookmarkStart w:id="560" w:name="_Toc7365"/>
      <w:bookmarkStart w:id="561" w:name="_Toc28700"/>
      <w:bookmarkStart w:id="562" w:name="_Toc23122"/>
      <w:bookmarkStart w:id="563" w:name="_Toc25034"/>
      <w:bookmarkStart w:id="564" w:name="_Toc8025"/>
      <w:r>
        <w:rPr>
          <w:rFonts w:hint="default"/>
          <w:lang w:val="en-US" w:eastAsia="zh-CN"/>
        </w:rPr>
        <w:t>小结</w:t>
      </w:r>
      <w:bookmarkEnd w:id="556"/>
      <w:bookmarkEnd w:id="557"/>
      <w:bookmarkEnd w:id="558"/>
      <w:bookmarkEnd w:id="559"/>
      <w:bookmarkEnd w:id="560"/>
      <w:bookmarkEnd w:id="561"/>
      <w:bookmarkEnd w:id="562"/>
      <w:bookmarkEnd w:id="563"/>
      <w:bookmarkEnd w:id="564"/>
    </w:p>
    <w:p w14:paraId="16D52CC7">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本工程投产后，如能落实环评报告建议的环保设施，环境效益可观。由此可知，本工程的建设可实现社会效益、经济效益和环境效益的统一。</w:t>
      </w:r>
    </w:p>
    <w:p w14:paraId="0A1E3B09">
      <w:pPr>
        <w:pStyle w:val="2"/>
        <w:spacing w:beforeLines="0" w:afterLines="0"/>
        <w:rPr>
          <w:rFonts w:hint="default" w:ascii="Times New Roman" w:hAnsi="Times New Roman" w:cs="Times New Roman"/>
          <w:color w:val="auto"/>
          <w:sz w:val="28"/>
          <w:szCs w:val="24"/>
          <w:highlight w:val="none"/>
        </w:rPr>
        <w:sectPr>
          <w:pgSz w:w="11910" w:h="16840"/>
          <w:pgMar w:top="1360" w:right="1340" w:bottom="280" w:left="1420" w:header="1050" w:footer="850" w:gutter="0"/>
          <w:pgBorders>
            <w:top w:val="none" w:sz="0" w:space="0"/>
            <w:left w:val="none" w:sz="0" w:space="0"/>
            <w:bottom w:val="none" w:sz="0" w:space="0"/>
            <w:right w:val="none" w:sz="0" w:space="0"/>
          </w:pgBorders>
          <w:lnNumType w:countBy="0" w:distance="360"/>
          <w:cols w:space="720" w:num="1"/>
        </w:sectPr>
      </w:pPr>
      <w:bookmarkStart w:id="565" w:name="7.1项目社会效益分析"/>
      <w:bookmarkEnd w:id="565"/>
      <w:bookmarkStart w:id="566" w:name="bookmark35"/>
      <w:bookmarkEnd w:id="566"/>
    </w:p>
    <w:p w14:paraId="0E061CAF">
      <w:pPr>
        <w:pStyle w:val="2"/>
        <w:bidi w:val="0"/>
        <w:rPr>
          <w:rFonts w:hint="default"/>
        </w:rPr>
      </w:pPr>
      <w:bookmarkStart w:id="567" w:name="_Toc23086"/>
      <w:bookmarkStart w:id="568" w:name="_Toc10280"/>
      <w:r>
        <w:rPr>
          <w:rFonts w:hint="default"/>
        </w:rPr>
        <w:t>环境管理与监测计划</w:t>
      </w:r>
      <w:bookmarkEnd w:id="567"/>
      <w:bookmarkEnd w:id="568"/>
    </w:p>
    <w:p w14:paraId="2D54A0E2">
      <w:pPr>
        <w:pStyle w:val="3"/>
        <w:bidi w:val="0"/>
        <w:rPr>
          <w:rFonts w:hint="default"/>
          <w:lang w:val="en-US" w:eastAsia="zh-CN"/>
        </w:rPr>
      </w:pPr>
      <w:bookmarkStart w:id="569" w:name="bookmark42"/>
      <w:bookmarkEnd w:id="569"/>
      <w:bookmarkStart w:id="570" w:name="bookmark41"/>
      <w:bookmarkEnd w:id="570"/>
      <w:bookmarkStart w:id="571" w:name="8.2环境监测计划"/>
      <w:bookmarkEnd w:id="571"/>
      <w:bookmarkStart w:id="572" w:name="8.1环境管理"/>
      <w:bookmarkEnd w:id="572"/>
      <w:bookmarkStart w:id="573" w:name="_Toc16555"/>
      <w:bookmarkStart w:id="574" w:name="_Toc17187"/>
      <w:bookmarkStart w:id="575" w:name="_Toc32572"/>
      <w:bookmarkStart w:id="576" w:name="_Toc30158"/>
      <w:bookmarkStart w:id="577" w:name="_Toc30542"/>
      <w:bookmarkStart w:id="578" w:name="_Toc15268"/>
      <w:bookmarkStart w:id="579" w:name="_Toc5661"/>
      <w:bookmarkStart w:id="580" w:name="_Toc3726"/>
      <w:r>
        <w:rPr>
          <w:rFonts w:hint="default"/>
          <w:lang w:val="en-US" w:eastAsia="zh-CN"/>
        </w:rPr>
        <w:t>建设项目环境管理</w:t>
      </w:r>
      <w:bookmarkEnd w:id="573"/>
      <w:bookmarkEnd w:id="574"/>
      <w:bookmarkEnd w:id="575"/>
      <w:bookmarkEnd w:id="576"/>
      <w:bookmarkEnd w:id="577"/>
      <w:bookmarkEnd w:id="578"/>
      <w:bookmarkEnd w:id="579"/>
      <w:bookmarkEnd w:id="580"/>
    </w:p>
    <w:p w14:paraId="09312410">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环境管理是现代</w:t>
      </w:r>
      <w:r>
        <w:rPr>
          <w:rFonts w:hint="default" w:ascii="Times New Roman" w:hAnsi="Times New Roman" w:cs="Times New Roman"/>
          <w:color w:val="auto"/>
          <w:highlight w:val="none"/>
          <w:lang w:eastAsia="zh-CN"/>
        </w:rPr>
        <w:t>建设单位</w:t>
      </w:r>
      <w:r>
        <w:rPr>
          <w:rFonts w:hint="default" w:ascii="Times New Roman" w:hAnsi="Times New Roman" w:cs="Times New Roman"/>
          <w:color w:val="auto"/>
          <w:highlight w:val="none"/>
        </w:rPr>
        <w:t>管理制度的重要内容之一。通过实行全面、系统的环境管理使</w:t>
      </w:r>
      <w:r>
        <w:rPr>
          <w:rFonts w:hint="default" w:ascii="Times New Roman" w:hAnsi="Times New Roman" w:cs="Times New Roman"/>
          <w:color w:val="auto"/>
          <w:highlight w:val="none"/>
          <w:lang w:eastAsia="zh-CN"/>
        </w:rPr>
        <w:t>建设单位</w:t>
      </w:r>
      <w:r>
        <w:rPr>
          <w:rFonts w:hint="default" w:ascii="Times New Roman" w:hAnsi="Times New Roman" w:cs="Times New Roman"/>
          <w:color w:val="auto"/>
          <w:highlight w:val="none"/>
        </w:rPr>
        <w:t>的各环境因素得到有效控制，更重要的是通过落实环境计划和环境政策对</w:t>
      </w:r>
      <w:r>
        <w:rPr>
          <w:rFonts w:hint="default" w:ascii="Times New Roman" w:hAnsi="Times New Roman" w:cs="Times New Roman"/>
          <w:color w:val="auto"/>
          <w:highlight w:val="none"/>
          <w:lang w:eastAsia="zh-CN"/>
        </w:rPr>
        <w:t>建设单位</w:t>
      </w:r>
      <w:r>
        <w:rPr>
          <w:rFonts w:hint="default" w:ascii="Times New Roman" w:hAnsi="Times New Roman" w:cs="Times New Roman"/>
          <w:color w:val="auto"/>
          <w:highlight w:val="none"/>
        </w:rPr>
        <w:t>的环境状况进行调控，以达到改善环境绩效的目的。</w:t>
      </w:r>
    </w:p>
    <w:p w14:paraId="77CE9AF0">
      <w:pPr>
        <w:bidi w:val="0"/>
        <w:rPr>
          <w:rFonts w:hint="default" w:ascii="Times New Roman" w:hAnsi="Times New Roman" w:eastAsia="宋体" w:cs="Times New Roman"/>
          <w:color w:val="auto"/>
          <w:kern w:val="2"/>
          <w:szCs w:val="24"/>
          <w:highlight w:val="none"/>
          <w:lang w:bidi="ar"/>
        </w:rPr>
      </w:pPr>
      <w:r>
        <w:rPr>
          <w:rFonts w:hint="default" w:ascii="Times New Roman" w:hAnsi="Times New Roman" w:cs="Times New Roman"/>
          <w:color w:val="auto"/>
          <w:highlight w:val="none"/>
          <w:lang w:eastAsia="zh-CN"/>
        </w:rPr>
        <w:t>建设单位</w:t>
      </w:r>
      <w:r>
        <w:rPr>
          <w:rFonts w:hint="default" w:ascii="Times New Roman" w:hAnsi="Times New Roman" w:cs="Times New Roman"/>
          <w:color w:val="auto"/>
          <w:highlight w:val="none"/>
        </w:rPr>
        <w:t>环境管理涉及的范围包括：</w:t>
      </w:r>
      <w:r>
        <w:rPr>
          <w:rFonts w:hint="default" w:ascii="Times New Roman" w:hAnsi="Times New Roman" w:cs="Times New Roman"/>
          <w:color w:val="auto"/>
          <w:highlight w:val="none"/>
          <w:lang w:eastAsia="zh-CN"/>
        </w:rPr>
        <w:t>建设单位</w:t>
      </w:r>
      <w:r>
        <w:rPr>
          <w:rFonts w:hint="default" w:ascii="Times New Roman" w:hAnsi="Times New Roman" w:cs="Times New Roman"/>
          <w:color w:val="auto"/>
          <w:highlight w:val="none"/>
        </w:rPr>
        <w:t>发展规划的制定、基础设施建设、环境目标制定等各项环境管理、环境监督活动等。环境管理包括以下具体内容：</w:t>
      </w:r>
    </w:p>
    <w:p w14:paraId="4578B439">
      <w:pPr>
        <w:pStyle w:val="4"/>
        <w:bidi w:val="0"/>
        <w:rPr>
          <w:rFonts w:hint="default"/>
          <w:lang w:val="en-US" w:eastAsia="zh-CN"/>
        </w:rPr>
      </w:pPr>
      <w:bookmarkStart w:id="581" w:name="_Toc21444"/>
      <w:bookmarkStart w:id="582" w:name="_Toc8130"/>
      <w:bookmarkStart w:id="583" w:name="_Toc15674"/>
      <w:bookmarkStart w:id="584" w:name="_Toc28996"/>
      <w:r>
        <w:rPr>
          <w:rFonts w:hint="default"/>
          <w:lang w:val="en-US" w:eastAsia="zh-CN"/>
        </w:rPr>
        <w:t>环境管理依据</w:t>
      </w:r>
      <w:bookmarkEnd w:id="581"/>
      <w:bookmarkEnd w:id="582"/>
      <w:bookmarkEnd w:id="583"/>
      <w:bookmarkEnd w:id="584"/>
    </w:p>
    <w:p w14:paraId="54384FCB">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环境管理是运用计划、组织、协调、控制、监督等手段，为达到预期</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"http://baike.baidu.com/view/630548.htm"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环境目标</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而进行的一项综合性活动。根据《中华人民共和国</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"http://baike.baidu.com/view/9724.htm"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环境保护</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法》规定，</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"http://baike.baidu.com/view/17491.htm"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国务院</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lang w:eastAsia="zh-CN"/>
        </w:rPr>
        <w:t>生态</w:t>
      </w:r>
      <w:r>
        <w:rPr>
          <w:rFonts w:hint="default" w:ascii="Times New Roman" w:hAnsi="Times New Roman" w:cs="Times New Roman"/>
          <w:color w:val="auto"/>
          <w:highlight w:val="none"/>
        </w:rPr>
        <w:t>环境保护行政主管部门对全国环境保护工作实施统一监督管理。</w:t>
      </w:r>
    </w:p>
    <w:p w14:paraId="5E8944BC">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《中华人民共和国环境保护法》第四章对我国长期以来实行的行之有效的环境</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"http://baike.baidu.com/view/673434.htm"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管理制度</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进行了总结，并作出了规定。本次环境管理内容及制度均依据《中华人民共和国环境保护法》的规定严格</w:t>
      </w:r>
      <w:r>
        <w:rPr>
          <w:rFonts w:hint="default" w:ascii="Times New Roman" w:hAnsi="Times New Roman" w:cs="Times New Roman"/>
          <w:color w:val="auto"/>
          <w:highlight w:val="none"/>
          <w:lang w:eastAsia="zh-CN"/>
        </w:rPr>
        <w:t>制定</w:t>
      </w:r>
      <w:r>
        <w:rPr>
          <w:rFonts w:hint="default" w:ascii="Times New Roman" w:hAnsi="Times New Roman" w:cs="Times New Roman"/>
          <w:color w:val="auto"/>
          <w:highlight w:val="none"/>
        </w:rPr>
        <w:t>和执行。</w:t>
      </w:r>
    </w:p>
    <w:p w14:paraId="04F10BC8">
      <w:pPr>
        <w:pStyle w:val="4"/>
        <w:bidi w:val="0"/>
        <w:rPr>
          <w:rFonts w:hint="default"/>
          <w:lang w:val="en-US" w:eastAsia="zh-CN"/>
        </w:rPr>
      </w:pPr>
      <w:bookmarkStart w:id="585" w:name="_Toc32352"/>
      <w:bookmarkStart w:id="586" w:name="_Toc25378"/>
      <w:bookmarkStart w:id="587" w:name="_Toc22849"/>
      <w:bookmarkStart w:id="588" w:name="_Toc8628"/>
      <w:r>
        <w:rPr>
          <w:rFonts w:hint="default"/>
          <w:lang w:val="en-US" w:eastAsia="zh-CN"/>
        </w:rPr>
        <w:t>环境管理的目的及任务</w:t>
      </w:r>
      <w:bookmarkEnd w:id="585"/>
      <w:bookmarkEnd w:id="586"/>
      <w:bookmarkEnd w:id="587"/>
      <w:bookmarkEnd w:id="588"/>
    </w:p>
    <w:p w14:paraId="651376C3">
      <w:pPr>
        <w:bidi w:val="0"/>
        <w:rPr>
          <w:rFonts w:hint="default" w:ascii="Times New Roman" w:hAnsi="Times New Roman" w:cs="Times New Roman"/>
          <w:color w:val="auto"/>
          <w:highlight w:val="none"/>
        </w:rPr>
      </w:pPr>
      <w:bookmarkStart w:id="589" w:name="_Toc13926"/>
      <w:bookmarkStart w:id="590" w:name="_Toc9976"/>
      <w:bookmarkStart w:id="591" w:name="_Toc24140"/>
      <w:bookmarkStart w:id="592" w:name="_Toc23500"/>
      <w:bookmarkStart w:id="593" w:name="_Toc99975509"/>
      <w:bookmarkStart w:id="594" w:name="_Toc99950977"/>
      <w:bookmarkStart w:id="595" w:name="_Toc170970694"/>
      <w:bookmarkStart w:id="596" w:name="_Toc179522850"/>
      <w:bookmarkStart w:id="597" w:name="_Toc153689586"/>
      <w:bookmarkStart w:id="598" w:name="_Toc149680834"/>
      <w:bookmarkStart w:id="599" w:name="_Toc179653310"/>
      <w:bookmarkStart w:id="600" w:name="_Toc180891809"/>
      <w:bookmarkStart w:id="601" w:name="_Toc149680597"/>
      <w:bookmarkStart w:id="602" w:name="_Toc168317239"/>
      <w:bookmarkStart w:id="603" w:name="_Toc172698697"/>
      <w:bookmarkStart w:id="604" w:name="_Toc164774412"/>
      <w:bookmarkStart w:id="605" w:name="_Toc170869098"/>
      <w:bookmarkStart w:id="606" w:name="_Toc245882805"/>
      <w:bookmarkStart w:id="607" w:name="_Toc187800072"/>
      <w:r>
        <w:rPr>
          <w:rFonts w:hint="default" w:ascii="Times New Roman" w:hAnsi="Times New Roman" w:cs="Times New Roman"/>
          <w:color w:val="auto"/>
          <w:highlight w:val="none"/>
        </w:rPr>
        <w:t>①环境管理的目的</w:t>
      </w:r>
      <w:bookmarkEnd w:id="589"/>
      <w:bookmarkEnd w:id="590"/>
      <w:bookmarkEnd w:id="591"/>
      <w:bookmarkEnd w:id="592"/>
    </w:p>
    <w:p w14:paraId="031F8705">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环境管理是环境保护工作的重要内容之一，是现代</w:t>
      </w:r>
      <w:r>
        <w:rPr>
          <w:rFonts w:hint="default" w:ascii="Times New Roman" w:hAnsi="Times New Roman" w:cs="Times New Roman"/>
          <w:color w:val="auto"/>
          <w:highlight w:val="none"/>
          <w:lang w:eastAsia="zh-CN"/>
        </w:rPr>
        <w:t>建设单位</w:t>
      </w:r>
      <w:r>
        <w:rPr>
          <w:rFonts w:hint="default" w:ascii="Times New Roman" w:hAnsi="Times New Roman" w:cs="Times New Roman"/>
          <w:color w:val="auto"/>
          <w:highlight w:val="none"/>
        </w:rPr>
        <w:t>管理的重要组成部分，与</w:t>
      </w:r>
      <w:r>
        <w:rPr>
          <w:rFonts w:hint="default" w:ascii="Times New Roman" w:hAnsi="Times New Roman" w:cs="Times New Roman"/>
          <w:color w:val="auto"/>
          <w:highlight w:val="none"/>
          <w:lang w:eastAsia="zh-CN"/>
        </w:rPr>
        <w:t>建设单位</w:t>
      </w:r>
      <w:r>
        <w:rPr>
          <w:rFonts w:hint="default" w:ascii="Times New Roman" w:hAnsi="Times New Roman" w:cs="Times New Roman"/>
          <w:color w:val="auto"/>
          <w:highlight w:val="none"/>
        </w:rPr>
        <w:t>内部生产管理、劳动管理、财务管理、安全管理同等重要。</w:t>
      </w:r>
      <w:bookmarkEnd w:id="593"/>
      <w:bookmarkEnd w:id="594"/>
    </w:p>
    <w:p w14:paraId="44CD2311">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随着国家环境管理力度的加强，环保</w:t>
      </w:r>
      <w:r>
        <w:rPr>
          <w:rFonts w:hint="default" w:ascii="Times New Roman" w:hAnsi="Times New Roman" w:cs="Times New Roman"/>
          <w:color w:val="auto"/>
          <w:highlight w:val="none"/>
          <w:lang w:eastAsia="zh-CN"/>
        </w:rPr>
        <w:t>法律法规</w:t>
      </w:r>
      <w:r>
        <w:rPr>
          <w:rFonts w:hint="default" w:ascii="Times New Roman" w:hAnsi="Times New Roman" w:cs="Times New Roman"/>
          <w:color w:val="auto"/>
          <w:highlight w:val="none"/>
        </w:rPr>
        <w:t>的完善及全民环境意识的增强，对</w:t>
      </w:r>
      <w:r>
        <w:rPr>
          <w:rFonts w:hint="default" w:ascii="Times New Roman" w:hAnsi="Times New Roman" w:cs="Times New Roman"/>
          <w:color w:val="auto"/>
          <w:highlight w:val="none"/>
          <w:lang w:eastAsia="zh-CN"/>
        </w:rPr>
        <w:t>建设单位</w:t>
      </w:r>
      <w:r>
        <w:rPr>
          <w:rFonts w:hint="default" w:ascii="Times New Roman" w:hAnsi="Times New Roman" w:cs="Times New Roman"/>
          <w:color w:val="auto"/>
          <w:highlight w:val="none"/>
        </w:rPr>
        <w:t>环境保护工作要求也不断提高，这就</w:t>
      </w:r>
      <w:r>
        <w:rPr>
          <w:rFonts w:hint="default" w:ascii="Times New Roman" w:hAnsi="Times New Roman" w:cs="Times New Roman"/>
          <w:color w:val="auto"/>
          <w:highlight w:val="none"/>
          <w:lang w:eastAsia="zh-CN"/>
        </w:rPr>
        <w:t>要求建设单位</w:t>
      </w:r>
      <w:r>
        <w:rPr>
          <w:rFonts w:hint="default" w:ascii="Times New Roman" w:hAnsi="Times New Roman" w:cs="Times New Roman"/>
          <w:color w:val="auto"/>
          <w:highlight w:val="none"/>
        </w:rPr>
        <w:t>要加强自身环境管理机构建设，健全环境管理制度，制定环境管理职责，并将其列入</w:t>
      </w:r>
      <w:r>
        <w:rPr>
          <w:rFonts w:hint="default" w:ascii="Times New Roman" w:hAnsi="Times New Roman" w:cs="Times New Roman"/>
          <w:color w:val="auto"/>
          <w:highlight w:val="none"/>
          <w:lang w:eastAsia="zh-CN"/>
        </w:rPr>
        <w:t>建设单位</w:t>
      </w:r>
      <w:r>
        <w:rPr>
          <w:rFonts w:hint="default" w:ascii="Times New Roman" w:hAnsi="Times New Roman" w:cs="Times New Roman"/>
          <w:color w:val="auto"/>
          <w:highlight w:val="none"/>
        </w:rPr>
        <w:t>议事日程，对</w:t>
      </w:r>
      <w:r>
        <w:rPr>
          <w:rFonts w:hint="default" w:ascii="Times New Roman" w:hAnsi="Times New Roman" w:cs="Times New Roman"/>
          <w:color w:val="auto"/>
          <w:highlight w:val="none"/>
          <w:lang w:eastAsia="zh-CN"/>
        </w:rPr>
        <w:t>建设单位</w:t>
      </w:r>
      <w:r>
        <w:rPr>
          <w:rFonts w:hint="default" w:ascii="Times New Roman" w:hAnsi="Times New Roman" w:cs="Times New Roman"/>
          <w:color w:val="auto"/>
          <w:highlight w:val="none"/>
        </w:rPr>
        <w:t>内部生产、经营过程中发生或可能发生的环境问题进行深入细致</w:t>
      </w:r>
      <w:r>
        <w:rPr>
          <w:rFonts w:hint="default" w:ascii="Times New Roman" w:hAnsi="Times New Roman" w:cs="Times New Roman"/>
          <w:color w:val="auto"/>
          <w:highlight w:val="none"/>
          <w:lang w:eastAsia="zh-CN"/>
        </w:rPr>
        <w:t>地</w:t>
      </w:r>
      <w:r>
        <w:rPr>
          <w:rFonts w:hint="default" w:ascii="Times New Roman" w:hAnsi="Times New Roman" w:cs="Times New Roman"/>
          <w:color w:val="auto"/>
          <w:highlight w:val="none"/>
        </w:rPr>
        <w:t>研究，制定合理污染防治方案以达到既发展生产，增加经济效益，又保护环境的目的。</w:t>
      </w:r>
      <w:bookmarkStart w:id="608" w:name="_Toc21951"/>
      <w:bookmarkStart w:id="609" w:name="_Toc12054"/>
    </w:p>
    <w:p w14:paraId="2F7AB1E0">
      <w:pPr>
        <w:bidi w:val="0"/>
        <w:rPr>
          <w:rFonts w:hint="default" w:ascii="Times New Roman" w:hAnsi="Times New Roman" w:cs="Times New Roman"/>
          <w:color w:val="auto"/>
          <w:highlight w:val="none"/>
        </w:rPr>
      </w:pPr>
      <w:bookmarkStart w:id="610" w:name="_Toc25711"/>
      <w:bookmarkStart w:id="611" w:name="_Toc26443"/>
      <w:bookmarkStart w:id="612" w:name="_Toc31818"/>
      <w:bookmarkStart w:id="613" w:name="_Toc21376"/>
      <w:r>
        <w:rPr>
          <w:rFonts w:hint="default" w:ascii="Times New Roman" w:hAnsi="Times New Roman" w:cs="Times New Roman"/>
          <w:color w:val="auto"/>
          <w:highlight w:val="none"/>
        </w:rPr>
        <w:t>②环境管理的任务</w:t>
      </w:r>
      <w:bookmarkEnd w:id="610"/>
      <w:bookmarkEnd w:id="611"/>
      <w:bookmarkEnd w:id="612"/>
      <w:bookmarkEnd w:id="613"/>
    </w:p>
    <w:p w14:paraId="5C3D922D">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对于项目来说，环境管理的基本任务是：控制污染物排放量，避免污染物对环境质量的损害。</w:t>
      </w:r>
    </w:p>
    <w:p w14:paraId="427245D1">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为了控制污染物的排放，就需要加强计划、生产、技术、质量、设备、劳动、财务等方面的管理，把环境管理渗透到整个</w:t>
      </w:r>
      <w:r>
        <w:rPr>
          <w:rFonts w:hint="default" w:ascii="Times New Roman" w:hAnsi="Times New Roman" w:cs="Times New Roman"/>
          <w:color w:val="auto"/>
          <w:highlight w:val="none"/>
          <w:lang w:eastAsia="zh-CN"/>
        </w:rPr>
        <w:t>建设单位</w:t>
      </w:r>
      <w:r>
        <w:rPr>
          <w:rFonts w:hint="default" w:ascii="Times New Roman" w:hAnsi="Times New Roman" w:cs="Times New Roman"/>
          <w:color w:val="auto"/>
          <w:highlight w:val="none"/>
        </w:rPr>
        <w:t>管理中，将环境管理融合在一起，以减少从生产过程中各环节排出的污染物。</w:t>
      </w:r>
    </w:p>
    <w:p w14:paraId="637B3CD8">
      <w:pPr>
        <w:bidi w:val="0"/>
        <w:rPr>
          <w:rFonts w:hint="default" w:ascii="Times New Roman" w:hAnsi="Times New Roman" w:eastAsia="宋体" w:cs="Times New Roman"/>
          <w:color w:val="auto"/>
          <w:highlight w:val="none"/>
        </w:rPr>
      </w:pPr>
      <w:r>
        <w:rPr>
          <w:rFonts w:hint="default" w:ascii="Times New Roman" w:hAnsi="Times New Roman" w:cs="Times New Roman"/>
          <w:color w:val="auto"/>
          <w:highlight w:val="none"/>
        </w:rPr>
        <w:t>项目</w:t>
      </w:r>
      <w:r>
        <w:rPr>
          <w:rFonts w:hint="default" w:ascii="Times New Roman" w:hAnsi="Times New Roman" w:cs="Times New Roman"/>
          <w:color w:val="auto"/>
          <w:highlight w:val="none"/>
          <w:lang w:val="en-US" w:eastAsia="zh-CN"/>
        </w:rPr>
        <w:t>需把</w:t>
      </w:r>
      <w:r>
        <w:rPr>
          <w:rFonts w:hint="default" w:ascii="Times New Roman" w:hAnsi="Times New Roman" w:cs="Times New Roman"/>
          <w:color w:val="auto"/>
          <w:highlight w:val="none"/>
        </w:rPr>
        <w:t>环境管理作为工业</w:t>
      </w:r>
      <w:r>
        <w:rPr>
          <w:rFonts w:hint="default" w:ascii="Times New Roman" w:hAnsi="Times New Roman" w:cs="Times New Roman"/>
          <w:color w:val="auto"/>
          <w:highlight w:val="none"/>
          <w:lang w:eastAsia="zh-CN"/>
        </w:rPr>
        <w:t>建设单位</w:t>
      </w:r>
      <w:r>
        <w:rPr>
          <w:rFonts w:hint="default" w:ascii="Times New Roman" w:hAnsi="Times New Roman" w:cs="Times New Roman"/>
          <w:color w:val="auto"/>
          <w:highlight w:val="none"/>
        </w:rPr>
        <w:t>管理的重要组成部分，建立环境污染管理系统、制度、环境规划、协调发展生</w:t>
      </w:r>
      <w:r>
        <w:rPr>
          <w:rFonts w:hint="default" w:ascii="Times New Roman" w:hAnsi="Times New Roman" w:cs="Times New Roman"/>
          <w:color w:val="auto"/>
          <w:highlight w:val="none"/>
          <w:lang w:eastAsia="zh-CN"/>
        </w:rPr>
        <w:t>产和</w:t>
      </w:r>
      <w:r>
        <w:rPr>
          <w:rFonts w:hint="default" w:ascii="Times New Roman" w:hAnsi="Times New Roman" w:cs="Times New Roman"/>
          <w:color w:val="auto"/>
          <w:highlight w:val="none"/>
        </w:rPr>
        <w:t>保护环境的关系，使生产管理系统、制度、环境污染规划协调生产与保护环境的关系，使生产目标与环境目标统一起来，经济效益与环境效益统一起来。</w:t>
      </w:r>
    </w:p>
    <w:p w14:paraId="4B672291">
      <w:pPr>
        <w:pStyle w:val="4"/>
        <w:bidi w:val="0"/>
        <w:rPr>
          <w:rFonts w:hint="default"/>
          <w:lang w:val="en-US" w:eastAsia="zh-CN"/>
        </w:rPr>
      </w:pPr>
      <w:bookmarkStart w:id="614" w:name="_Toc6155"/>
      <w:bookmarkStart w:id="615" w:name="_Toc26336"/>
      <w:bookmarkStart w:id="616" w:name="_Toc7864"/>
      <w:bookmarkStart w:id="617" w:name="_Toc17835"/>
      <w:bookmarkStart w:id="618" w:name="_Toc25678"/>
      <w:bookmarkStart w:id="619" w:name="_Toc29602"/>
      <w:bookmarkStart w:id="620" w:name="_Toc8856"/>
      <w:bookmarkStart w:id="621" w:name="_Toc23937"/>
      <w:r>
        <w:rPr>
          <w:rFonts w:hint="default"/>
          <w:lang w:val="en-US" w:eastAsia="zh-CN"/>
        </w:rPr>
        <w:t>环境管理机构</w:t>
      </w:r>
      <w:bookmarkEnd w:id="608"/>
      <w:bookmarkEnd w:id="609"/>
      <w:bookmarkEnd w:id="614"/>
      <w:bookmarkEnd w:id="615"/>
      <w:bookmarkEnd w:id="616"/>
      <w:bookmarkEnd w:id="617"/>
      <w:bookmarkEnd w:id="618"/>
      <w:bookmarkEnd w:id="619"/>
      <w:bookmarkEnd w:id="620"/>
      <w:bookmarkEnd w:id="621"/>
    </w:p>
    <w:p w14:paraId="383DD842">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项目</w:t>
      </w:r>
      <w:r>
        <w:rPr>
          <w:rFonts w:hint="default" w:ascii="Times New Roman" w:hAnsi="Times New Roman" w:cs="Times New Roman"/>
          <w:color w:val="auto"/>
          <w:highlight w:val="none"/>
          <w:lang w:eastAsia="zh-CN"/>
        </w:rPr>
        <w:t>应</w:t>
      </w:r>
      <w:r>
        <w:rPr>
          <w:rFonts w:hint="default" w:ascii="Times New Roman" w:hAnsi="Times New Roman" w:cs="Times New Roman"/>
          <w:color w:val="auto"/>
          <w:highlight w:val="none"/>
        </w:rPr>
        <w:t>成立</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事故防范和应急处理指挥小组</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和</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环保工作领导小组</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小组</w:t>
      </w:r>
      <w:r>
        <w:rPr>
          <w:rFonts w:hint="default" w:ascii="Times New Roman" w:hAnsi="Times New Roman" w:cs="Times New Roman"/>
          <w:color w:val="auto"/>
          <w:highlight w:val="none"/>
        </w:rPr>
        <w:t>由2</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rPr>
        <w:t>3名专职管理人员组成，负责项目环保管理工作和处理环保日常事务。公司生产组织采用董事会领导下的总经理负责制，在总经理的领导下实行三级管理：一级为公司主管领导；二级为安全</w:t>
      </w:r>
      <w:r>
        <w:rPr>
          <w:rFonts w:hint="default" w:ascii="Times New Roman" w:hAnsi="Times New Roman" w:cs="Times New Roman"/>
          <w:color w:val="auto"/>
          <w:highlight w:val="none"/>
          <w:lang w:val="en-US" w:eastAsia="zh-CN"/>
        </w:rPr>
        <w:t>环保部</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生产技术部</w:t>
      </w:r>
      <w:r>
        <w:rPr>
          <w:rFonts w:hint="default" w:ascii="Times New Roman" w:hAnsi="Times New Roman" w:cs="Times New Roman"/>
          <w:color w:val="auto"/>
          <w:highlight w:val="none"/>
        </w:rPr>
        <w:t>和环卫办；三级为各生产环节专、兼职环保人员。</w:t>
      </w:r>
    </w:p>
    <w:p w14:paraId="3F4D0707">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环境管理机构的职责：</w:t>
      </w:r>
    </w:p>
    <w:p w14:paraId="108EC76C">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（1）贯彻执行环境污染保护法和标准；</w:t>
      </w:r>
    </w:p>
    <w:p w14:paraId="34413A4F">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（2）组织制定和修改</w:t>
      </w:r>
      <w:r>
        <w:rPr>
          <w:rFonts w:hint="default" w:ascii="Times New Roman" w:hAnsi="Times New Roman" w:cs="Times New Roman"/>
          <w:color w:val="auto"/>
          <w:highlight w:val="none"/>
          <w:lang w:eastAsia="zh-CN"/>
        </w:rPr>
        <w:t>建设单位</w:t>
      </w:r>
      <w:r>
        <w:rPr>
          <w:rFonts w:hint="default" w:ascii="Times New Roman" w:hAnsi="Times New Roman" w:cs="Times New Roman"/>
          <w:color w:val="auto"/>
          <w:highlight w:val="none"/>
        </w:rPr>
        <w:t>的环境污染保护管理体制规章制度，并监督执行；</w:t>
      </w:r>
    </w:p>
    <w:p w14:paraId="61351199">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（3）制定并组织实施环境保护规划和标准；</w:t>
      </w:r>
    </w:p>
    <w:p w14:paraId="33F990A0">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（4）检查</w:t>
      </w:r>
      <w:r>
        <w:rPr>
          <w:rFonts w:hint="default" w:ascii="Times New Roman" w:hAnsi="Times New Roman" w:cs="Times New Roman"/>
          <w:color w:val="auto"/>
          <w:highlight w:val="none"/>
          <w:lang w:eastAsia="zh-CN"/>
        </w:rPr>
        <w:t>建设单位</w:t>
      </w:r>
      <w:r>
        <w:rPr>
          <w:rFonts w:hint="default" w:ascii="Times New Roman" w:hAnsi="Times New Roman" w:cs="Times New Roman"/>
          <w:color w:val="auto"/>
          <w:highlight w:val="none"/>
        </w:rPr>
        <w:t>环境保护规划和计划；</w:t>
      </w:r>
    </w:p>
    <w:p w14:paraId="110A6F4C">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（5）建立资料库，管理污染源监测数据及资料的收集与存档；</w:t>
      </w:r>
    </w:p>
    <w:p w14:paraId="78B234FD">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（6）加强安全生产教育，制定定期维修机器设备制度；</w:t>
      </w:r>
    </w:p>
    <w:p w14:paraId="0F3C2DED">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（7）监督</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三同时</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的执行情况，尤其重视污染处理措施的运行效果。</w:t>
      </w:r>
    </w:p>
    <w:p w14:paraId="6AFF0E98">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（8）监督检查环保处理设施和环保设备的运行情况；</w:t>
      </w:r>
    </w:p>
    <w:p w14:paraId="3216BB01">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（9）负责</w:t>
      </w:r>
      <w:r>
        <w:rPr>
          <w:rFonts w:hint="default" w:ascii="Times New Roman" w:hAnsi="Times New Roman" w:cs="Times New Roman"/>
          <w:color w:val="auto"/>
          <w:highlight w:val="none"/>
          <w:lang w:eastAsia="zh-CN"/>
        </w:rPr>
        <w:t>建设单位</w:t>
      </w:r>
      <w:r>
        <w:rPr>
          <w:rFonts w:hint="default" w:ascii="Times New Roman" w:hAnsi="Times New Roman" w:cs="Times New Roman"/>
          <w:color w:val="auto"/>
          <w:highlight w:val="none"/>
        </w:rPr>
        <w:t>生产过程中发生的各种环境污染事故的调查及应急处理；</w:t>
      </w:r>
    </w:p>
    <w:p w14:paraId="6409E0C7">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（10）负责</w:t>
      </w:r>
      <w:r>
        <w:rPr>
          <w:rFonts w:hint="default" w:ascii="Times New Roman" w:hAnsi="Times New Roman" w:cs="Times New Roman"/>
          <w:color w:val="auto"/>
          <w:highlight w:val="none"/>
          <w:lang w:eastAsia="zh-CN"/>
        </w:rPr>
        <w:t>建设单位</w:t>
      </w:r>
      <w:r>
        <w:rPr>
          <w:rFonts w:hint="default" w:ascii="Times New Roman" w:hAnsi="Times New Roman" w:cs="Times New Roman"/>
          <w:color w:val="auto"/>
          <w:highlight w:val="none"/>
        </w:rPr>
        <w:t>其他日常环境管理工作。</w:t>
      </w:r>
    </w:p>
    <w:p w14:paraId="51E9BE59">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（11）积极配合当地环保部门的环境管理和环境监测工作。</w:t>
      </w:r>
    </w:p>
    <w:p w14:paraId="390AD6DA">
      <w:pPr>
        <w:pStyle w:val="4"/>
        <w:bidi w:val="0"/>
        <w:rPr>
          <w:rFonts w:hint="default"/>
          <w:lang w:val="en-US" w:eastAsia="zh-CN"/>
        </w:rPr>
      </w:pPr>
      <w:bookmarkStart w:id="622" w:name="_Toc27397"/>
      <w:bookmarkStart w:id="623" w:name="_Toc22883"/>
      <w:bookmarkStart w:id="624" w:name="_Toc8526"/>
      <w:bookmarkStart w:id="625" w:name="_Toc7683"/>
      <w:bookmarkStart w:id="626" w:name="_Toc11215"/>
      <w:bookmarkStart w:id="627" w:name="_Toc20477"/>
      <w:bookmarkStart w:id="628" w:name="_Toc3433"/>
      <w:bookmarkStart w:id="629" w:name="_Toc23246"/>
      <w:r>
        <w:rPr>
          <w:rFonts w:hint="default"/>
          <w:lang w:val="en-US" w:eastAsia="zh-CN"/>
        </w:rPr>
        <w:t>环境管理内容</w:t>
      </w:r>
      <w:bookmarkEnd w:id="622"/>
      <w:bookmarkEnd w:id="623"/>
      <w:bookmarkEnd w:id="624"/>
      <w:bookmarkEnd w:id="625"/>
      <w:bookmarkEnd w:id="626"/>
      <w:bookmarkEnd w:id="627"/>
      <w:bookmarkEnd w:id="628"/>
      <w:bookmarkEnd w:id="629"/>
    </w:p>
    <w:p w14:paraId="71DAEF3E">
      <w:pPr>
        <w:bidi w:val="0"/>
        <w:rPr>
          <w:rFonts w:hint="default" w:ascii="Times New Roman" w:hAnsi="Times New Roman" w:cs="Times New Roman"/>
          <w:color w:val="auto"/>
          <w:highlight w:val="none"/>
        </w:rPr>
      </w:pPr>
      <w:bookmarkStart w:id="630" w:name="_Toc8182"/>
      <w:bookmarkStart w:id="631" w:name="_Toc16448"/>
      <w:bookmarkStart w:id="632" w:name="_Toc9726"/>
      <w:bookmarkStart w:id="633" w:name="_Toc5629"/>
      <w:bookmarkStart w:id="634" w:name="_Toc22811"/>
      <w:r>
        <w:rPr>
          <w:rFonts w:hint="default" w:ascii="Times New Roman" w:hAnsi="Times New Roman" w:cs="Times New Roman"/>
          <w:color w:val="auto"/>
          <w:highlight w:val="none"/>
        </w:rPr>
        <w:t>1、施工期环境管理内容</w:t>
      </w:r>
      <w:bookmarkEnd w:id="630"/>
      <w:bookmarkEnd w:id="631"/>
      <w:bookmarkEnd w:id="632"/>
      <w:bookmarkEnd w:id="633"/>
      <w:bookmarkEnd w:id="634"/>
    </w:p>
    <w:p w14:paraId="47B144F8">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w:t>
      </w:r>
      <w:r>
        <w:rPr>
          <w:rFonts w:hint="default" w:ascii="Times New Roman" w:hAnsi="Times New Roman" w:cs="Times New Roman"/>
          <w:color w:val="auto"/>
          <w:highlight w:val="none"/>
          <w:lang w:eastAsia="zh-CN"/>
        </w:rPr>
        <w:t>新疆采虹矿业投资有限公司</w:t>
      </w:r>
      <w:r>
        <w:rPr>
          <w:rFonts w:hint="default" w:ascii="Times New Roman" w:hAnsi="Times New Roman" w:cs="Times New Roman"/>
          <w:color w:val="auto"/>
          <w:highlight w:val="none"/>
        </w:rPr>
        <w:t>应与</w:t>
      </w:r>
      <w:r>
        <w:rPr>
          <w:rFonts w:hint="default" w:ascii="Times New Roman" w:hAnsi="Times New Roman" w:cs="Times New Roman"/>
          <w:color w:val="auto"/>
          <w:highlight w:val="none"/>
          <w:lang w:val="en-US" w:eastAsia="zh-CN"/>
        </w:rPr>
        <w:t>本次环评</w:t>
      </w:r>
      <w:r>
        <w:rPr>
          <w:rFonts w:hint="default" w:ascii="Times New Roman" w:hAnsi="Times New Roman" w:cs="Times New Roman"/>
          <w:color w:val="auto"/>
          <w:highlight w:val="none"/>
        </w:rPr>
        <w:t>项目的施工单位协商，将施工期环境保护责任纳入双方合同文本，要求施工单位认真落实施工的环境保护措施。</w:t>
      </w:r>
    </w:p>
    <w:p w14:paraId="755E0492">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（2）项目建设区生态环境较为脆弱，施工单位</w:t>
      </w:r>
      <w:r>
        <w:rPr>
          <w:rFonts w:hint="default" w:ascii="Times New Roman" w:hAnsi="Times New Roman" w:cs="Times New Roman"/>
          <w:color w:val="auto"/>
          <w:highlight w:val="none"/>
          <w:lang w:val="en-US" w:eastAsia="zh-CN"/>
        </w:rPr>
        <w:t>须</w:t>
      </w:r>
      <w:r>
        <w:rPr>
          <w:rFonts w:hint="default" w:ascii="Times New Roman" w:hAnsi="Times New Roman" w:cs="Times New Roman"/>
          <w:color w:val="auto"/>
          <w:highlight w:val="none"/>
        </w:rPr>
        <w:t>严格按照环评报告书及批复要求</w:t>
      </w:r>
      <w:r>
        <w:rPr>
          <w:rFonts w:hint="default" w:ascii="Times New Roman" w:hAnsi="Times New Roman" w:cs="Times New Roman"/>
          <w:color w:val="auto"/>
          <w:highlight w:val="none"/>
          <w:lang w:val="en-US" w:eastAsia="zh-CN"/>
        </w:rPr>
        <w:t>进行合理施工</w:t>
      </w:r>
      <w:r>
        <w:rPr>
          <w:rFonts w:hint="default" w:ascii="Times New Roman" w:hAnsi="Times New Roman" w:cs="Times New Roman"/>
          <w:color w:val="auto"/>
          <w:highlight w:val="none"/>
        </w:rPr>
        <w:t>，尽最大可能地减少地表扰动面积。</w:t>
      </w:r>
    </w:p>
    <w:p w14:paraId="18A80FC6">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（3）施工单位应配备专职环境管理人员，负责各类污染源的现场监控和管理，尤其是应严格控制高噪声、高振动施工设备的施工时间；严格限制粉状物料的露天堆放；严格控制进出施工场地车辆物料遗撒。</w:t>
      </w:r>
    </w:p>
    <w:p w14:paraId="65537D68">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（4）专职环境管理人员应做好文明施工的宣传工作，借助黑板报、宣传栏等工具对施工工人进行环境保护教育。</w:t>
      </w:r>
    </w:p>
    <w:p w14:paraId="14D1168D">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（5）工程施工单位应自觉接受</w:t>
      </w:r>
      <w:r>
        <w:rPr>
          <w:rFonts w:hint="default" w:ascii="Times New Roman" w:hAnsi="Times New Roman" w:cs="Times New Roman"/>
          <w:color w:val="auto"/>
          <w:highlight w:val="none"/>
          <w:lang w:eastAsia="zh-CN"/>
        </w:rPr>
        <w:t>生态环境管理部门</w:t>
      </w:r>
      <w:r>
        <w:rPr>
          <w:rFonts w:hint="default" w:ascii="Times New Roman" w:hAnsi="Times New Roman" w:cs="Times New Roman"/>
          <w:color w:val="auto"/>
          <w:highlight w:val="none"/>
        </w:rPr>
        <w:t>的监督指导，主动配合</w:t>
      </w:r>
      <w:r>
        <w:rPr>
          <w:rFonts w:hint="default" w:ascii="Times New Roman" w:hAnsi="Times New Roman" w:cs="Times New Roman"/>
          <w:color w:val="auto"/>
          <w:highlight w:val="none"/>
          <w:lang w:eastAsia="zh-CN"/>
        </w:rPr>
        <w:t>生态</w:t>
      </w:r>
      <w:r>
        <w:rPr>
          <w:rFonts w:hint="default" w:ascii="Times New Roman" w:hAnsi="Times New Roman" w:cs="Times New Roman"/>
          <w:color w:val="auto"/>
          <w:highlight w:val="none"/>
        </w:rPr>
        <w:t>环境主管部门搞好项目施工期的环境保护工作。</w:t>
      </w:r>
    </w:p>
    <w:p w14:paraId="0EDB0C98">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（6）</w:t>
      </w:r>
      <w:r>
        <w:rPr>
          <w:rFonts w:hint="default" w:ascii="Times New Roman" w:hAnsi="Times New Roman" w:cs="Times New Roman"/>
          <w:color w:val="auto"/>
          <w:highlight w:val="none"/>
          <w:lang w:val="en-US" w:eastAsia="zh-CN"/>
        </w:rPr>
        <w:t>建议</w:t>
      </w:r>
      <w:r>
        <w:rPr>
          <w:rFonts w:hint="default" w:ascii="Times New Roman" w:hAnsi="Times New Roman" w:cs="Times New Roman"/>
          <w:color w:val="auto"/>
          <w:highlight w:val="none"/>
        </w:rPr>
        <w:t>建设单位按有关施工招标程序设置环境监理，并在当地</w:t>
      </w:r>
      <w:r>
        <w:rPr>
          <w:rFonts w:hint="default" w:ascii="Times New Roman" w:hAnsi="Times New Roman" w:cs="Times New Roman"/>
          <w:color w:val="auto"/>
          <w:highlight w:val="none"/>
          <w:lang w:val="en-US" w:eastAsia="zh-CN"/>
        </w:rPr>
        <w:t>生态环境</w:t>
      </w:r>
      <w:r>
        <w:rPr>
          <w:rFonts w:hint="default" w:ascii="Times New Roman" w:hAnsi="Times New Roman" w:cs="Times New Roman"/>
          <w:color w:val="auto"/>
          <w:highlight w:val="none"/>
        </w:rPr>
        <w:t>部门的监督指导下，全面、规范地进行施工期的环境监理，以确保将施工期的生态环境影响降到最低。</w:t>
      </w:r>
    </w:p>
    <w:p w14:paraId="0EDD510A">
      <w:pPr>
        <w:bidi w:val="0"/>
        <w:rPr>
          <w:rFonts w:hint="default" w:ascii="Times New Roman" w:hAnsi="Times New Roman" w:cs="Times New Roman"/>
          <w:color w:val="auto"/>
          <w:highlight w:val="none"/>
        </w:rPr>
      </w:pPr>
      <w:bookmarkStart w:id="635" w:name="_Toc27943"/>
      <w:bookmarkStart w:id="636" w:name="_Toc4661"/>
      <w:bookmarkStart w:id="637" w:name="_Toc30533"/>
      <w:bookmarkStart w:id="638" w:name="_Toc19820"/>
      <w:bookmarkStart w:id="639" w:name="_Toc12052"/>
      <w:r>
        <w:rPr>
          <w:rFonts w:hint="default" w:ascii="Times New Roman" w:hAnsi="Times New Roman" w:cs="Times New Roman"/>
          <w:color w:val="auto"/>
          <w:highlight w:val="none"/>
        </w:rPr>
        <w:t>2、运营期环境管理内容</w:t>
      </w:r>
      <w:bookmarkEnd w:id="635"/>
      <w:bookmarkEnd w:id="636"/>
      <w:bookmarkEnd w:id="637"/>
      <w:bookmarkEnd w:id="638"/>
      <w:bookmarkEnd w:id="639"/>
    </w:p>
    <w:p w14:paraId="5CC352CD">
      <w:pPr>
        <w:bidi w:val="0"/>
        <w:rPr>
          <w:rFonts w:hint="default" w:ascii="Times New Roman" w:hAnsi="Times New Roman" w:cs="Times New Roman"/>
          <w:color w:val="auto"/>
          <w:highlight w:val="none"/>
        </w:rPr>
      </w:pPr>
      <w:bookmarkStart w:id="640" w:name="_Toc15720"/>
      <w:bookmarkStart w:id="641" w:name="_Toc15916"/>
      <w:bookmarkStart w:id="642" w:name="_Toc21543"/>
      <w:bookmarkStart w:id="643" w:name="_Toc23129"/>
      <w:bookmarkStart w:id="644" w:name="_Toc2793"/>
      <w:r>
        <w:rPr>
          <w:rFonts w:hint="default" w:ascii="Times New Roman" w:hAnsi="Times New Roman" w:cs="Times New Roman"/>
          <w:color w:val="auto"/>
          <w:highlight w:val="none"/>
        </w:rPr>
        <w:t>（1）公司领导管理内容</w:t>
      </w:r>
      <w:bookmarkEnd w:id="640"/>
      <w:bookmarkEnd w:id="641"/>
      <w:bookmarkEnd w:id="642"/>
      <w:bookmarkEnd w:id="643"/>
      <w:bookmarkEnd w:id="644"/>
    </w:p>
    <w:p w14:paraId="4D3D5989">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①负责贯彻国家环境保护法、环境保护方针和政策。</w:t>
      </w:r>
    </w:p>
    <w:p w14:paraId="042AAFCF">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②负责建立完整的环保机构，保证人员的落实。</w:t>
      </w:r>
    </w:p>
    <w:p w14:paraId="199957E0">
      <w:pPr>
        <w:bidi w:val="0"/>
        <w:rPr>
          <w:rFonts w:hint="default" w:ascii="Times New Roman" w:hAnsi="Times New Roman" w:cs="Times New Roman"/>
          <w:color w:val="auto"/>
          <w:highlight w:val="none"/>
        </w:rPr>
      </w:pPr>
      <w:bookmarkStart w:id="645" w:name="_Toc9853"/>
      <w:bookmarkStart w:id="646" w:name="_Toc11790"/>
      <w:bookmarkStart w:id="647" w:name="_Toc7718"/>
      <w:bookmarkStart w:id="648" w:name="_Toc4152"/>
      <w:bookmarkStart w:id="649" w:name="_Toc23581"/>
      <w:r>
        <w:rPr>
          <w:rFonts w:hint="default" w:ascii="Times New Roman" w:hAnsi="Times New Roman" w:cs="Times New Roman"/>
          <w:color w:val="auto"/>
          <w:highlight w:val="none"/>
        </w:rPr>
        <w:t>（2）</w:t>
      </w:r>
      <w:r>
        <w:rPr>
          <w:rFonts w:hint="default" w:ascii="Times New Roman" w:hAnsi="Times New Roman" w:cs="Times New Roman"/>
          <w:color w:val="auto"/>
          <w:highlight w:val="none"/>
          <w:lang w:eastAsia="zh-CN"/>
        </w:rPr>
        <w:t>安全环保部</w:t>
      </w:r>
      <w:r>
        <w:rPr>
          <w:rFonts w:hint="default" w:ascii="Times New Roman" w:hAnsi="Times New Roman" w:cs="Times New Roman"/>
          <w:color w:val="auto"/>
          <w:highlight w:val="none"/>
        </w:rPr>
        <w:t>管理内容</w:t>
      </w:r>
      <w:bookmarkEnd w:id="645"/>
      <w:bookmarkEnd w:id="646"/>
      <w:bookmarkEnd w:id="647"/>
      <w:bookmarkEnd w:id="648"/>
      <w:bookmarkEnd w:id="649"/>
    </w:p>
    <w:p w14:paraId="671DD629">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①贯彻公司或上级</w:t>
      </w:r>
      <w:r>
        <w:rPr>
          <w:rFonts w:hint="default" w:ascii="Times New Roman" w:hAnsi="Times New Roman" w:cs="Times New Roman"/>
          <w:color w:val="auto"/>
          <w:highlight w:val="none"/>
          <w:lang w:eastAsia="zh-CN"/>
        </w:rPr>
        <w:t>生态环境</w:t>
      </w:r>
      <w:r>
        <w:rPr>
          <w:rFonts w:hint="default" w:ascii="Times New Roman" w:hAnsi="Times New Roman" w:cs="Times New Roman"/>
          <w:color w:val="auto"/>
          <w:highlight w:val="none"/>
        </w:rPr>
        <w:t>有关的环保制度和规定。在公司领导下，做好生产区、办公区及其所属道路的绿化、美化工作。组织安排职工参加种草等绿化及生态恢复工作。</w:t>
      </w:r>
    </w:p>
    <w:p w14:paraId="4ABEB4E4">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②汇总、编报环保年度计划及规划，并监督、检查执行情况。</w:t>
      </w:r>
    </w:p>
    <w:p w14:paraId="75DD972B">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③</w:t>
      </w:r>
      <w:r>
        <w:rPr>
          <w:rFonts w:hint="default" w:ascii="Times New Roman" w:hAnsi="Times New Roman" w:cs="Times New Roman"/>
          <w:color w:val="auto"/>
          <w:highlight w:val="none"/>
        </w:rPr>
        <w:t>检查、督促各处室做好卫生、绿化工作。组织做好垃圾的定点堆放和清运工作。保证清洁人员按指定地段每日将道路清扫干净，控制路面扬尘、减少无组织排放。</w:t>
      </w:r>
    </w:p>
    <w:p w14:paraId="0F686D9D">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④制定环境质量控制指标，提出环保考核项目和经济承包有关奖罚规定。</w:t>
      </w:r>
    </w:p>
    <w:p w14:paraId="3AD9B3A4">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⑤参与污染事故调查，并向上级主管部门提出书面报告。</w:t>
      </w:r>
    </w:p>
    <w:p w14:paraId="4AAF8FCA">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⑥</w:t>
      </w:r>
      <w:r>
        <w:rPr>
          <w:rFonts w:hint="default" w:ascii="Times New Roman" w:hAnsi="Times New Roman" w:cs="Times New Roman"/>
          <w:color w:val="auto"/>
          <w:highlight w:val="none"/>
        </w:rPr>
        <w:t>对污染源进行监督管理，贯彻预防为主的方针，发现问题，及时向上级主管部门汇报，下达环保整改通知书，强化管理。</w:t>
      </w:r>
    </w:p>
    <w:p w14:paraId="0F274658">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⑦</w:t>
      </w:r>
      <w:r>
        <w:rPr>
          <w:rFonts w:hint="default" w:ascii="Times New Roman" w:hAnsi="Times New Roman" w:cs="Times New Roman"/>
          <w:color w:val="auto"/>
          <w:highlight w:val="none"/>
        </w:rPr>
        <w:t>对环境保护的先进经验、先进技术进行推广和应用。</w:t>
      </w:r>
    </w:p>
    <w:p w14:paraId="3EDC331B">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⑧</w:t>
      </w:r>
      <w:r>
        <w:rPr>
          <w:rFonts w:hint="default" w:ascii="Times New Roman" w:hAnsi="Times New Roman" w:cs="Times New Roman"/>
          <w:color w:val="auto"/>
          <w:highlight w:val="none"/>
        </w:rPr>
        <w:t>对环境监测技术资料进行整理、统计、上报和存档。</w:t>
      </w:r>
    </w:p>
    <w:p w14:paraId="1B4F4E5D">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⑨</w:t>
      </w:r>
      <w:r>
        <w:rPr>
          <w:rFonts w:hint="default" w:ascii="Times New Roman" w:hAnsi="Times New Roman" w:cs="Times New Roman"/>
          <w:color w:val="auto"/>
          <w:highlight w:val="none"/>
        </w:rPr>
        <w:t>监督公司内环保设备的日常运行情况，包括收尘设备、污水处理设备、噪声控制设备等，每月考核一次设备的运行情况，并负责对环保设备大、中修的质量验收。</w:t>
      </w:r>
    </w:p>
    <w:p w14:paraId="3191896A">
      <w:pPr>
        <w:bidi w:val="0"/>
        <w:rPr>
          <w:rFonts w:hint="default" w:ascii="Times New Roman" w:hAnsi="Times New Roman" w:cs="Times New Roman"/>
          <w:color w:val="auto"/>
          <w:highlight w:val="none"/>
        </w:rPr>
      </w:pPr>
      <w:bookmarkStart w:id="650" w:name="_Toc17927"/>
      <w:bookmarkStart w:id="651" w:name="_Toc15188"/>
      <w:bookmarkStart w:id="652" w:name="_Toc28354"/>
      <w:bookmarkStart w:id="653" w:name="_Toc4810"/>
      <w:bookmarkStart w:id="654" w:name="_Toc27171"/>
      <w:bookmarkStart w:id="655" w:name="_Toc321501717"/>
      <w:bookmarkStart w:id="656" w:name="_Toc8987"/>
      <w:bookmarkStart w:id="657" w:name="_Toc19637"/>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闭矿期</w:t>
      </w:r>
      <w:r>
        <w:rPr>
          <w:rFonts w:hint="default" w:ascii="Times New Roman" w:hAnsi="Times New Roman" w:cs="Times New Roman"/>
          <w:color w:val="auto"/>
          <w:highlight w:val="none"/>
        </w:rPr>
        <w:t>环境管理内容</w:t>
      </w:r>
      <w:bookmarkEnd w:id="650"/>
      <w:bookmarkEnd w:id="651"/>
      <w:bookmarkEnd w:id="652"/>
      <w:bookmarkEnd w:id="653"/>
      <w:bookmarkEnd w:id="654"/>
    </w:p>
    <w:p w14:paraId="154BC6C7">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闭矿期</w:t>
      </w:r>
      <w:r>
        <w:rPr>
          <w:rFonts w:hint="default" w:ascii="Times New Roman" w:hAnsi="Times New Roman" w:cs="Times New Roman"/>
          <w:color w:val="auto"/>
          <w:highlight w:val="none"/>
        </w:rPr>
        <w:t>各管理机构主要的管理内容是监督生态恢复工作的落实，矿山开采闭坑后必须按照矿山安全、地质恢复、环境保护工作的有关规定拆除无用的地面建筑物，将破坏的地表推平，对受破坏的地表恢复原貌等工作。</w:t>
      </w:r>
    </w:p>
    <w:p w14:paraId="386C8C2A">
      <w:pPr>
        <w:pStyle w:val="4"/>
        <w:bidi w:val="0"/>
        <w:rPr>
          <w:rFonts w:hint="default"/>
          <w:lang w:val="en-US" w:eastAsia="zh-CN"/>
        </w:rPr>
      </w:pPr>
      <w:bookmarkStart w:id="658" w:name="_Toc27907"/>
      <w:bookmarkStart w:id="659" w:name="_Toc23561"/>
      <w:bookmarkStart w:id="660" w:name="_Toc23284"/>
      <w:bookmarkStart w:id="661" w:name="_Toc8022"/>
      <w:bookmarkStart w:id="662" w:name="_Toc4516"/>
      <w:bookmarkStart w:id="663" w:name="_Toc25629"/>
      <w:bookmarkStart w:id="664" w:name="_Toc10501"/>
      <w:bookmarkStart w:id="665" w:name="_Toc18048"/>
      <w:bookmarkStart w:id="666" w:name="_Toc5597"/>
      <w:r>
        <w:rPr>
          <w:rFonts w:hint="default"/>
          <w:lang w:val="en-US" w:eastAsia="zh-CN"/>
        </w:rPr>
        <w:t>环境管理</w:t>
      </w:r>
      <w:bookmarkEnd w:id="595"/>
      <w:bookmarkEnd w:id="596"/>
      <w:bookmarkEnd w:id="597"/>
      <w:bookmarkEnd w:id="598"/>
      <w:bookmarkEnd w:id="599"/>
      <w:bookmarkEnd w:id="600"/>
      <w:bookmarkEnd w:id="601"/>
      <w:bookmarkEnd w:id="602"/>
      <w:bookmarkEnd w:id="603"/>
      <w:bookmarkEnd w:id="604"/>
      <w:bookmarkEnd w:id="605"/>
      <w:r>
        <w:rPr>
          <w:rFonts w:hint="default"/>
          <w:lang w:val="en-US" w:eastAsia="zh-CN"/>
        </w:rPr>
        <w:t>制度</w:t>
      </w:r>
      <w:bookmarkEnd w:id="606"/>
      <w:bookmarkEnd w:id="607"/>
      <w:bookmarkEnd w:id="655"/>
      <w:bookmarkEnd w:id="656"/>
      <w:bookmarkEnd w:id="657"/>
      <w:bookmarkEnd w:id="658"/>
      <w:bookmarkEnd w:id="659"/>
      <w:bookmarkEnd w:id="660"/>
      <w:bookmarkEnd w:id="661"/>
      <w:bookmarkEnd w:id="662"/>
      <w:bookmarkEnd w:id="663"/>
      <w:bookmarkEnd w:id="664"/>
      <w:bookmarkEnd w:id="665"/>
      <w:bookmarkEnd w:id="666"/>
    </w:p>
    <w:p w14:paraId="0C28522B">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建立健全必要的环境管理规章制度，并把它作为</w:t>
      </w:r>
      <w:r>
        <w:rPr>
          <w:rFonts w:hint="default" w:ascii="Times New Roman" w:hAnsi="Times New Roman" w:cs="Times New Roman"/>
          <w:color w:val="auto"/>
          <w:highlight w:val="none"/>
          <w:lang w:eastAsia="zh-CN"/>
        </w:rPr>
        <w:t>建设单位</w:t>
      </w:r>
      <w:r>
        <w:rPr>
          <w:rFonts w:hint="default" w:ascii="Times New Roman" w:hAnsi="Times New Roman" w:cs="Times New Roman"/>
          <w:color w:val="auto"/>
          <w:highlight w:val="none"/>
        </w:rPr>
        <w:t>领导和全体职工必须严格遵守的一种规范和准则，</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有规可循，执规必严</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是环境管理计划得以顺利实施的重要保证。各项规章制度要体现环境管理的任务、内容和准则，使环境管理的特点和要求渗透到</w:t>
      </w:r>
      <w:r>
        <w:rPr>
          <w:rFonts w:hint="default" w:ascii="Times New Roman" w:hAnsi="Times New Roman" w:cs="Times New Roman"/>
          <w:color w:val="auto"/>
          <w:highlight w:val="none"/>
          <w:lang w:eastAsia="zh-CN"/>
        </w:rPr>
        <w:t>建设单位</w:t>
      </w:r>
      <w:r>
        <w:rPr>
          <w:rFonts w:hint="default" w:ascii="Times New Roman" w:hAnsi="Times New Roman" w:cs="Times New Roman"/>
          <w:color w:val="auto"/>
          <w:highlight w:val="none"/>
        </w:rPr>
        <w:t>的各项管理工作之中。</w:t>
      </w:r>
    </w:p>
    <w:p w14:paraId="3AE4A046">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最基本的环境管理制度有如下几个方面：</w:t>
      </w:r>
    </w:p>
    <w:p w14:paraId="6319AB38">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（1）环境保护</w:t>
      </w:r>
      <w:r>
        <w:rPr>
          <w:rFonts w:hint="default" w:ascii="Times New Roman" w:hAnsi="Times New Roman" w:cs="Times New Roman"/>
          <w:color w:val="auto"/>
          <w:highlight w:val="none"/>
          <w:lang w:eastAsia="zh-CN"/>
        </w:rPr>
        <w:t>管理条例</w:t>
      </w:r>
      <w:r>
        <w:rPr>
          <w:rFonts w:hint="default" w:ascii="Times New Roman" w:hAnsi="Times New Roman" w:cs="Times New Roman"/>
          <w:color w:val="auto"/>
          <w:highlight w:val="none"/>
        </w:rPr>
        <w:t>；</w:t>
      </w:r>
    </w:p>
    <w:p w14:paraId="4CC943B0">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（2）环境质量管理规程；</w:t>
      </w:r>
    </w:p>
    <w:p w14:paraId="5A67374B">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（3）环境管理的经济责任制；</w:t>
      </w:r>
    </w:p>
    <w:p w14:paraId="01AF00FD">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（4）环境保护业务管理制度；</w:t>
      </w:r>
    </w:p>
    <w:p w14:paraId="6928A163">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（5）环境管理岗位责任制；</w:t>
      </w:r>
    </w:p>
    <w:p w14:paraId="6038CB8E">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（6）环境技术管理规程；</w:t>
      </w:r>
    </w:p>
    <w:p w14:paraId="64418208">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（7）环境保护考核制度；</w:t>
      </w:r>
    </w:p>
    <w:p w14:paraId="638B52DF">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（8）污染物防治、控制措施及达标排放实施办法；</w:t>
      </w:r>
    </w:p>
    <w:p w14:paraId="19357AF7">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（9）环境污染事故管理规定；</w:t>
      </w:r>
    </w:p>
    <w:p w14:paraId="7D1A06BE">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（10）清洁生产</w:t>
      </w:r>
      <w:r>
        <w:rPr>
          <w:rFonts w:hint="default" w:ascii="Times New Roman" w:hAnsi="Times New Roman" w:cs="Times New Roman"/>
          <w:color w:val="auto"/>
          <w:highlight w:val="none"/>
          <w:lang w:eastAsia="zh-CN"/>
        </w:rPr>
        <w:t>审核</w:t>
      </w:r>
      <w:r>
        <w:rPr>
          <w:rFonts w:hint="default" w:ascii="Times New Roman" w:hAnsi="Times New Roman" w:cs="Times New Roman"/>
          <w:color w:val="auto"/>
          <w:highlight w:val="none"/>
        </w:rPr>
        <w:t>制度。</w:t>
      </w:r>
    </w:p>
    <w:p w14:paraId="1BA58ABC">
      <w:pPr>
        <w:pStyle w:val="4"/>
        <w:bidi w:val="0"/>
        <w:rPr>
          <w:rFonts w:hint="default"/>
          <w:lang w:val="en-US" w:eastAsia="zh-CN"/>
        </w:rPr>
      </w:pPr>
      <w:bookmarkStart w:id="667" w:name="bookmark43"/>
      <w:bookmarkEnd w:id="667"/>
      <w:bookmarkStart w:id="668" w:name="8.3排污口规范化管理"/>
      <w:bookmarkEnd w:id="668"/>
      <w:bookmarkStart w:id="669" w:name="_Toc10222"/>
      <w:r>
        <w:rPr>
          <w:rFonts w:hint="default"/>
          <w:lang w:val="en-US" w:eastAsia="zh-CN"/>
        </w:rPr>
        <w:t>排污口规范化管理</w:t>
      </w:r>
      <w:bookmarkEnd w:id="669"/>
    </w:p>
    <w:p w14:paraId="204240CF">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排污口是</w:t>
      </w:r>
      <w:r>
        <w:rPr>
          <w:rFonts w:hint="default" w:ascii="Times New Roman" w:hAnsi="Times New Roman" w:cs="Times New Roman"/>
          <w:color w:val="auto"/>
          <w:highlight w:val="none"/>
          <w:lang w:eastAsia="zh-CN"/>
        </w:rPr>
        <w:t>建设单位</w:t>
      </w:r>
      <w:r>
        <w:rPr>
          <w:rFonts w:hint="default" w:ascii="Times New Roman" w:hAnsi="Times New Roman" w:cs="Times New Roman"/>
          <w:color w:val="auto"/>
          <w:highlight w:val="none"/>
        </w:rPr>
        <w:t>污染物进入环境、污染环境的通道，强化排污口的管理是实施污染物总量控制的基础工作之一，也是区域环境管理逐步实现污染物排放科学化、定量化的重要手段。具体管理原则如下：</w:t>
      </w:r>
    </w:p>
    <w:p w14:paraId="34DFB47C">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（1）向环境排放的污染物的排放口必须规范化；</w:t>
      </w:r>
    </w:p>
    <w:p w14:paraId="01CAFD87">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（2）排污口应便于采样与计量监测，便于日常现场监督检查；</w:t>
      </w:r>
    </w:p>
    <w:p w14:paraId="2863C029">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（3）如实</w:t>
      </w:r>
      <w:r>
        <w:rPr>
          <w:rFonts w:hint="default" w:ascii="Times New Roman" w:hAnsi="Times New Roman" w:cs="Times New Roman"/>
          <w:color w:val="auto"/>
          <w:highlight w:val="none"/>
          <w:lang w:eastAsia="zh-CN"/>
        </w:rPr>
        <w:t>向生态环境</w:t>
      </w:r>
      <w:r>
        <w:rPr>
          <w:rFonts w:hint="default" w:ascii="Times New Roman" w:hAnsi="Times New Roman" w:cs="Times New Roman"/>
          <w:color w:val="auto"/>
          <w:highlight w:val="none"/>
          <w:lang w:val="en-US" w:eastAsia="zh-CN"/>
        </w:rPr>
        <w:t>主管</w:t>
      </w:r>
      <w:r>
        <w:rPr>
          <w:rFonts w:hint="default" w:ascii="Times New Roman" w:hAnsi="Times New Roman" w:cs="Times New Roman"/>
          <w:color w:val="auto"/>
          <w:highlight w:val="none"/>
          <w:lang w:eastAsia="zh-CN"/>
        </w:rPr>
        <w:t>部门</w:t>
      </w:r>
      <w:r>
        <w:rPr>
          <w:rFonts w:hint="default" w:ascii="Times New Roman" w:hAnsi="Times New Roman" w:cs="Times New Roman"/>
          <w:color w:val="auto"/>
          <w:highlight w:val="none"/>
        </w:rPr>
        <w:t>申报排污口数量、位置及所排放的主要污染物种类、数量、浓度、排放去向等情况；</w:t>
      </w:r>
    </w:p>
    <w:p w14:paraId="172976D7">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（4）废气排气装置应设置便于采样、监测的采样孔和采样平台，设置应符合《污染源监测技术规范》；</w:t>
      </w:r>
    </w:p>
    <w:p w14:paraId="6180EA61">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（5）固体废物堆存场地要有防扬散、防流失措施。</w:t>
      </w:r>
    </w:p>
    <w:p w14:paraId="26331AEA">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环境保护图形标志具体设置图形见表8.1-1。</w:t>
      </w:r>
    </w:p>
    <w:p w14:paraId="562455E3">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表8.1-1    环境保护图形标志设置图形表</w:t>
      </w:r>
    </w:p>
    <w:tbl>
      <w:tblPr>
        <w:tblStyle w:val="31"/>
        <w:tblW w:w="847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70"/>
        <w:gridCol w:w="1547"/>
        <w:gridCol w:w="1567"/>
        <w:gridCol w:w="1545"/>
        <w:gridCol w:w="1544"/>
        <w:gridCol w:w="1502"/>
      </w:tblGrid>
      <w:tr w14:paraId="6730A8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770" w:type="dxa"/>
            <w:tcBorders>
              <w:tl2br w:val="nil"/>
              <w:tr2bl w:val="nil"/>
            </w:tcBorders>
            <w:noWrap w:val="0"/>
            <w:vAlign w:val="center"/>
          </w:tcPr>
          <w:p w14:paraId="05E6754E">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排放口</w:t>
            </w:r>
          </w:p>
        </w:tc>
        <w:tc>
          <w:tcPr>
            <w:tcW w:w="1547" w:type="dxa"/>
            <w:tcBorders>
              <w:tl2br w:val="nil"/>
              <w:tr2bl w:val="nil"/>
            </w:tcBorders>
            <w:noWrap w:val="0"/>
            <w:vAlign w:val="center"/>
          </w:tcPr>
          <w:p w14:paraId="14ED2495">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噪声源</w:t>
            </w:r>
          </w:p>
        </w:tc>
        <w:tc>
          <w:tcPr>
            <w:tcW w:w="1567" w:type="dxa"/>
            <w:tcBorders>
              <w:tl2br w:val="nil"/>
              <w:tr2bl w:val="nil"/>
            </w:tcBorders>
            <w:noWrap w:val="0"/>
            <w:vAlign w:val="center"/>
          </w:tcPr>
          <w:p w14:paraId="2B4169C3">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废气排放口</w:t>
            </w:r>
          </w:p>
        </w:tc>
        <w:tc>
          <w:tcPr>
            <w:tcW w:w="1545" w:type="dxa"/>
            <w:tcBorders>
              <w:tl2br w:val="nil"/>
              <w:tr2bl w:val="nil"/>
            </w:tcBorders>
            <w:noWrap w:val="0"/>
            <w:vAlign w:val="center"/>
          </w:tcPr>
          <w:p w14:paraId="0D570B5C">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废水排放口</w:t>
            </w:r>
          </w:p>
        </w:tc>
        <w:tc>
          <w:tcPr>
            <w:tcW w:w="1544" w:type="dxa"/>
            <w:tcBorders>
              <w:tl2br w:val="nil"/>
              <w:tr2bl w:val="nil"/>
            </w:tcBorders>
            <w:noWrap w:val="0"/>
            <w:vAlign w:val="center"/>
          </w:tcPr>
          <w:p w14:paraId="7F41DB6A">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固废堆场</w:t>
            </w:r>
          </w:p>
        </w:tc>
        <w:tc>
          <w:tcPr>
            <w:tcW w:w="1502" w:type="dxa"/>
            <w:tcBorders>
              <w:tl2br w:val="nil"/>
              <w:tr2bl w:val="nil"/>
            </w:tcBorders>
            <w:noWrap w:val="0"/>
            <w:vAlign w:val="center"/>
          </w:tcPr>
          <w:p w14:paraId="611AFB6B">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危险废物</w:t>
            </w:r>
          </w:p>
        </w:tc>
      </w:tr>
      <w:tr w14:paraId="6EBAED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8" w:hRule="atLeast"/>
          <w:jc w:val="center"/>
        </w:trPr>
        <w:tc>
          <w:tcPr>
            <w:tcW w:w="770" w:type="dxa"/>
            <w:tcBorders>
              <w:tl2br w:val="nil"/>
              <w:tr2bl w:val="nil"/>
            </w:tcBorders>
            <w:noWrap w:val="0"/>
            <w:vAlign w:val="center"/>
          </w:tcPr>
          <w:p w14:paraId="6398790F">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图形符号</w:t>
            </w:r>
          </w:p>
        </w:tc>
        <w:tc>
          <w:tcPr>
            <w:tcW w:w="1547" w:type="dxa"/>
            <w:tcBorders>
              <w:tl2br w:val="nil"/>
              <w:tr2bl w:val="nil"/>
            </w:tcBorders>
            <w:noWrap w:val="0"/>
            <w:vAlign w:val="center"/>
          </w:tcPr>
          <w:p w14:paraId="6F5C1077">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anchor distT="0" distB="0" distL="114300" distR="114300" simplePos="0" relativeHeight="251663360" behindDoc="1" locked="0" layoutInCell="1" allowOverlap="1">
                  <wp:simplePos x="0" y="0"/>
                  <wp:positionH relativeFrom="column">
                    <wp:posOffset>-49530</wp:posOffset>
                  </wp:positionH>
                  <wp:positionV relativeFrom="paragraph">
                    <wp:posOffset>10795</wp:posOffset>
                  </wp:positionV>
                  <wp:extent cx="963930" cy="894080"/>
                  <wp:effectExtent l="0" t="0" r="1270" b="7620"/>
                  <wp:wrapNone/>
                  <wp:docPr id="17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2"/>
                          <pic:cNvPicPr>
                            <a:picLocks noChangeAspect="1"/>
                          </pic:cNvPicPr>
                        </pic:nvPicPr>
                        <pic:blipFill>
                          <a:blip r:embed="rId54"/>
                          <a:stretch>
                            <a:fillRect/>
                          </a:stretch>
                        </pic:blipFill>
                        <pic:spPr>
                          <a:xfrm>
                            <a:off x="0" y="0"/>
                            <a:ext cx="963930" cy="894080"/>
                          </a:xfrm>
                          <a:prstGeom prst="rect">
                            <a:avLst/>
                          </a:prstGeom>
                          <a:noFill/>
                          <a:ln>
                            <a:noFill/>
                          </a:ln>
                        </pic:spPr>
                      </pic:pic>
                    </a:graphicData>
                  </a:graphic>
                </wp:anchor>
              </w:drawing>
            </w:r>
          </w:p>
        </w:tc>
        <w:tc>
          <w:tcPr>
            <w:tcW w:w="1567" w:type="dxa"/>
            <w:tcBorders>
              <w:tl2br w:val="nil"/>
              <w:tr2bl w:val="nil"/>
            </w:tcBorders>
            <w:noWrap w:val="0"/>
            <w:vAlign w:val="center"/>
          </w:tcPr>
          <w:p w14:paraId="7C414541">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anchor distT="0" distB="0" distL="114300" distR="114300" simplePos="0" relativeHeight="251664384" behindDoc="1" locked="0" layoutInCell="1" allowOverlap="1">
                  <wp:simplePos x="0" y="0"/>
                  <wp:positionH relativeFrom="column">
                    <wp:posOffset>-50800</wp:posOffset>
                  </wp:positionH>
                  <wp:positionV relativeFrom="paragraph">
                    <wp:posOffset>5715</wp:posOffset>
                  </wp:positionV>
                  <wp:extent cx="977900" cy="895350"/>
                  <wp:effectExtent l="0" t="0" r="0" b="6350"/>
                  <wp:wrapNone/>
                  <wp:docPr id="1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3"/>
                          <pic:cNvPicPr>
                            <a:picLocks noChangeAspect="1"/>
                          </pic:cNvPicPr>
                        </pic:nvPicPr>
                        <pic:blipFill>
                          <a:blip r:embed="rId55"/>
                          <a:stretch>
                            <a:fillRect/>
                          </a:stretch>
                        </pic:blipFill>
                        <pic:spPr>
                          <a:xfrm>
                            <a:off x="0" y="0"/>
                            <a:ext cx="977900" cy="895350"/>
                          </a:xfrm>
                          <a:prstGeom prst="rect">
                            <a:avLst/>
                          </a:prstGeom>
                          <a:noFill/>
                          <a:ln>
                            <a:noFill/>
                          </a:ln>
                        </pic:spPr>
                      </pic:pic>
                    </a:graphicData>
                  </a:graphic>
                </wp:anchor>
              </w:drawing>
            </w:r>
            <w:r>
              <w:rPr>
                <w:rFonts w:hint="default" w:ascii="Times New Roman" w:hAnsi="Times New Roman" w:cs="Times New Roman"/>
                <w:color w:val="auto"/>
                <w:highlight w:val="none"/>
              </w:rPr>
              <w:drawing>
                <wp:anchor distT="0" distB="0" distL="114300" distR="114300" simplePos="0" relativeHeight="251665408" behindDoc="1" locked="0" layoutInCell="1" allowOverlap="1">
                  <wp:simplePos x="0" y="0"/>
                  <wp:positionH relativeFrom="column">
                    <wp:posOffset>925195</wp:posOffset>
                  </wp:positionH>
                  <wp:positionV relativeFrom="paragraph">
                    <wp:posOffset>9525</wp:posOffset>
                  </wp:positionV>
                  <wp:extent cx="970915" cy="902970"/>
                  <wp:effectExtent l="0" t="0" r="6985" b="11430"/>
                  <wp:wrapNone/>
                  <wp:docPr id="17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21"/>
                          <pic:cNvPicPr>
                            <a:picLocks noChangeAspect="1"/>
                          </pic:cNvPicPr>
                        </pic:nvPicPr>
                        <pic:blipFill>
                          <a:blip r:embed="rId56"/>
                          <a:stretch>
                            <a:fillRect/>
                          </a:stretch>
                        </pic:blipFill>
                        <pic:spPr>
                          <a:xfrm>
                            <a:off x="0" y="0"/>
                            <a:ext cx="970915" cy="902970"/>
                          </a:xfrm>
                          <a:prstGeom prst="rect">
                            <a:avLst/>
                          </a:prstGeom>
                          <a:noFill/>
                          <a:ln>
                            <a:noFill/>
                          </a:ln>
                        </pic:spPr>
                      </pic:pic>
                    </a:graphicData>
                  </a:graphic>
                </wp:anchor>
              </w:drawing>
            </w:r>
          </w:p>
        </w:tc>
        <w:tc>
          <w:tcPr>
            <w:tcW w:w="1545" w:type="dxa"/>
            <w:tcBorders>
              <w:tl2br w:val="nil"/>
              <w:tr2bl w:val="nil"/>
            </w:tcBorders>
            <w:noWrap w:val="0"/>
            <w:vAlign w:val="center"/>
          </w:tcPr>
          <w:p w14:paraId="5FCA66AF">
            <w:pPr>
              <w:pStyle w:val="48"/>
              <w:bidi w:val="0"/>
              <w:rPr>
                <w:rFonts w:hint="default" w:ascii="Times New Roman" w:hAnsi="Times New Roman" w:cs="Times New Roman"/>
                <w:color w:val="auto"/>
                <w:highlight w:val="none"/>
              </w:rPr>
            </w:pPr>
          </w:p>
        </w:tc>
        <w:tc>
          <w:tcPr>
            <w:tcW w:w="1544" w:type="dxa"/>
            <w:tcBorders>
              <w:tl2br w:val="nil"/>
              <w:tr2bl w:val="nil"/>
            </w:tcBorders>
            <w:noWrap w:val="0"/>
            <w:vAlign w:val="center"/>
          </w:tcPr>
          <w:p w14:paraId="5611737F">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anchor distT="0" distB="0" distL="114300" distR="114300" simplePos="0" relativeHeight="251666432" behindDoc="1" locked="0" layoutInCell="1" allowOverlap="1">
                  <wp:simplePos x="0" y="0"/>
                  <wp:positionH relativeFrom="column">
                    <wp:posOffset>-55245</wp:posOffset>
                  </wp:positionH>
                  <wp:positionV relativeFrom="paragraph">
                    <wp:posOffset>13970</wp:posOffset>
                  </wp:positionV>
                  <wp:extent cx="958215" cy="892810"/>
                  <wp:effectExtent l="0" t="0" r="6985" b="8890"/>
                  <wp:wrapNone/>
                  <wp:docPr id="18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5"/>
                          <pic:cNvPicPr>
                            <a:picLocks noChangeAspect="1"/>
                          </pic:cNvPicPr>
                        </pic:nvPicPr>
                        <pic:blipFill>
                          <a:blip r:embed="rId57"/>
                          <a:stretch>
                            <a:fillRect/>
                          </a:stretch>
                        </pic:blipFill>
                        <pic:spPr>
                          <a:xfrm>
                            <a:off x="0" y="0"/>
                            <a:ext cx="958215" cy="892810"/>
                          </a:xfrm>
                          <a:prstGeom prst="rect">
                            <a:avLst/>
                          </a:prstGeom>
                          <a:noFill/>
                          <a:ln>
                            <a:noFill/>
                          </a:ln>
                        </pic:spPr>
                      </pic:pic>
                    </a:graphicData>
                  </a:graphic>
                </wp:anchor>
              </w:drawing>
            </w:r>
          </w:p>
        </w:tc>
        <w:tc>
          <w:tcPr>
            <w:tcW w:w="1502" w:type="dxa"/>
            <w:tcBorders>
              <w:tl2br w:val="nil"/>
              <w:tr2bl w:val="nil"/>
            </w:tcBorders>
            <w:noWrap w:val="0"/>
            <w:vAlign w:val="center"/>
          </w:tcPr>
          <w:p w14:paraId="20DE2E00">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anchor distT="0" distB="0" distL="114300" distR="114300" simplePos="0" relativeHeight="251667456" behindDoc="1" locked="0" layoutInCell="1" allowOverlap="1">
                  <wp:simplePos x="0" y="0"/>
                  <wp:positionH relativeFrom="column">
                    <wp:posOffset>-27305</wp:posOffset>
                  </wp:positionH>
                  <wp:positionV relativeFrom="paragraph">
                    <wp:posOffset>26035</wp:posOffset>
                  </wp:positionV>
                  <wp:extent cx="883920" cy="824865"/>
                  <wp:effectExtent l="0" t="0" r="5080" b="635"/>
                  <wp:wrapNone/>
                  <wp:docPr id="18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6"/>
                          <pic:cNvPicPr>
                            <a:picLocks noChangeAspect="1"/>
                          </pic:cNvPicPr>
                        </pic:nvPicPr>
                        <pic:blipFill>
                          <a:blip r:embed="rId58"/>
                          <a:stretch>
                            <a:fillRect/>
                          </a:stretch>
                        </pic:blipFill>
                        <pic:spPr>
                          <a:xfrm>
                            <a:off x="0" y="0"/>
                            <a:ext cx="883920" cy="824865"/>
                          </a:xfrm>
                          <a:prstGeom prst="rect">
                            <a:avLst/>
                          </a:prstGeom>
                          <a:noFill/>
                          <a:ln>
                            <a:noFill/>
                          </a:ln>
                        </pic:spPr>
                      </pic:pic>
                    </a:graphicData>
                  </a:graphic>
                </wp:anchor>
              </w:drawing>
            </w:r>
          </w:p>
        </w:tc>
      </w:tr>
      <w:tr w14:paraId="53AEE8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770" w:type="dxa"/>
            <w:tcBorders>
              <w:tl2br w:val="nil"/>
              <w:tr2bl w:val="nil"/>
            </w:tcBorders>
            <w:noWrap w:val="0"/>
            <w:vAlign w:val="center"/>
          </w:tcPr>
          <w:p w14:paraId="3AFBFB8F">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背景颜色</w:t>
            </w:r>
          </w:p>
        </w:tc>
        <w:tc>
          <w:tcPr>
            <w:tcW w:w="1547" w:type="dxa"/>
            <w:tcBorders>
              <w:tl2br w:val="nil"/>
              <w:tr2bl w:val="nil"/>
            </w:tcBorders>
            <w:noWrap w:val="0"/>
            <w:vAlign w:val="center"/>
          </w:tcPr>
          <w:p w14:paraId="570B0860">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绿色</w:t>
            </w:r>
          </w:p>
        </w:tc>
        <w:tc>
          <w:tcPr>
            <w:tcW w:w="1567" w:type="dxa"/>
            <w:tcBorders>
              <w:tl2br w:val="nil"/>
              <w:tr2bl w:val="nil"/>
            </w:tcBorders>
            <w:noWrap w:val="0"/>
            <w:vAlign w:val="center"/>
          </w:tcPr>
          <w:p w14:paraId="19C7EA08">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绿色</w:t>
            </w:r>
          </w:p>
        </w:tc>
        <w:tc>
          <w:tcPr>
            <w:tcW w:w="1545" w:type="dxa"/>
            <w:tcBorders>
              <w:tl2br w:val="nil"/>
              <w:tr2bl w:val="nil"/>
            </w:tcBorders>
            <w:noWrap w:val="0"/>
            <w:vAlign w:val="center"/>
          </w:tcPr>
          <w:p w14:paraId="3A077E39">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绿色</w:t>
            </w:r>
          </w:p>
        </w:tc>
        <w:tc>
          <w:tcPr>
            <w:tcW w:w="1544" w:type="dxa"/>
            <w:tcBorders>
              <w:tl2br w:val="nil"/>
              <w:tr2bl w:val="nil"/>
            </w:tcBorders>
            <w:noWrap w:val="0"/>
            <w:vAlign w:val="center"/>
          </w:tcPr>
          <w:p w14:paraId="5DA97E71">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绿色</w:t>
            </w:r>
          </w:p>
        </w:tc>
        <w:tc>
          <w:tcPr>
            <w:tcW w:w="1502" w:type="dxa"/>
            <w:tcBorders>
              <w:tl2br w:val="nil"/>
              <w:tr2bl w:val="nil"/>
            </w:tcBorders>
            <w:noWrap w:val="0"/>
            <w:vAlign w:val="center"/>
          </w:tcPr>
          <w:p w14:paraId="29B43B26">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黄色</w:t>
            </w:r>
          </w:p>
        </w:tc>
      </w:tr>
      <w:tr w14:paraId="1EAFC4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770" w:type="dxa"/>
            <w:tcBorders>
              <w:tl2br w:val="nil"/>
              <w:tr2bl w:val="nil"/>
            </w:tcBorders>
            <w:noWrap w:val="0"/>
            <w:vAlign w:val="center"/>
          </w:tcPr>
          <w:p w14:paraId="634C364A">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图形颜色</w:t>
            </w:r>
          </w:p>
        </w:tc>
        <w:tc>
          <w:tcPr>
            <w:tcW w:w="1547" w:type="dxa"/>
            <w:tcBorders>
              <w:tl2br w:val="nil"/>
              <w:tr2bl w:val="nil"/>
            </w:tcBorders>
            <w:noWrap w:val="0"/>
            <w:vAlign w:val="center"/>
          </w:tcPr>
          <w:p w14:paraId="19DD2EA1">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白色</w:t>
            </w:r>
          </w:p>
        </w:tc>
        <w:tc>
          <w:tcPr>
            <w:tcW w:w="1567" w:type="dxa"/>
            <w:tcBorders>
              <w:tl2br w:val="nil"/>
              <w:tr2bl w:val="nil"/>
            </w:tcBorders>
            <w:noWrap w:val="0"/>
            <w:vAlign w:val="center"/>
          </w:tcPr>
          <w:p w14:paraId="084843C6">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白色</w:t>
            </w:r>
          </w:p>
        </w:tc>
        <w:tc>
          <w:tcPr>
            <w:tcW w:w="1545" w:type="dxa"/>
            <w:tcBorders>
              <w:tl2br w:val="nil"/>
              <w:tr2bl w:val="nil"/>
            </w:tcBorders>
            <w:noWrap w:val="0"/>
            <w:vAlign w:val="center"/>
          </w:tcPr>
          <w:p w14:paraId="17D1EFEB">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白色</w:t>
            </w:r>
          </w:p>
        </w:tc>
        <w:tc>
          <w:tcPr>
            <w:tcW w:w="1544" w:type="dxa"/>
            <w:tcBorders>
              <w:tl2br w:val="nil"/>
              <w:tr2bl w:val="nil"/>
            </w:tcBorders>
            <w:noWrap w:val="0"/>
            <w:vAlign w:val="center"/>
          </w:tcPr>
          <w:p w14:paraId="18518AA4">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白色</w:t>
            </w:r>
          </w:p>
        </w:tc>
        <w:tc>
          <w:tcPr>
            <w:tcW w:w="1502" w:type="dxa"/>
            <w:tcBorders>
              <w:tl2br w:val="nil"/>
              <w:tr2bl w:val="nil"/>
            </w:tcBorders>
            <w:noWrap w:val="0"/>
            <w:vAlign w:val="center"/>
          </w:tcPr>
          <w:p w14:paraId="2C510962">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黑色</w:t>
            </w:r>
          </w:p>
        </w:tc>
      </w:tr>
    </w:tbl>
    <w:p w14:paraId="759D0A56">
      <w:pPr>
        <w:pStyle w:val="4"/>
        <w:bidi w:val="0"/>
        <w:rPr>
          <w:rFonts w:hint="default"/>
          <w:color w:val="FF0000"/>
          <w:lang w:val="en-US" w:eastAsia="zh-CN"/>
        </w:rPr>
      </w:pPr>
      <w:bookmarkStart w:id="670" w:name="_Toc31158"/>
      <w:r>
        <w:rPr>
          <w:rFonts w:hint="default"/>
          <w:color w:val="FF0000"/>
          <w:lang w:val="en-US" w:eastAsia="zh-CN"/>
        </w:rPr>
        <w:t>环境信息披露</w:t>
      </w:r>
      <w:bookmarkEnd w:id="670"/>
    </w:p>
    <w:p w14:paraId="0B0553BB">
      <w:pPr>
        <w:bidi w:val="0"/>
        <w:rPr>
          <w:rFonts w:hint="default" w:ascii="Times New Roman" w:hAnsi="Times New Roman" w:cs="Times New Roman"/>
          <w:color w:val="FF0000"/>
          <w:highlight w:val="none"/>
        </w:rPr>
      </w:pPr>
      <w:r>
        <w:rPr>
          <w:rFonts w:hint="default" w:ascii="Times New Roman" w:hAnsi="Times New Roman" w:cs="Times New Roman"/>
          <w:color w:val="FF0000"/>
          <w:highlight w:val="none"/>
          <w:lang w:eastAsia="zh-CN"/>
        </w:rPr>
        <w:t>建设单位</w:t>
      </w:r>
      <w:r>
        <w:rPr>
          <w:rFonts w:hint="default" w:ascii="Times New Roman" w:hAnsi="Times New Roman" w:cs="Times New Roman"/>
          <w:color w:val="FF0000"/>
          <w:highlight w:val="none"/>
        </w:rPr>
        <w:t>是环境信息依法披露的责任主体。</w:t>
      </w:r>
      <w:r>
        <w:rPr>
          <w:rFonts w:hint="default" w:ascii="Times New Roman" w:hAnsi="Times New Roman" w:cs="Times New Roman"/>
          <w:color w:val="FF0000"/>
          <w:highlight w:val="none"/>
          <w:lang w:eastAsia="zh-CN"/>
        </w:rPr>
        <w:t>建设单位</w:t>
      </w:r>
      <w:r>
        <w:rPr>
          <w:rFonts w:hint="default" w:ascii="Times New Roman" w:hAnsi="Times New Roman" w:cs="Times New Roman"/>
          <w:color w:val="FF0000"/>
          <w:highlight w:val="none"/>
        </w:rPr>
        <w:t>应严格执行</w:t>
      </w:r>
      <w:r>
        <w:rPr>
          <w:rFonts w:ascii="宋体" w:hAnsi="宋体" w:eastAsia="宋体" w:cs="宋体"/>
          <w:b w:val="0"/>
          <w:bCs w:val="0"/>
          <w:color w:val="FF0000"/>
          <w:sz w:val="24"/>
          <w:szCs w:val="24"/>
        </w:rPr>
        <w:t>《企业环境信息依法披露管理办法》（生态环境部部令第</w:t>
      </w:r>
      <w:r>
        <w:rPr>
          <w:rFonts w:hint="default" w:ascii="TimesNewRomanPSMT" w:hAnsi="TimesNewRomanPSMT" w:eastAsia="TimesNewRomanPSMT" w:cs="TimesNewRomanPSMT"/>
          <w:b w:val="0"/>
          <w:bCs w:val="0"/>
          <w:color w:val="FF0000"/>
          <w:sz w:val="24"/>
          <w:szCs w:val="24"/>
        </w:rPr>
        <w:t>24</w:t>
      </w:r>
      <w:r>
        <w:rPr>
          <w:rFonts w:ascii="宋体" w:hAnsi="宋体" w:eastAsia="宋体" w:cs="宋体"/>
          <w:b w:val="0"/>
          <w:bCs w:val="0"/>
          <w:color w:val="FF0000"/>
          <w:sz w:val="24"/>
          <w:szCs w:val="24"/>
        </w:rPr>
        <w:t>号）、《企业环境信息依法披露格式准则》（环办综合〔</w:t>
      </w:r>
      <w:r>
        <w:rPr>
          <w:rFonts w:hint="default" w:ascii="TimesNewRomanPSMT" w:hAnsi="TimesNewRomanPSMT" w:eastAsia="TimesNewRomanPSMT" w:cs="TimesNewRomanPSMT"/>
          <w:b w:val="0"/>
          <w:bCs w:val="0"/>
          <w:color w:val="FF0000"/>
          <w:sz w:val="24"/>
          <w:szCs w:val="24"/>
        </w:rPr>
        <w:t>2021</w:t>
      </w:r>
      <w:r>
        <w:rPr>
          <w:rFonts w:ascii="宋体" w:hAnsi="宋体" w:eastAsia="宋体" w:cs="宋体"/>
          <w:b w:val="0"/>
          <w:bCs w:val="0"/>
          <w:color w:val="FF0000"/>
          <w:sz w:val="24"/>
          <w:szCs w:val="24"/>
        </w:rPr>
        <w:t>〕</w:t>
      </w:r>
      <w:r>
        <w:rPr>
          <w:rFonts w:hint="default" w:ascii="TimesNewRomanPSMT" w:hAnsi="TimesNewRomanPSMT" w:eastAsia="TimesNewRomanPSMT" w:cs="TimesNewRomanPSMT"/>
          <w:b w:val="0"/>
          <w:bCs w:val="0"/>
          <w:color w:val="FF0000"/>
          <w:sz w:val="24"/>
          <w:szCs w:val="24"/>
        </w:rPr>
        <w:t>32</w:t>
      </w:r>
      <w:r>
        <w:rPr>
          <w:rFonts w:ascii="宋体" w:hAnsi="宋体" w:eastAsia="宋体" w:cs="宋体"/>
          <w:b w:val="0"/>
          <w:bCs w:val="0"/>
          <w:color w:val="FF0000"/>
          <w:sz w:val="24"/>
          <w:szCs w:val="24"/>
        </w:rPr>
        <w:t>号）</w:t>
      </w:r>
      <w:r>
        <w:rPr>
          <w:rFonts w:hint="default" w:ascii="Times New Roman" w:hAnsi="Times New Roman" w:cs="Times New Roman"/>
          <w:color w:val="FF0000"/>
          <w:highlight w:val="none"/>
        </w:rPr>
        <w:t>的有关规定。</w:t>
      </w:r>
    </w:p>
    <w:p w14:paraId="682AB9F5">
      <w:pPr>
        <w:bidi w:val="0"/>
        <w:rPr>
          <w:rFonts w:hint="default" w:ascii="Times New Roman" w:hAnsi="Times New Roman" w:eastAsia="宋体" w:cs="Times New Roman"/>
          <w:color w:val="FF0000"/>
          <w:highlight w:val="none"/>
        </w:rPr>
      </w:pPr>
      <w:bookmarkStart w:id="671" w:name="_Toc6845"/>
      <w:bookmarkStart w:id="672" w:name="_Toc21827"/>
      <w:r>
        <w:rPr>
          <w:rFonts w:hint="eastAsia" w:ascii="Times New Roman" w:hAnsi="Times New Roman" w:eastAsia="宋体" w:cs="Times New Roman"/>
          <w:color w:val="FF0000"/>
          <w:highlight w:val="none"/>
          <w:lang w:val="en-US" w:eastAsia="zh-CN"/>
        </w:rPr>
        <w:t>（1）</w:t>
      </w:r>
      <w:r>
        <w:rPr>
          <w:rFonts w:hint="default" w:ascii="Times New Roman" w:hAnsi="Times New Roman" w:eastAsia="宋体" w:cs="Times New Roman"/>
          <w:color w:val="FF0000"/>
          <w:highlight w:val="none"/>
          <w:lang w:val="en-US" w:eastAsia="zh-CN"/>
        </w:rPr>
        <w:t>披露主体确认​</w:t>
      </w:r>
    </w:p>
    <w:p w14:paraId="1E238380">
      <w:pPr>
        <w:bidi w:val="0"/>
        <w:rPr>
          <w:rFonts w:hint="default" w:ascii="Times New Roman" w:hAnsi="Times New Roman" w:eastAsia="宋体" w:cs="Times New Roman"/>
          <w:color w:val="FF0000"/>
          <w:highlight w:val="none"/>
        </w:rPr>
      </w:pPr>
      <w:r>
        <w:rPr>
          <w:rFonts w:hint="default" w:ascii="Times New Roman" w:hAnsi="Times New Roman" w:eastAsia="宋体" w:cs="Times New Roman"/>
          <w:color w:val="FF0000"/>
          <w:highlight w:val="none"/>
          <w:lang w:val="en-US" w:eastAsia="zh-CN"/>
        </w:rPr>
        <w:t>若被纳入设区的市级生态环境主管部门年度披露企业名单，建设单位须依法披露。名单每年3月底前公布，公布前公示不少于十个工作日。​</w:t>
      </w:r>
    </w:p>
    <w:p w14:paraId="057F1205">
      <w:pPr>
        <w:bidi w:val="0"/>
        <w:rPr>
          <w:rFonts w:hint="default" w:ascii="Times New Roman" w:hAnsi="Times New Roman" w:eastAsia="宋体" w:cs="Times New Roman"/>
          <w:color w:val="FF0000"/>
          <w:highlight w:val="none"/>
        </w:rPr>
      </w:pPr>
      <w:r>
        <w:rPr>
          <w:rFonts w:hint="eastAsia" w:ascii="Times New Roman" w:hAnsi="Times New Roman" w:eastAsia="宋体" w:cs="Times New Roman"/>
          <w:color w:val="FF0000"/>
          <w:highlight w:val="none"/>
          <w:lang w:val="en-US" w:eastAsia="zh-CN"/>
        </w:rPr>
        <w:t>（2）</w:t>
      </w:r>
      <w:r>
        <w:rPr>
          <w:rFonts w:hint="default" w:ascii="Times New Roman" w:hAnsi="Times New Roman" w:eastAsia="宋体" w:cs="Times New Roman"/>
          <w:color w:val="FF0000"/>
          <w:highlight w:val="none"/>
          <w:lang w:val="en-US" w:eastAsia="zh-CN"/>
        </w:rPr>
        <w:t>披露内容​</w:t>
      </w:r>
    </w:p>
    <w:p w14:paraId="5D1F8E53">
      <w:pPr>
        <w:bidi w:val="0"/>
        <w:rPr>
          <w:rFonts w:hint="default" w:ascii="Times New Roman" w:hAnsi="Times New Roman" w:eastAsia="宋体" w:cs="Times New Roman"/>
          <w:color w:val="FF0000"/>
          <w:highlight w:val="none"/>
        </w:rPr>
      </w:pPr>
      <w:r>
        <w:rPr>
          <w:rFonts w:hint="default" w:ascii="Calibri" w:hAnsi="Calibri" w:eastAsia="宋体" w:cs="Calibri"/>
          <w:color w:val="FF0000"/>
          <w:highlight w:val="none"/>
          <w:lang w:val="en-US" w:eastAsia="zh-CN"/>
        </w:rPr>
        <w:t>①</w:t>
      </w:r>
      <w:r>
        <w:rPr>
          <w:rFonts w:hint="default" w:ascii="Times New Roman" w:hAnsi="Times New Roman" w:eastAsia="宋体" w:cs="Times New Roman"/>
          <w:color w:val="FF0000"/>
          <w:highlight w:val="none"/>
          <w:lang w:val="en-US" w:eastAsia="zh-CN"/>
        </w:rPr>
        <w:t>年度报告​</w:t>
      </w:r>
    </w:p>
    <w:p w14:paraId="0C28467C">
      <w:pPr>
        <w:bidi w:val="0"/>
        <w:rPr>
          <w:rFonts w:hint="default" w:ascii="Times New Roman" w:hAnsi="Times New Roman" w:eastAsia="宋体" w:cs="Times New Roman"/>
          <w:color w:val="FF0000"/>
          <w:highlight w:val="none"/>
        </w:rPr>
      </w:pPr>
      <w:r>
        <w:rPr>
          <w:rFonts w:hint="default" w:ascii="Times New Roman" w:hAnsi="Times New Roman" w:eastAsia="宋体" w:cs="Times New Roman"/>
          <w:color w:val="FF0000"/>
          <w:highlight w:val="none"/>
        </w:rPr>
        <w:t>企业基本信息：包括名称、地址、行业、联系方式等，明确企业性质、类别及主要产品、工艺。​</w:t>
      </w:r>
    </w:p>
    <w:p w14:paraId="5D0FBBB8">
      <w:pPr>
        <w:bidi w:val="0"/>
        <w:rPr>
          <w:rFonts w:hint="default" w:ascii="Times New Roman" w:hAnsi="Times New Roman" w:eastAsia="宋体" w:cs="Times New Roman"/>
          <w:color w:val="FF0000"/>
          <w:highlight w:val="none"/>
        </w:rPr>
      </w:pPr>
      <w:r>
        <w:rPr>
          <w:rFonts w:hint="default" w:ascii="Times New Roman" w:hAnsi="Times New Roman" w:eastAsia="宋体" w:cs="Times New Roman"/>
          <w:color w:val="FF0000"/>
          <w:highlight w:val="none"/>
        </w:rPr>
        <w:t>环境管理信息：披露环评批复、排污许可等行政许可信息；环境保护税缴纳及减免情况；环境污染责任保险、环保信用评价等级（若有）。​</w:t>
      </w:r>
    </w:p>
    <w:p w14:paraId="0D7D5454">
      <w:pPr>
        <w:bidi w:val="0"/>
        <w:rPr>
          <w:rFonts w:hint="default" w:ascii="Times New Roman" w:hAnsi="Times New Roman" w:eastAsia="宋体" w:cs="Times New Roman"/>
          <w:color w:val="FF0000"/>
          <w:highlight w:val="none"/>
        </w:rPr>
      </w:pPr>
      <w:r>
        <w:rPr>
          <w:rFonts w:hint="default" w:ascii="Times New Roman" w:hAnsi="Times New Roman" w:eastAsia="宋体" w:cs="Times New Roman"/>
          <w:color w:val="FF0000"/>
          <w:highlight w:val="none"/>
        </w:rPr>
        <w:t>污染物相关信息：列出污染防治设施及运行、第三方运维情况；说明排污口数量、污染物排放量、浓度及监测数据，无组织排放监测点位及排放情况，自行监测及第三方监测（若有）信息；披露工业固废、危险废物的产生、贮存、利用处置等信息；涉及有毒有害物质、噪声排放的，需披露相关监测数据。​</w:t>
      </w:r>
    </w:p>
    <w:p w14:paraId="3B9AA34B">
      <w:pPr>
        <w:bidi w:val="0"/>
        <w:rPr>
          <w:rFonts w:hint="default" w:ascii="Times New Roman" w:hAnsi="Times New Roman" w:eastAsia="宋体" w:cs="Times New Roman"/>
          <w:color w:val="FF0000"/>
          <w:highlight w:val="none"/>
        </w:rPr>
      </w:pPr>
      <w:r>
        <w:rPr>
          <w:rFonts w:hint="default" w:ascii="Times New Roman" w:hAnsi="Times New Roman" w:eastAsia="宋体" w:cs="Times New Roman"/>
          <w:color w:val="FF0000"/>
          <w:highlight w:val="none"/>
        </w:rPr>
        <w:t>应急与违法信息：披露突发环境事件应急预案、重污染天气应急响应（若适用）信息；若存在生态环境违法行为，需说明违法事实及处罚情况。​</w:t>
      </w:r>
    </w:p>
    <w:p w14:paraId="5A90EB2B">
      <w:pPr>
        <w:bidi w:val="0"/>
        <w:rPr>
          <w:rFonts w:hint="default" w:ascii="Times New Roman" w:hAnsi="Times New Roman" w:eastAsia="宋体" w:cs="Times New Roman"/>
          <w:color w:val="FF0000"/>
          <w:highlight w:val="none"/>
        </w:rPr>
      </w:pPr>
      <w:r>
        <w:rPr>
          <w:rFonts w:hint="default" w:ascii="Times New Roman" w:hAnsi="Times New Roman" w:eastAsia="宋体" w:cs="Times New Roman"/>
          <w:color w:val="FF0000"/>
          <w:highlight w:val="none"/>
        </w:rPr>
        <w:t>其他法定信息：按国家及地方规定需披露的其他信息。​</w:t>
      </w:r>
    </w:p>
    <w:p w14:paraId="466D0866">
      <w:pPr>
        <w:bidi w:val="0"/>
        <w:rPr>
          <w:rFonts w:hint="default" w:ascii="Times New Roman" w:hAnsi="Times New Roman" w:eastAsia="宋体" w:cs="Times New Roman"/>
          <w:color w:val="FF0000"/>
          <w:highlight w:val="none"/>
        </w:rPr>
      </w:pPr>
      <w:r>
        <w:rPr>
          <w:rFonts w:hint="default" w:ascii="Calibri" w:hAnsi="Calibri" w:eastAsia="宋体" w:cs="Calibri"/>
          <w:color w:val="FF0000"/>
          <w:highlight w:val="none"/>
          <w:lang w:val="en-US" w:eastAsia="zh-CN"/>
        </w:rPr>
        <w:t>②</w:t>
      </w:r>
      <w:r>
        <w:rPr>
          <w:rFonts w:hint="default" w:ascii="Times New Roman" w:hAnsi="Times New Roman" w:eastAsia="宋体" w:cs="Times New Roman"/>
          <w:color w:val="FF0000"/>
          <w:highlight w:val="none"/>
          <w:lang w:val="en-US" w:eastAsia="zh-CN"/>
        </w:rPr>
        <w:t>临时报告​</w:t>
      </w:r>
    </w:p>
    <w:p w14:paraId="20B3F5A0">
      <w:pPr>
        <w:bidi w:val="0"/>
        <w:rPr>
          <w:rFonts w:hint="default" w:ascii="Times New Roman" w:hAnsi="Times New Roman" w:eastAsia="宋体" w:cs="Times New Roman"/>
          <w:color w:val="FF0000"/>
          <w:highlight w:val="none"/>
        </w:rPr>
      </w:pPr>
      <w:r>
        <w:rPr>
          <w:rFonts w:hint="default" w:ascii="Times New Roman" w:hAnsi="Times New Roman" w:eastAsia="宋体" w:cs="Times New Roman"/>
          <w:color w:val="FF0000"/>
          <w:highlight w:val="none"/>
          <w:lang w:val="en-US" w:eastAsia="zh-CN"/>
        </w:rPr>
        <w:t>发生生态环境行政许可变更、受行政处罚、相关人员被追责、突发环境事件等情况，需在收到法律文书或事件发生后五个工作日内披露；变更已披露信息的，需说明变更事项和理由。​</w:t>
      </w:r>
    </w:p>
    <w:p w14:paraId="783E09A8">
      <w:pPr>
        <w:bidi w:val="0"/>
        <w:rPr>
          <w:rFonts w:hint="default" w:ascii="Times New Roman" w:hAnsi="Times New Roman" w:eastAsia="宋体" w:cs="Times New Roman"/>
          <w:color w:val="FF0000"/>
          <w:highlight w:val="none"/>
        </w:rPr>
      </w:pPr>
      <w:r>
        <w:rPr>
          <w:rFonts w:hint="eastAsia" w:ascii="Times New Roman" w:hAnsi="Times New Roman" w:eastAsia="宋体" w:cs="Times New Roman"/>
          <w:color w:val="FF0000"/>
          <w:highlight w:val="none"/>
          <w:lang w:val="en-US" w:eastAsia="zh-CN"/>
        </w:rPr>
        <w:t>（3）</w:t>
      </w:r>
      <w:r>
        <w:rPr>
          <w:rFonts w:hint="default" w:ascii="Times New Roman" w:hAnsi="Times New Roman" w:eastAsia="宋体" w:cs="Times New Roman"/>
          <w:color w:val="FF0000"/>
          <w:highlight w:val="none"/>
          <w:lang w:val="en-US" w:eastAsia="zh-CN"/>
        </w:rPr>
        <w:t>披露时限​</w:t>
      </w:r>
    </w:p>
    <w:p w14:paraId="34296598">
      <w:pPr>
        <w:bidi w:val="0"/>
        <w:rPr>
          <w:rFonts w:hint="default" w:ascii="Times New Roman" w:hAnsi="Times New Roman" w:eastAsia="宋体" w:cs="Times New Roman"/>
          <w:color w:val="FF0000"/>
          <w:highlight w:val="none"/>
        </w:rPr>
      </w:pPr>
      <w:r>
        <w:rPr>
          <w:rFonts w:hint="default" w:ascii="Times New Roman" w:hAnsi="Times New Roman" w:eastAsia="宋体" w:cs="Times New Roman"/>
          <w:color w:val="FF0000"/>
          <w:highlight w:val="none"/>
          <w:lang w:val="en-US" w:eastAsia="zh-CN"/>
        </w:rPr>
        <w:t>每年3月15日前披露上一年度信息；名单公布前有需临时披露信息的，于名单公布后十个工作日内完成。​</w:t>
      </w:r>
    </w:p>
    <w:p w14:paraId="77CF7926">
      <w:pPr>
        <w:bidi w:val="0"/>
        <w:rPr>
          <w:rFonts w:hint="default" w:ascii="Times New Roman" w:hAnsi="Times New Roman" w:eastAsia="宋体" w:cs="Times New Roman"/>
          <w:color w:val="FF0000"/>
          <w:highlight w:val="none"/>
        </w:rPr>
      </w:pPr>
      <w:r>
        <w:rPr>
          <w:rFonts w:hint="eastAsia" w:ascii="Times New Roman" w:hAnsi="Times New Roman" w:eastAsia="宋体" w:cs="Times New Roman"/>
          <w:color w:val="FF0000"/>
          <w:highlight w:val="none"/>
          <w:lang w:val="en-US" w:eastAsia="zh-CN"/>
        </w:rPr>
        <w:t>（4）</w:t>
      </w:r>
      <w:r>
        <w:rPr>
          <w:rFonts w:hint="default" w:ascii="Times New Roman" w:hAnsi="Times New Roman" w:eastAsia="宋体" w:cs="Times New Roman"/>
          <w:color w:val="FF0000"/>
          <w:highlight w:val="none"/>
          <w:lang w:val="en-US" w:eastAsia="zh-CN"/>
        </w:rPr>
        <w:t>披露方式​</w:t>
      </w:r>
    </w:p>
    <w:p w14:paraId="70BD6BC4">
      <w:pPr>
        <w:bidi w:val="0"/>
        <w:rPr>
          <w:rFonts w:hint="default" w:ascii="Times New Roman" w:hAnsi="Times New Roman" w:eastAsia="宋体" w:cs="Times New Roman"/>
          <w:color w:val="FF0000"/>
          <w:highlight w:val="none"/>
        </w:rPr>
      </w:pPr>
      <w:r>
        <w:rPr>
          <w:rFonts w:hint="default" w:ascii="Times New Roman" w:hAnsi="Times New Roman" w:eastAsia="宋体" w:cs="Times New Roman"/>
          <w:color w:val="FF0000"/>
          <w:highlight w:val="none"/>
          <w:lang w:val="en-US" w:eastAsia="zh-CN"/>
        </w:rPr>
        <w:t>通过企业环境信息依法披露系统上传报告，确保信息真实、准确、完整、及时。建设单位应建立管理制度，自查自纠，学习法规避免漏报、错报。</w:t>
      </w:r>
    </w:p>
    <w:p w14:paraId="19639EB3">
      <w:pPr>
        <w:pStyle w:val="3"/>
        <w:bidi w:val="0"/>
        <w:rPr>
          <w:rFonts w:hint="default"/>
          <w:lang w:val="en-US" w:eastAsia="zh-CN"/>
        </w:rPr>
      </w:pPr>
      <w:r>
        <w:rPr>
          <w:rFonts w:hint="default"/>
          <w:lang w:val="en-US" w:eastAsia="zh-CN"/>
        </w:rPr>
        <w:t>施工期环境管理</w:t>
      </w:r>
      <w:bookmarkEnd w:id="671"/>
      <w:bookmarkEnd w:id="672"/>
    </w:p>
    <w:p w14:paraId="3DAC431C">
      <w:pPr>
        <w:pStyle w:val="4"/>
        <w:bidi w:val="0"/>
        <w:rPr>
          <w:rFonts w:hint="default"/>
          <w:lang w:val="en-US" w:eastAsia="zh-CN"/>
        </w:rPr>
      </w:pPr>
      <w:bookmarkStart w:id="673" w:name="_Toc12958"/>
      <w:bookmarkStart w:id="674" w:name="_Toc4706"/>
      <w:bookmarkStart w:id="675" w:name="_Toc21017"/>
      <w:bookmarkStart w:id="676" w:name="_Toc4186"/>
      <w:bookmarkStart w:id="677" w:name="_Toc23202"/>
      <w:bookmarkStart w:id="678" w:name="_Toc857"/>
      <w:bookmarkStart w:id="679" w:name="_Toc6168"/>
      <w:bookmarkStart w:id="680" w:name="_Toc4048"/>
      <w:bookmarkStart w:id="681" w:name="_Toc394997399"/>
      <w:bookmarkStart w:id="682" w:name="_Toc1338"/>
      <w:r>
        <w:rPr>
          <w:rFonts w:hint="default"/>
          <w:lang w:val="en-US" w:eastAsia="zh-CN"/>
        </w:rPr>
        <w:t>环境管理</w:t>
      </w:r>
      <w:bookmarkEnd w:id="673"/>
      <w:bookmarkEnd w:id="674"/>
      <w:bookmarkEnd w:id="675"/>
      <w:bookmarkEnd w:id="676"/>
      <w:bookmarkEnd w:id="677"/>
      <w:bookmarkEnd w:id="678"/>
      <w:bookmarkEnd w:id="679"/>
      <w:bookmarkEnd w:id="680"/>
      <w:bookmarkEnd w:id="681"/>
      <w:bookmarkEnd w:id="682"/>
    </w:p>
    <w:p w14:paraId="3F9E26A0">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项目业主或者施工承包方进行工程施工前，应将施工期的环境污染控制列入施工工程内容，并在工程开工前和施工过程中制定相应的环保防治措施和工程计划。设专人负责管理，培训工作人员，以正确的工作方法，控制施工中产生的不利环境影响；必要时，还需在监测和检查工程施工的环境影响和实施缓解措施方面进行培训，以确保项目施工各项环保控制措施的落实。工程建设单位有责任配合当地</w:t>
      </w:r>
      <w:r>
        <w:rPr>
          <w:rFonts w:hint="default" w:ascii="Times New Roman" w:hAnsi="Times New Roman" w:cs="Times New Roman"/>
          <w:color w:val="auto"/>
          <w:highlight w:val="none"/>
          <w:lang w:eastAsia="zh-CN"/>
        </w:rPr>
        <w:t>生态环境</w:t>
      </w:r>
      <w:r>
        <w:rPr>
          <w:rFonts w:hint="default" w:ascii="Times New Roman" w:hAnsi="Times New Roman" w:cs="Times New Roman"/>
          <w:color w:val="auto"/>
          <w:highlight w:val="none"/>
        </w:rPr>
        <w:t>主管</w:t>
      </w:r>
      <w:r>
        <w:rPr>
          <w:rFonts w:hint="default" w:ascii="Times New Roman" w:hAnsi="Times New Roman" w:cs="Times New Roman"/>
          <w:color w:val="auto"/>
          <w:highlight w:val="none"/>
          <w:lang w:val="en-US" w:eastAsia="zh-CN"/>
        </w:rPr>
        <w:t>部门</w:t>
      </w:r>
      <w:r>
        <w:rPr>
          <w:rFonts w:hint="default" w:ascii="Times New Roman" w:hAnsi="Times New Roman" w:cs="Times New Roman"/>
          <w:color w:val="auto"/>
          <w:highlight w:val="none"/>
        </w:rPr>
        <w:t>，对施工过程的环境影响进行环境监测，以保证施工期的环保措施得以完善和持续执行，使项目建设施工范围的环境质量得到充分有效保证。</w:t>
      </w:r>
    </w:p>
    <w:p w14:paraId="582373F0">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应采取以下措施：</w:t>
      </w:r>
    </w:p>
    <w:p w14:paraId="7364F7A4">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（1）在</w:t>
      </w:r>
      <w:r>
        <w:rPr>
          <w:rFonts w:hint="default" w:ascii="Times New Roman" w:hAnsi="Times New Roman" w:cs="Times New Roman"/>
          <w:color w:val="auto"/>
          <w:highlight w:val="none"/>
          <w:lang w:val="en-US" w:eastAsia="zh-CN"/>
        </w:rPr>
        <w:t>本次新建</w:t>
      </w:r>
      <w:r>
        <w:rPr>
          <w:rFonts w:hint="default" w:ascii="Times New Roman" w:hAnsi="Times New Roman" w:cs="Times New Roman"/>
          <w:color w:val="auto"/>
          <w:highlight w:val="none"/>
        </w:rPr>
        <w:t>工程实施前，要制定详尽的环保措施方案。施工过程中要设置环保人员，加强现场监督、管理与考核，以便及时发现问题及时解决。</w:t>
      </w:r>
    </w:p>
    <w:p w14:paraId="25747C45">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（2）施工期间应统一堆放产生的掘进废石，及时清运施工中产生生活垃圾，送到指定点进行处置，施工期间产生的生活污水严禁随意排放。</w:t>
      </w:r>
    </w:p>
    <w:p w14:paraId="6B814A68">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（3）加强施工人员及施工机械的管理，增强环保意识，注意保护自然环境。</w:t>
      </w:r>
    </w:p>
    <w:p w14:paraId="41C9FD31">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（4）工程建设中，要做好施工区域及其周围的绿化工作。</w:t>
      </w:r>
    </w:p>
    <w:p w14:paraId="18AEC6B1">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工程建设前，应做好施工人员的环保教育工作，禁止破坏周边植被及猎杀野生动物，禁止任何废污水和生活垃圾排入水体中。</w:t>
      </w:r>
    </w:p>
    <w:p w14:paraId="177CF092">
      <w:pPr>
        <w:pStyle w:val="4"/>
        <w:bidi w:val="0"/>
        <w:rPr>
          <w:rFonts w:hint="default"/>
          <w:lang w:val="en-US" w:eastAsia="zh-CN"/>
        </w:rPr>
      </w:pPr>
      <w:bookmarkStart w:id="683" w:name="_Toc7531"/>
      <w:bookmarkStart w:id="684" w:name="_Toc6696"/>
      <w:bookmarkStart w:id="685" w:name="_Toc2685"/>
      <w:bookmarkStart w:id="686" w:name="_Toc8800"/>
      <w:bookmarkStart w:id="687" w:name="_Toc30184"/>
      <w:bookmarkStart w:id="688" w:name="_Toc20055"/>
      <w:bookmarkStart w:id="689" w:name="_Toc2803"/>
      <w:bookmarkStart w:id="690" w:name="_Toc394997400"/>
      <w:bookmarkStart w:id="691" w:name="_Toc12892"/>
      <w:bookmarkStart w:id="692" w:name="_Toc19327"/>
      <w:r>
        <w:rPr>
          <w:rFonts w:hint="default"/>
          <w:lang w:val="en-US" w:eastAsia="zh-CN"/>
        </w:rPr>
        <w:t>环境监理</w:t>
      </w:r>
      <w:bookmarkEnd w:id="683"/>
      <w:bookmarkEnd w:id="684"/>
      <w:bookmarkEnd w:id="685"/>
      <w:bookmarkEnd w:id="686"/>
      <w:bookmarkEnd w:id="687"/>
      <w:bookmarkEnd w:id="688"/>
      <w:bookmarkEnd w:id="689"/>
      <w:bookmarkEnd w:id="690"/>
      <w:bookmarkEnd w:id="691"/>
      <w:bookmarkEnd w:id="692"/>
    </w:p>
    <w:p w14:paraId="591C32E1">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项目施工期环境监理内容详见表8.2-1。</w:t>
      </w:r>
    </w:p>
    <w:p w14:paraId="5E7BF121">
      <w:pPr>
        <w:pStyle w:val="64"/>
        <w:keepNext w:val="0"/>
        <w:keepLines w:val="0"/>
        <w:pageBreakBefore w:val="0"/>
        <w:widowControl w:val="0"/>
        <w:kinsoku/>
        <w:wordWrap/>
        <w:overflowPunct/>
        <w:topLinePunct w:val="0"/>
        <w:autoSpaceDE/>
        <w:autoSpaceDN/>
        <w:bidi w:val="0"/>
        <w:adjustRightInd w:val="0"/>
        <w:snapToGrid/>
        <w:spacing w:before="0" w:after="0" w:line="480" w:lineRule="exact"/>
        <w:ind w:firstLine="482"/>
        <w:textAlignment w:val="baseline"/>
        <w:rPr>
          <w:rFonts w:hint="default" w:ascii="Times New Roman" w:hAnsi="Times New Roman" w:eastAsia="宋体" w:cs="Times New Roman"/>
          <w:b/>
          <w:color w:val="auto"/>
          <w:spacing w:val="0"/>
          <w:kern w:val="2"/>
          <w:szCs w:val="24"/>
          <w:highlight w:val="none"/>
        </w:rPr>
      </w:pPr>
      <w:r>
        <w:rPr>
          <w:rFonts w:hint="default" w:ascii="Times New Roman" w:hAnsi="Times New Roman" w:eastAsia="宋体" w:cs="Times New Roman"/>
          <w:b/>
          <w:color w:val="auto"/>
          <w:spacing w:val="0"/>
          <w:kern w:val="2"/>
          <w:szCs w:val="24"/>
          <w:highlight w:val="none"/>
        </w:rPr>
        <w:t>表8.2-1    施工期环境监理一览表</w:t>
      </w:r>
    </w:p>
    <w:tbl>
      <w:tblPr>
        <w:tblStyle w:val="31"/>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26"/>
        <w:gridCol w:w="1315"/>
        <w:gridCol w:w="4232"/>
        <w:gridCol w:w="3293"/>
      </w:tblGrid>
      <w:tr w14:paraId="65295A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281" w:type="pct"/>
            <w:noWrap w:val="0"/>
            <w:vAlign w:val="center"/>
          </w:tcPr>
          <w:p w14:paraId="0B1E4344">
            <w:pPr>
              <w:spacing w:line="360" w:lineRule="exact"/>
              <w:ind w:firstLine="0" w:firstLineChars="0"/>
              <w:jc w:val="center"/>
              <w:rPr>
                <w:rFonts w:hint="default" w:ascii="Times New Roman" w:hAnsi="Times New Roman" w:eastAsia="宋体" w:cs="Times New Roman"/>
                <w:b/>
                <w:bCs/>
                <w:color w:val="auto"/>
                <w:highlight w:val="none"/>
              </w:rPr>
            </w:pPr>
            <w:bookmarkStart w:id="693" w:name="_Toc483589669"/>
            <w:bookmarkStart w:id="694" w:name="_Toc2036"/>
            <w:bookmarkStart w:id="695" w:name="_Toc25839"/>
            <w:bookmarkStart w:id="696" w:name="_Toc24758"/>
            <w:bookmarkStart w:id="697" w:name="_Toc12951"/>
            <w:bookmarkStart w:id="698" w:name="_Toc15185"/>
            <w:r>
              <w:rPr>
                <w:rFonts w:hint="default" w:ascii="Times New Roman" w:hAnsi="Times New Roman" w:eastAsia="宋体" w:cs="Times New Roman"/>
                <w:b/>
                <w:bCs/>
                <w:color w:val="auto"/>
                <w:highlight w:val="none"/>
              </w:rPr>
              <w:t>序号</w:t>
            </w:r>
          </w:p>
        </w:tc>
        <w:tc>
          <w:tcPr>
            <w:tcW w:w="702" w:type="pct"/>
            <w:noWrap w:val="0"/>
            <w:vAlign w:val="center"/>
          </w:tcPr>
          <w:p w14:paraId="0569B7DD">
            <w:pPr>
              <w:spacing w:line="360" w:lineRule="exact"/>
              <w:ind w:firstLine="0" w:firstLineChars="0"/>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环境要素</w:t>
            </w:r>
          </w:p>
        </w:tc>
        <w:tc>
          <w:tcPr>
            <w:tcW w:w="2259" w:type="pct"/>
            <w:noWrap w:val="0"/>
            <w:vAlign w:val="center"/>
          </w:tcPr>
          <w:p w14:paraId="023F398B">
            <w:pPr>
              <w:spacing w:line="360" w:lineRule="exact"/>
              <w:ind w:firstLine="0" w:firstLineChars="0"/>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监理内容</w:t>
            </w:r>
          </w:p>
        </w:tc>
        <w:tc>
          <w:tcPr>
            <w:tcW w:w="1757" w:type="pct"/>
            <w:noWrap w:val="0"/>
            <w:vAlign w:val="center"/>
          </w:tcPr>
          <w:p w14:paraId="65E1A5B1">
            <w:pPr>
              <w:spacing w:line="360" w:lineRule="exact"/>
              <w:ind w:firstLine="0" w:firstLineChars="0"/>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监理要求</w:t>
            </w:r>
          </w:p>
        </w:tc>
      </w:tr>
      <w:tr w14:paraId="5F4974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5" w:hRule="atLeast"/>
          <w:jc w:val="center"/>
        </w:trPr>
        <w:tc>
          <w:tcPr>
            <w:tcW w:w="281" w:type="pct"/>
            <w:noWrap w:val="0"/>
            <w:vAlign w:val="center"/>
          </w:tcPr>
          <w:p w14:paraId="0E796A3D">
            <w:pPr>
              <w:spacing w:line="360" w:lineRule="exact"/>
              <w:ind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w:t>
            </w:r>
          </w:p>
        </w:tc>
        <w:tc>
          <w:tcPr>
            <w:tcW w:w="702" w:type="pct"/>
            <w:noWrap w:val="0"/>
            <w:vAlign w:val="center"/>
          </w:tcPr>
          <w:p w14:paraId="64CBC8E3">
            <w:pPr>
              <w:spacing w:line="360" w:lineRule="exact"/>
              <w:ind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大气环境</w:t>
            </w:r>
          </w:p>
        </w:tc>
        <w:tc>
          <w:tcPr>
            <w:tcW w:w="2259" w:type="pct"/>
            <w:noWrap w:val="0"/>
            <w:vAlign w:val="center"/>
          </w:tcPr>
          <w:p w14:paraId="637F5922">
            <w:pPr>
              <w:spacing w:line="360" w:lineRule="exact"/>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①对工地及进出口定期洒水抑尘，并清扫，保持工地整齐干净；</w:t>
            </w:r>
          </w:p>
          <w:p w14:paraId="6A28D396">
            <w:pPr>
              <w:spacing w:line="360" w:lineRule="exact"/>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②运输车辆在运输砂石等粉料时应使用篷布遮盖；</w:t>
            </w:r>
          </w:p>
          <w:p w14:paraId="396A8C4E">
            <w:pPr>
              <w:spacing w:line="360" w:lineRule="exact"/>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③禁止在大风天气施工作业。</w:t>
            </w:r>
          </w:p>
        </w:tc>
        <w:tc>
          <w:tcPr>
            <w:tcW w:w="1757" w:type="pct"/>
            <w:vMerge w:val="restart"/>
            <w:noWrap w:val="0"/>
            <w:vAlign w:val="center"/>
          </w:tcPr>
          <w:p w14:paraId="2E2E5D97">
            <w:pPr>
              <w:spacing w:line="360" w:lineRule="exact"/>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1、建议在施工招标文件、施工合同、环境监理招标文件和监理合同中明确施工单位、环境监理单位的环境保护责任和目标任务；</w:t>
            </w:r>
          </w:p>
          <w:p w14:paraId="2AC1E3EE">
            <w:pPr>
              <w:spacing w:line="360" w:lineRule="exact"/>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2、建议委托有资质单位开展建设期的环境监理工作，加强施工过程的环境监理和环保设施建设的环境监理，定期向自治区、地区和县生态环境主管部门备案；</w:t>
            </w:r>
          </w:p>
          <w:p w14:paraId="395506F3">
            <w:pPr>
              <w:spacing w:line="360" w:lineRule="exact"/>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3、结合环境监理报告，自查环评报告、批复文件及设计中规定的环保设施和生态保护措施建设及进展情况；严格落实环保投资和执行建设项目环境保护“三同时”制度；</w:t>
            </w:r>
          </w:p>
          <w:p w14:paraId="0BBEB01F">
            <w:pPr>
              <w:spacing w:line="360" w:lineRule="exact"/>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4、自觉接受当地生态环境主管部门在建设期的环境监督与管理；</w:t>
            </w:r>
          </w:p>
          <w:p w14:paraId="47520A4F">
            <w:pPr>
              <w:spacing w:line="360" w:lineRule="exact"/>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5、设立矿山环保机构，建立健全环境管理、环保资料档案等制度。</w:t>
            </w:r>
          </w:p>
        </w:tc>
      </w:tr>
      <w:tr w14:paraId="41F314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 w:hRule="atLeast"/>
          <w:jc w:val="center"/>
        </w:trPr>
        <w:tc>
          <w:tcPr>
            <w:tcW w:w="281" w:type="pct"/>
            <w:noWrap w:val="0"/>
            <w:vAlign w:val="center"/>
          </w:tcPr>
          <w:p w14:paraId="04BAB1DA">
            <w:pPr>
              <w:spacing w:line="360" w:lineRule="exact"/>
              <w:ind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w:t>
            </w:r>
          </w:p>
        </w:tc>
        <w:tc>
          <w:tcPr>
            <w:tcW w:w="702" w:type="pct"/>
            <w:noWrap w:val="0"/>
            <w:vAlign w:val="center"/>
          </w:tcPr>
          <w:p w14:paraId="34E64988">
            <w:pPr>
              <w:spacing w:line="360" w:lineRule="exact"/>
              <w:ind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水环境</w:t>
            </w:r>
          </w:p>
        </w:tc>
        <w:tc>
          <w:tcPr>
            <w:tcW w:w="2259" w:type="pct"/>
            <w:noWrap w:val="0"/>
            <w:vAlign w:val="center"/>
          </w:tcPr>
          <w:p w14:paraId="6FC012A7">
            <w:pPr>
              <w:spacing w:line="360" w:lineRule="exact"/>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①施工产生的废水经沉淀处理后回用于施工降尘用水；</w:t>
            </w:r>
          </w:p>
          <w:p w14:paraId="32B23BEC">
            <w:pPr>
              <w:spacing w:line="360" w:lineRule="exact"/>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②避免在雨季进行基础开挖施工。</w:t>
            </w:r>
          </w:p>
        </w:tc>
        <w:tc>
          <w:tcPr>
            <w:tcW w:w="1757" w:type="pct"/>
            <w:vMerge w:val="continue"/>
            <w:noWrap w:val="0"/>
            <w:vAlign w:val="center"/>
          </w:tcPr>
          <w:p w14:paraId="13D72D6A">
            <w:pPr>
              <w:spacing w:line="360" w:lineRule="exact"/>
              <w:ind w:firstLine="0" w:firstLineChars="0"/>
              <w:rPr>
                <w:rFonts w:hint="default" w:ascii="Times New Roman" w:hAnsi="Times New Roman" w:eastAsia="宋体" w:cs="Times New Roman"/>
                <w:color w:val="auto"/>
                <w:highlight w:val="none"/>
                <w:lang w:val="en-US" w:eastAsia="zh-CN"/>
              </w:rPr>
            </w:pPr>
          </w:p>
        </w:tc>
      </w:tr>
      <w:tr w14:paraId="4FB830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281" w:type="pct"/>
            <w:noWrap w:val="0"/>
            <w:vAlign w:val="center"/>
          </w:tcPr>
          <w:p w14:paraId="72467F55">
            <w:pPr>
              <w:spacing w:line="360" w:lineRule="exact"/>
              <w:ind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w:t>
            </w:r>
          </w:p>
        </w:tc>
        <w:tc>
          <w:tcPr>
            <w:tcW w:w="702" w:type="pct"/>
            <w:noWrap w:val="0"/>
            <w:vAlign w:val="center"/>
          </w:tcPr>
          <w:p w14:paraId="1EE9856D">
            <w:pPr>
              <w:spacing w:line="360" w:lineRule="exact"/>
              <w:ind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声环境</w:t>
            </w:r>
          </w:p>
        </w:tc>
        <w:tc>
          <w:tcPr>
            <w:tcW w:w="2259" w:type="pct"/>
            <w:noWrap w:val="0"/>
            <w:vAlign w:val="center"/>
          </w:tcPr>
          <w:p w14:paraId="6561AF26">
            <w:pPr>
              <w:spacing w:line="360" w:lineRule="exact"/>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①合理布局施工设备，避免局部声级过高，对敏感点是否设置临时声屏障；</w:t>
            </w:r>
          </w:p>
          <w:p w14:paraId="7FFD6344">
            <w:pPr>
              <w:spacing w:line="360" w:lineRule="exact"/>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②开工15日前向生态环境主管部门申报《建设施工环保审批表》。</w:t>
            </w:r>
          </w:p>
        </w:tc>
        <w:tc>
          <w:tcPr>
            <w:tcW w:w="1757" w:type="pct"/>
            <w:vMerge w:val="continue"/>
            <w:noWrap w:val="0"/>
            <w:vAlign w:val="center"/>
          </w:tcPr>
          <w:p w14:paraId="49AC74BA">
            <w:pPr>
              <w:spacing w:line="360" w:lineRule="exact"/>
              <w:ind w:firstLine="0" w:firstLineChars="0"/>
              <w:rPr>
                <w:rFonts w:hint="default" w:ascii="Times New Roman" w:hAnsi="Times New Roman" w:eastAsia="宋体" w:cs="Times New Roman"/>
                <w:color w:val="auto"/>
                <w:highlight w:val="none"/>
                <w:lang w:val="en-US" w:eastAsia="zh-CN"/>
              </w:rPr>
            </w:pPr>
          </w:p>
        </w:tc>
      </w:tr>
      <w:tr w14:paraId="1CCD2A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81" w:type="pct"/>
            <w:noWrap w:val="0"/>
            <w:vAlign w:val="center"/>
          </w:tcPr>
          <w:p w14:paraId="204D787E">
            <w:pPr>
              <w:spacing w:line="360" w:lineRule="exact"/>
              <w:ind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w:t>
            </w:r>
          </w:p>
        </w:tc>
        <w:tc>
          <w:tcPr>
            <w:tcW w:w="702" w:type="pct"/>
            <w:noWrap w:val="0"/>
            <w:vAlign w:val="center"/>
          </w:tcPr>
          <w:p w14:paraId="73DD3FB4">
            <w:pPr>
              <w:spacing w:line="360" w:lineRule="exact"/>
              <w:ind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固体废物</w:t>
            </w:r>
          </w:p>
        </w:tc>
        <w:tc>
          <w:tcPr>
            <w:tcW w:w="2259" w:type="pct"/>
            <w:noWrap w:val="0"/>
            <w:vAlign w:val="center"/>
          </w:tcPr>
          <w:p w14:paraId="1DC3848F">
            <w:pPr>
              <w:spacing w:line="360" w:lineRule="exact"/>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①施工期产生的废石</w:t>
            </w:r>
            <w:r>
              <w:rPr>
                <w:rFonts w:hint="default" w:ascii="Times New Roman" w:hAnsi="Times New Roman" w:cs="Times New Roman"/>
                <w:color w:val="auto"/>
                <w:highlight w:val="none"/>
                <w:lang w:val="en-US" w:eastAsia="zh-CN"/>
              </w:rPr>
              <w:t>弃渣</w:t>
            </w:r>
            <w:r>
              <w:rPr>
                <w:rFonts w:hint="default" w:ascii="Times New Roman" w:hAnsi="Times New Roman" w:eastAsia="宋体" w:cs="Times New Roman"/>
                <w:color w:val="auto"/>
                <w:highlight w:val="none"/>
                <w:lang w:val="en-US" w:eastAsia="zh-CN"/>
              </w:rPr>
              <w:t>应综合利用；</w:t>
            </w:r>
          </w:p>
          <w:p w14:paraId="65F5E007">
            <w:pPr>
              <w:spacing w:line="360" w:lineRule="exact"/>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②施工期生活垃圾集中收集，定期清运。</w:t>
            </w:r>
          </w:p>
        </w:tc>
        <w:tc>
          <w:tcPr>
            <w:tcW w:w="1757" w:type="pct"/>
            <w:vMerge w:val="continue"/>
            <w:noWrap w:val="0"/>
            <w:vAlign w:val="center"/>
          </w:tcPr>
          <w:p w14:paraId="5AF7FB6E">
            <w:pPr>
              <w:spacing w:line="360" w:lineRule="exact"/>
              <w:ind w:firstLine="0" w:firstLineChars="0"/>
              <w:rPr>
                <w:rFonts w:hint="default" w:ascii="Times New Roman" w:hAnsi="Times New Roman" w:eastAsia="宋体" w:cs="Times New Roman"/>
                <w:color w:val="auto"/>
                <w:highlight w:val="none"/>
                <w:lang w:val="en-US" w:eastAsia="zh-CN"/>
              </w:rPr>
            </w:pPr>
          </w:p>
        </w:tc>
      </w:tr>
      <w:tr w14:paraId="293C2B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81" w:type="pct"/>
            <w:noWrap w:val="0"/>
            <w:vAlign w:val="center"/>
          </w:tcPr>
          <w:p w14:paraId="48D0A77D">
            <w:pPr>
              <w:spacing w:line="360" w:lineRule="exact"/>
              <w:ind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w:t>
            </w:r>
          </w:p>
        </w:tc>
        <w:tc>
          <w:tcPr>
            <w:tcW w:w="702" w:type="pct"/>
            <w:noWrap w:val="0"/>
            <w:vAlign w:val="center"/>
          </w:tcPr>
          <w:p w14:paraId="7D81EFE2">
            <w:pPr>
              <w:spacing w:line="360" w:lineRule="exact"/>
              <w:ind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生态影响</w:t>
            </w:r>
          </w:p>
        </w:tc>
        <w:tc>
          <w:tcPr>
            <w:tcW w:w="2259" w:type="pct"/>
            <w:noWrap w:val="0"/>
            <w:vAlign w:val="center"/>
          </w:tcPr>
          <w:p w14:paraId="49AE449F">
            <w:pPr>
              <w:spacing w:line="360" w:lineRule="exact"/>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①施工期间水土流失问题、主体工程开挖、弃渣及弃渣堆放应符合环境管理规范要求。</w:t>
            </w:r>
          </w:p>
          <w:p w14:paraId="44C58069">
            <w:pPr>
              <w:spacing w:line="360" w:lineRule="exact"/>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②绿化面积达到规划要求。</w:t>
            </w:r>
          </w:p>
          <w:p w14:paraId="6BF8FDEB">
            <w:pPr>
              <w:spacing w:line="360" w:lineRule="exact"/>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③禁止猎杀动物及破坏植物</w:t>
            </w:r>
            <w:r>
              <w:rPr>
                <w:rFonts w:hint="default" w:ascii="Times New Roman" w:hAnsi="Times New Roman" w:cs="Times New Roman"/>
                <w:color w:val="auto"/>
                <w:highlight w:val="none"/>
                <w:lang w:val="en-US" w:eastAsia="zh-CN"/>
              </w:rPr>
              <w:t>。</w:t>
            </w:r>
          </w:p>
          <w:p w14:paraId="7957F742">
            <w:pPr>
              <w:spacing w:line="360" w:lineRule="exact"/>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fldChar w:fldCharType="begin"/>
            </w:r>
            <w:r>
              <w:rPr>
                <w:rFonts w:hint="default" w:ascii="Times New Roman" w:hAnsi="Times New Roman" w:eastAsia="宋体" w:cs="Times New Roman"/>
                <w:color w:val="auto"/>
                <w:highlight w:val="none"/>
                <w:lang w:val="en-US" w:eastAsia="zh-CN"/>
              </w:rPr>
              <w:instrText xml:space="preserve"> = 4 \* GB3 \* MERGEFORMAT </w:instrText>
            </w:r>
            <w:r>
              <w:rPr>
                <w:rFonts w:hint="default" w:ascii="Times New Roman" w:hAnsi="Times New Roman" w:eastAsia="宋体" w:cs="Times New Roman"/>
                <w:color w:val="auto"/>
                <w:highlight w:val="none"/>
                <w:lang w:val="en-US" w:eastAsia="zh-CN"/>
              </w:rPr>
              <w:fldChar w:fldCharType="separate"/>
            </w:r>
            <w:r>
              <w:rPr>
                <w:rFonts w:hint="default" w:ascii="Times New Roman" w:hAnsi="Times New Roman" w:cs="Times New Roman"/>
                <w:color w:val="auto"/>
                <w:highlight w:val="none"/>
              </w:rPr>
              <w:t>④</w:t>
            </w:r>
            <w:r>
              <w:rPr>
                <w:rFonts w:hint="default" w:ascii="Times New Roman" w:hAnsi="Times New Roman" w:eastAsia="宋体" w:cs="Times New Roman"/>
                <w:color w:val="auto"/>
                <w:highlight w:val="none"/>
                <w:lang w:val="en-US" w:eastAsia="zh-CN"/>
              </w:rPr>
              <w:fldChar w:fldCharType="end"/>
            </w:r>
            <w:r>
              <w:rPr>
                <w:rFonts w:hint="default" w:ascii="Times New Roman" w:hAnsi="Times New Roman" w:eastAsia="宋体" w:cs="Times New Roman"/>
                <w:color w:val="auto"/>
                <w:highlight w:val="none"/>
                <w:lang w:val="en-US" w:eastAsia="zh-CN"/>
              </w:rPr>
              <w:t>对在植被盖度相对较高的区域</w:t>
            </w:r>
            <w:r>
              <w:rPr>
                <w:rFonts w:hint="default" w:ascii="Times New Roman" w:hAnsi="Times New Roman" w:cs="Times New Roman"/>
                <w:color w:val="auto"/>
                <w:highlight w:val="none"/>
                <w:lang w:val="en-US" w:eastAsia="zh-CN"/>
              </w:rPr>
              <w:t>进行</w:t>
            </w:r>
            <w:r>
              <w:rPr>
                <w:rFonts w:hint="default" w:ascii="Times New Roman" w:hAnsi="Times New Roman" w:eastAsia="宋体" w:cs="Times New Roman"/>
                <w:color w:val="auto"/>
                <w:highlight w:val="none"/>
                <w:lang w:val="en-US" w:eastAsia="zh-CN"/>
              </w:rPr>
              <w:t>相关作业时，预先剥离表层</w:t>
            </w:r>
            <w:r>
              <w:rPr>
                <w:rFonts w:hint="default" w:ascii="Times New Roman" w:hAnsi="Times New Roman" w:cs="Times New Roman"/>
                <w:color w:val="auto"/>
                <w:highlight w:val="none"/>
                <w:lang w:val="en-US" w:eastAsia="zh-CN"/>
              </w:rPr>
              <w:t>植被</w:t>
            </w:r>
            <w:r>
              <w:rPr>
                <w:rFonts w:hint="default" w:ascii="Times New Roman" w:hAnsi="Times New Roman" w:eastAsia="宋体" w:cs="Times New Roman"/>
                <w:color w:val="auto"/>
                <w:highlight w:val="none"/>
                <w:lang w:val="en-US" w:eastAsia="zh-CN"/>
              </w:rPr>
              <w:t>层</w:t>
            </w:r>
            <w:r>
              <w:rPr>
                <w:rFonts w:hint="default" w:ascii="Times New Roman" w:hAnsi="Times New Roman" w:cs="Times New Roman"/>
                <w:color w:val="auto"/>
                <w:highlight w:val="none"/>
                <w:lang w:val="en-US" w:eastAsia="zh-CN"/>
              </w:rPr>
              <w:t>。</w:t>
            </w:r>
          </w:p>
          <w:p w14:paraId="4FBDBA85">
            <w:pPr>
              <w:spacing w:line="360" w:lineRule="exact"/>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fldChar w:fldCharType="begin"/>
            </w:r>
            <w:r>
              <w:rPr>
                <w:rFonts w:hint="default" w:ascii="Times New Roman" w:hAnsi="Times New Roman" w:eastAsia="宋体" w:cs="Times New Roman"/>
                <w:color w:val="auto"/>
                <w:highlight w:val="none"/>
                <w:lang w:val="en-US" w:eastAsia="zh-CN"/>
              </w:rPr>
              <w:instrText xml:space="preserve"> = 5 \* GB3 \* MERGEFORMAT </w:instrText>
            </w:r>
            <w:r>
              <w:rPr>
                <w:rFonts w:hint="default" w:ascii="Times New Roman" w:hAnsi="Times New Roman" w:eastAsia="宋体" w:cs="Times New Roman"/>
                <w:color w:val="auto"/>
                <w:highlight w:val="none"/>
                <w:lang w:val="en-US" w:eastAsia="zh-CN"/>
              </w:rPr>
              <w:fldChar w:fldCharType="separate"/>
            </w:r>
            <w:r>
              <w:rPr>
                <w:rFonts w:hint="default" w:ascii="Times New Roman" w:hAnsi="Times New Roman" w:cs="Times New Roman"/>
                <w:color w:val="auto"/>
                <w:highlight w:val="none"/>
              </w:rPr>
              <w:t>⑤</w:t>
            </w:r>
            <w:r>
              <w:rPr>
                <w:rFonts w:hint="default" w:ascii="Times New Roman" w:hAnsi="Times New Roman" w:eastAsia="宋体" w:cs="Times New Roman"/>
                <w:color w:val="auto"/>
                <w:highlight w:val="none"/>
                <w:lang w:val="en-US" w:eastAsia="zh-CN"/>
              </w:rPr>
              <w:fldChar w:fldCharType="end"/>
            </w:r>
            <w:r>
              <w:rPr>
                <w:rFonts w:hint="default" w:ascii="Times New Roman" w:hAnsi="Times New Roman" w:eastAsia="宋体" w:cs="Times New Roman"/>
                <w:color w:val="auto"/>
                <w:highlight w:val="none"/>
                <w:lang w:val="en-US" w:eastAsia="zh-CN"/>
              </w:rPr>
              <w:t>对拟损毁的草地进行表土剥离，剥离掉的表土用于被损毁土地的复垦。</w:t>
            </w:r>
          </w:p>
        </w:tc>
        <w:tc>
          <w:tcPr>
            <w:tcW w:w="1757" w:type="pct"/>
            <w:vMerge w:val="continue"/>
            <w:noWrap w:val="0"/>
            <w:vAlign w:val="center"/>
          </w:tcPr>
          <w:p w14:paraId="3A3A56C0">
            <w:pPr>
              <w:spacing w:line="360" w:lineRule="exact"/>
              <w:ind w:firstLine="0" w:firstLineChars="0"/>
              <w:rPr>
                <w:rFonts w:hint="default" w:ascii="Times New Roman" w:hAnsi="Times New Roman" w:eastAsia="宋体" w:cs="Times New Roman"/>
                <w:color w:val="auto"/>
                <w:highlight w:val="none"/>
                <w:lang w:val="en-US" w:eastAsia="zh-CN"/>
              </w:rPr>
            </w:pPr>
          </w:p>
        </w:tc>
      </w:tr>
    </w:tbl>
    <w:p w14:paraId="128EA505">
      <w:pPr>
        <w:pStyle w:val="3"/>
        <w:bidi w:val="0"/>
        <w:rPr>
          <w:rFonts w:hint="default"/>
          <w:lang w:val="en-US" w:eastAsia="zh-CN"/>
        </w:rPr>
      </w:pPr>
      <w:bookmarkStart w:id="699" w:name="_Toc28142"/>
      <w:bookmarkStart w:id="700" w:name="_Toc13827"/>
      <w:bookmarkStart w:id="701" w:name="_Toc22537"/>
      <w:bookmarkStart w:id="702" w:name="_Toc9159"/>
      <w:bookmarkStart w:id="703" w:name="_Toc5611"/>
      <w:bookmarkStart w:id="704" w:name="_Toc11566"/>
      <w:bookmarkStart w:id="705" w:name="_Toc21330"/>
      <w:bookmarkStart w:id="706" w:name="_Toc12091"/>
      <w:r>
        <w:rPr>
          <w:rFonts w:hint="default"/>
          <w:lang w:val="en-US" w:eastAsia="zh-CN"/>
        </w:rPr>
        <w:t>环境监测计划</w:t>
      </w:r>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p>
    <w:p w14:paraId="3E959B93">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环境监测制度是为环境管理服务的一项重要制度，通过环境监测，及时了解</w:t>
      </w:r>
      <w:r>
        <w:rPr>
          <w:rFonts w:hint="default" w:ascii="Times New Roman" w:hAnsi="Times New Roman" w:cs="Times New Roman"/>
          <w:color w:val="auto"/>
          <w:highlight w:val="none"/>
          <w:lang w:eastAsia="zh-CN"/>
        </w:rPr>
        <w:t>建设单位</w:t>
      </w:r>
      <w:r>
        <w:rPr>
          <w:rFonts w:hint="default" w:ascii="Times New Roman" w:hAnsi="Times New Roman" w:cs="Times New Roman"/>
          <w:color w:val="auto"/>
          <w:highlight w:val="none"/>
        </w:rPr>
        <w:t>的环境状况，不断完善、改进防治措施，清洁生产，不断适应环境保护的发展要求，是实现</w:t>
      </w:r>
      <w:r>
        <w:rPr>
          <w:rFonts w:hint="default" w:ascii="Times New Roman" w:hAnsi="Times New Roman" w:cs="Times New Roman"/>
          <w:color w:val="auto"/>
          <w:highlight w:val="none"/>
          <w:lang w:eastAsia="zh-CN"/>
        </w:rPr>
        <w:t>建设单位</w:t>
      </w:r>
      <w:r>
        <w:rPr>
          <w:rFonts w:hint="default" w:ascii="Times New Roman" w:hAnsi="Times New Roman" w:cs="Times New Roman"/>
          <w:color w:val="auto"/>
          <w:highlight w:val="none"/>
        </w:rPr>
        <w:t>环境管理定量化、规范化的重要技术支持。建立一套完善而行之有效的环境监测制度是</w:t>
      </w:r>
      <w:r>
        <w:rPr>
          <w:rFonts w:hint="default" w:ascii="Times New Roman" w:hAnsi="Times New Roman" w:cs="Times New Roman"/>
          <w:color w:val="auto"/>
          <w:highlight w:val="none"/>
          <w:lang w:eastAsia="zh-CN"/>
        </w:rPr>
        <w:t>建设单位</w:t>
      </w:r>
      <w:r>
        <w:rPr>
          <w:rFonts w:hint="default" w:ascii="Times New Roman" w:hAnsi="Times New Roman" w:cs="Times New Roman"/>
          <w:color w:val="auto"/>
          <w:highlight w:val="none"/>
        </w:rPr>
        <w:t>环境保护工作的重要组成部分。</w:t>
      </w:r>
    </w:p>
    <w:p w14:paraId="3A1A798D">
      <w:pPr>
        <w:pStyle w:val="4"/>
        <w:bidi w:val="0"/>
        <w:rPr>
          <w:rFonts w:hint="default"/>
          <w:lang w:val="en-US" w:eastAsia="zh-CN"/>
        </w:rPr>
      </w:pPr>
      <w:bookmarkStart w:id="707" w:name="_Toc18597"/>
      <w:bookmarkStart w:id="708" w:name="_Toc14046"/>
      <w:bookmarkStart w:id="709" w:name="_Toc18899"/>
      <w:bookmarkStart w:id="710" w:name="_Toc31999"/>
      <w:bookmarkStart w:id="711" w:name="_Toc4383"/>
      <w:bookmarkStart w:id="712" w:name="_Toc14379"/>
      <w:bookmarkStart w:id="713" w:name="_Toc22289"/>
      <w:bookmarkStart w:id="714" w:name="_Toc13599"/>
      <w:bookmarkStart w:id="715" w:name="_Toc15111"/>
      <w:bookmarkStart w:id="716" w:name="_Toc28648"/>
      <w:bookmarkStart w:id="717" w:name="_Toc5506"/>
      <w:r>
        <w:rPr>
          <w:rFonts w:hint="default"/>
          <w:lang w:val="en-US" w:eastAsia="zh-CN"/>
        </w:rPr>
        <w:t>监测机构</w:t>
      </w:r>
      <w:bookmarkEnd w:id="707"/>
      <w:bookmarkEnd w:id="708"/>
      <w:bookmarkEnd w:id="709"/>
      <w:bookmarkEnd w:id="710"/>
      <w:bookmarkEnd w:id="711"/>
      <w:bookmarkEnd w:id="712"/>
      <w:bookmarkEnd w:id="713"/>
      <w:bookmarkEnd w:id="714"/>
      <w:bookmarkEnd w:id="715"/>
      <w:bookmarkEnd w:id="716"/>
      <w:bookmarkEnd w:id="717"/>
    </w:p>
    <w:p w14:paraId="2C600CF9">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考虑到矿区的实际条件矿区可不设监测机构，有关的环境监测工作可委托</w:t>
      </w:r>
      <w:r>
        <w:rPr>
          <w:rFonts w:hint="default" w:ascii="Times New Roman" w:hAnsi="Times New Roman" w:cs="Times New Roman"/>
          <w:color w:val="auto"/>
          <w:highlight w:val="none"/>
          <w:lang w:val="en-US" w:eastAsia="zh-CN"/>
        </w:rPr>
        <w:t>具有资质的第三方监测机构</w:t>
      </w:r>
      <w:r>
        <w:rPr>
          <w:rFonts w:hint="default" w:ascii="Times New Roman" w:hAnsi="Times New Roman" w:cs="Times New Roman"/>
          <w:color w:val="auto"/>
          <w:highlight w:val="none"/>
        </w:rPr>
        <w:t>承担，确保监测计划的顺利实施。</w:t>
      </w:r>
    </w:p>
    <w:p w14:paraId="30AE6774">
      <w:pPr>
        <w:pStyle w:val="4"/>
        <w:bidi w:val="0"/>
        <w:rPr>
          <w:rFonts w:hint="default"/>
          <w:lang w:val="en-US" w:eastAsia="zh-CN"/>
        </w:rPr>
      </w:pPr>
      <w:bookmarkStart w:id="718" w:name="_Toc8736"/>
      <w:bookmarkStart w:id="719" w:name="_Toc26721"/>
      <w:bookmarkStart w:id="720" w:name="_Toc3635"/>
      <w:bookmarkStart w:id="721" w:name="_Toc6393"/>
      <w:bookmarkStart w:id="722" w:name="_Toc9548"/>
      <w:bookmarkStart w:id="723" w:name="_Toc7467"/>
      <w:bookmarkStart w:id="724" w:name="_Toc7756"/>
      <w:bookmarkStart w:id="725" w:name="_Toc16277"/>
      <w:bookmarkStart w:id="726" w:name="_Toc12916"/>
      <w:bookmarkStart w:id="727" w:name="_Toc23053"/>
      <w:bookmarkStart w:id="728" w:name="_Toc15947"/>
      <w:r>
        <w:rPr>
          <w:rFonts w:hint="default"/>
          <w:lang w:val="en-US" w:eastAsia="zh-CN"/>
        </w:rPr>
        <w:t>监测内容</w:t>
      </w:r>
      <w:bookmarkEnd w:id="718"/>
      <w:bookmarkEnd w:id="719"/>
      <w:bookmarkEnd w:id="720"/>
      <w:bookmarkEnd w:id="721"/>
      <w:bookmarkEnd w:id="722"/>
      <w:bookmarkEnd w:id="723"/>
      <w:bookmarkEnd w:id="724"/>
      <w:bookmarkEnd w:id="725"/>
      <w:bookmarkEnd w:id="726"/>
      <w:bookmarkEnd w:id="727"/>
      <w:bookmarkEnd w:id="728"/>
    </w:p>
    <w:p w14:paraId="2A839661">
      <w:pPr>
        <w:pStyle w:val="11"/>
        <w:rPr>
          <w:rFonts w:hint="default"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依据《排污单位自行监测技术指南 总则》（HJ 819-2017）</w:t>
      </w:r>
      <w:r>
        <w:rPr>
          <w:rFonts w:hint="eastAsia" w:cs="Times New Roman"/>
          <w:color w:val="0000FF"/>
          <w:lang w:val="en-US" w:eastAsia="zh-CN"/>
        </w:rPr>
        <w:t>、《排污许可证申请与核发技术规范工业炉窑》（HJ1121-2020）</w:t>
      </w:r>
      <w:r>
        <w:rPr>
          <w:rFonts w:hint="eastAsia" w:ascii="Times New Roman" w:hAnsi="Times New Roman" w:eastAsia="宋体" w:cs="Times New Roman"/>
          <w:color w:val="0000FF"/>
          <w:lang w:val="en-US" w:eastAsia="zh-CN"/>
        </w:rPr>
        <w:t>，本项目监测计划如下。</w:t>
      </w:r>
    </w:p>
    <w:p w14:paraId="3E4AD251">
      <w:pPr>
        <w:pStyle w:val="4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表8.3-</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 xml:space="preserve">    运营期环境监测计划表</w:t>
      </w:r>
    </w:p>
    <w:tbl>
      <w:tblPr>
        <w:tblStyle w:val="32"/>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41"/>
        <w:gridCol w:w="2717"/>
        <w:gridCol w:w="2161"/>
        <w:gridCol w:w="1873"/>
        <w:gridCol w:w="1874"/>
      </w:tblGrid>
      <w:tr w14:paraId="45C0DD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458" w:type="dxa"/>
            <w:gridSpan w:val="2"/>
            <w:vAlign w:val="center"/>
          </w:tcPr>
          <w:p w14:paraId="389E5EBC">
            <w:pPr>
              <w:pStyle w:val="4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污染源名称</w:t>
            </w:r>
          </w:p>
        </w:tc>
        <w:tc>
          <w:tcPr>
            <w:tcW w:w="2161" w:type="dxa"/>
            <w:vAlign w:val="center"/>
          </w:tcPr>
          <w:p w14:paraId="53F41EBF">
            <w:pPr>
              <w:pStyle w:val="4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监测项目</w:t>
            </w:r>
          </w:p>
        </w:tc>
        <w:tc>
          <w:tcPr>
            <w:tcW w:w="1873" w:type="dxa"/>
            <w:vAlign w:val="center"/>
          </w:tcPr>
          <w:p w14:paraId="60086742">
            <w:pPr>
              <w:pStyle w:val="4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监测点位置</w:t>
            </w:r>
          </w:p>
        </w:tc>
        <w:tc>
          <w:tcPr>
            <w:tcW w:w="1874" w:type="dxa"/>
            <w:vAlign w:val="center"/>
          </w:tcPr>
          <w:p w14:paraId="299B9A40">
            <w:pPr>
              <w:pStyle w:val="4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监测频率</w:t>
            </w:r>
          </w:p>
        </w:tc>
      </w:tr>
      <w:tr w14:paraId="45943E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41" w:type="dxa"/>
            <w:vMerge w:val="restart"/>
            <w:vAlign w:val="center"/>
          </w:tcPr>
          <w:p w14:paraId="1D627EA7">
            <w:pPr>
              <w:pStyle w:val="4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废气</w:t>
            </w:r>
          </w:p>
        </w:tc>
        <w:tc>
          <w:tcPr>
            <w:tcW w:w="2717" w:type="dxa"/>
            <w:vMerge w:val="restart"/>
            <w:vAlign w:val="center"/>
          </w:tcPr>
          <w:p w14:paraId="7FF1ABCE">
            <w:pPr>
              <w:pStyle w:val="4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有组织粉尘</w:t>
            </w:r>
          </w:p>
        </w:tc>
        <w:tc>
          <w:tcPr>
            <w:tcW w:w="2161" w:type="dxa"/>
            <w:vAlign w:val="center"/>
          </w:tcPr>
          <w:p w14:paraId="781D6AC0">
            <w:pPr>
              <w:pStyle w:val="4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颗粒物</w:t>
            </w:r>
          </w:p>
        </w:tc>
        <w:tc>
          <w:tcPr>
            <w:tcW w:w="1873" w:type="dxa"/>
            <w:vAlign w:val="center"/>
          </w:tcPr>
          <w:p w14:paraId="7232472C">
            <w:pPr>
              <w:pStyle w:val="4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筛分系统排气筒</w:t>
            </w:r>
            <w:r>
              <w:rPr>
                <w:rFonts w:hint="eastAsia" w:ascii="Times New Roman" w:hAnsi="Times New Roman" w:cs="Times New Roman"/>
                <w:color w:val="auto"/>
                <w:highlight w:val="none"/>
                <w:lang w:val="en-US" w:eastAsia="zh-CN"/>
              </w:rPr>
              <w:t>（DA001）</w:t>
            </w:r>
          </w:p>
        </w:tc>
        <w:tc>
          <w:tcPr>
            <w:tcW w:w="1874" w:type="dxa"/>
            <w:vMerge w:val="restart"/>
            <w:vAlign w:val="center"/>
          </w:tcPr>
          <w:p w14:paraId="0ADF9897">
            <w:pPr>
              <w:pStyle w:val="4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每年一次</w:t>
            </w:r>
          </w:p>
        </w:tc>
      </w:tr>
      <w:tr w14:paraId="39319C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41" w:type="dxa"/>
            <w:vMerge w:val="continue"/>
            <w:vAlign w:val="center"/>
          </w:tcPr>
          <w:p w14:paraId="1DA74CB3">
            <w:pPr>
              <w:pStyle w:val="48"/>
              <w:bidi w:val="0"/>
              <w:jc w:val="center"/>
              <w:rPr>
                <w:rFonts w:hint="default" w:ascii="Times New Roman" w:hAnsi="Times New Roman" w:cs="Times New Roman"/>
                <w:color w:val="auto"/>
                <w:highlight w:val="none"/>
                <w:lang w:val="en-US" w:eastAsia="zh-CN"/>
              </w:rPr>
            </w:pPr>
          </w:p>
        </w:tc>
        <w:tc>
          <w:tcPr>
            <w:tcW w:w="2717" w:type="dxa"/>
            <w:vMerge w:val="continue"/>
            <w:vAlign w:val="center"/>
          </w:tcPr>
          <w:p w14:paraId="6A6FF084">
            <w:pPr>
              <w:pStyle w:val="48"/>
              <w:bidi w:val="0"/>
              <w:jc w:val="center"/>
              <w:rPr>
                <w:rFonts w:hint="default" w:ascii="Times New Roman" w:hAnsi="Times New Roman" w:cs="Times New Roman"/>
                <w:color w:val="auto"/>
                <w:highlight w:val="none"/>
                <w:lang w:val="en-US" w:eastAsia="zh-CN"/>
              </w:rPr>
            </w:pPr>
          </w:p>
        </w:tc>
        <w:tc>
          <w:tcPr>
            <w:tcW w:w="2161" w:type="dxa"/>
            <w:vAlign w:val="center"/>
          </w:tcPr>
          <w:p w14:paraId="74ADAC51">
            <w:pPr>
              <w:pStyle w:val="4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颗粒物</w:t>
            </w:r>
          </w:p>
        </w:tc>
        <w:tc>
          <w:tcPr>
            <w:tcW w:w="1873" w:type="dxa"/>
            <w:vAlign w:val="center"/>
          </w:tcPr>
          <w:p w14:paraId="5E2C3864">
            <w:pPr>
              <w:pStyle w:val="4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烘干废气排气筒</w:t>
            </w:r>
            <w:r>
              <w:rPr>
                <w:rFonts w:hint="eastAsia" w:ascii="Times New Roman" w:hAnsi="Times New Roman" w:cs="Times New Roman"/>
                <w:color w:val="auto"/>
                <w:highlight w:val="none"/>
                <w:lang w:val="en-US" w:eastAsia="zh-CN"/>
              </w:rPr>
              <w:t>（DA002）</w:t>
            </w:r>
          </w:p>
        </w:tc>
        <w:tc>
          <w:tcPr>
            <w:tcW w:w="1874" w:type="dxa"/>
            <w:vMerge w:val="continue"/>
            <w:vAlign w:val="center"/>
          </w:tcPr>
          <w:p w14:paraId="5D1EA595">
            <w:pPr>
              <w:pStyle w:val="48"/>
              <w:bidi w:val="0"/>
              <w:jc w:val="center"/>
              <w:rPr>
                <w:rFonts w:hint="default" w:ascii="Times New Roman" w:hAnsi="Times New Roman" w:cs="Times New Roman"/>
                <w:color w:val="auto"/>
                <w:highlight w:val="none"/>
                <w:lang w:val="en-US" w:eastAsia="zh-CN"/>
              </w:rPr>
            </w:pPr>
          </w:p>
        </w:tc>
      </w:tr>
      <w:tr w14:paraId="752F02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41" w:type="dxa"/>
            <w:vMerge w:val="continue"/>
            <w:vAlign w:val="center"/>
          </w:tcPr>
          <w:p w14:paraId="53DDCB63">
            <w:pPr>
              <w:pStyle w:val="48"/>
              <w:bidi w:val="0"/>
              <w:jc w:val="center"/>
              <w:rPr>
                <w:rFonts w:hint="default" w:ascii="Times New Roman" w:hAnsi="Times New Roman" w:cs="Times New Roman"/>
                <w:color w:val="auto"/>
                <w:highlight w:val="none"/>
                <w:lang w:val="en-US" w:eastAsia="zh-CN"/>
              </w:rPr>
            </w:pPr>
          </w:p>
        </w:tc>
        <w:tc>
          <w:tcPr>
            <w:tcW w:w="2717" w:type="dxa"/>
            <w:vAlign w:val="center"/>
          </w:tcPr>
          <w:p w14:paraId="2B07D1D9">
            <w:pPr>
              <w:pStyle w:val="4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无组织废气</w:t>
            </w:r>
          </w:p>
        </w:tc>
        <w:tc>
          <w:tcPr>
            <w:tcW w:w="2161" w:type="dxa"/>
            <w:vAlign w:val="center"/>
          </w:tcPr>
          <w:p w14:paraId="6F224EBC">
            <w:pPr>
              <w:pStyle w:val="4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颗粒物</w:t>
            </w:r>
          </w:p>
        </w:tc>
        <w:tc>
          <w:tcPr>
            <w:tcW w:w="1873" w:type="dxa"/>
            <w:vAlign w:val="center"/>
          </w:tcPr>
          <w:p w14:paraId="18306281">
            <w:pPr>
              <w:pStyle w:val="4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上风向设1个点，下风向3个点</w:t>
            </w:r>
          </w:p>
        </w:tc>
        <w:tc>
          <w:tcPr>
            <w:tcW w:w="1874" w:type="dxa"/>
            <w:vAlign w:val="center"/>
          </w:tcPr>
          <w:p w14:paraId="263FD280">
            <w:pPr>
              <w:pStyle w:val="4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每季度一次</w:t>
            </w:r>
          </w:p>
        </w:tc>
      </w:tr>
      <w:tr w14:paraId="3EB1F3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741" w:type="dxa"/>
            <w:vAlign w:val="center"/>
          </w:tcPr>
          <w:p w14:paraId="7F39CDE7">
            <w:pPr>
              <w:pStyle w:val="4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废水</w:t>
            </w:r>
          </w:p>
        </w:tc>
        <w:tc>
          <w:tcPr>
            <w:tcW w:w="2717" w:type="dxa"/>
            <w:vAlign w:val="center"/>
          </w:tcPr>
          <w:p w14:paraId="7AB4F864">
            <w:pPr>
              <w:pStyle w:val="4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生活污水处理设施</w:t>
            </w:r>
          </w:p>
        </w:tc>
        <w:tc>
          <w:tcPr>
            <w:tcW w:w="2161" w:type="dxa"/>
            <w:vAlign w:val="center"/>
          </w:tcPr>
          <w:p w14:paraId="0B4616C7">
            <w:pPr>
              <w:pStyle w:val="4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SS、BOD</w:t>
            </w:r>
            <w:r>
              <w:rPr>
                <w:rFonts w:hint="default" w:ascii="Times New Roman" w:hAnsi="Times New Roman" w:cs="Times New Roman"/>
                <w:color w:val="auto"/>
                <w:highlight w:val="none"/>
                <w:vertAlign w:val="subscript"/>
                <w:lang w:val="en-US" w:eastAsia="zh-CN"/>
              </w:rPr>
              <w:t>5</w:t>
            </w:r>
            <w:r>
              <w:rPr>
                <w:rFonts w:hint="default" w:ascii="Times New Roman" w:hAnsi="Times New Roman" w:cs="Times New Roman"/>
                <w:color w:val="auto"/>
                <w:highlight w:val="none"/>
                <w:lang w:val="en-US" w:eastAsia="zh-CN"/>
              </w:rPr>
              <w:t>、COD、氨氮</w:t>
            </w:r>
          </w:p>
        </w:tc>
        <w:tc>
          <w:tcPr>
            <w:tcW w:w="1873" w:type="dxa"/>
            <w:vAlign w:val="center"/>
          </w:tcPr>
          <w:p w14:paraId="0F12DB9A">
            <w:pPr>
              <w:pStyle w:val="4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生活污水处理设施排放口</w:t>
            </w:r>
          </w:p>
        </w:tc>
        <w:tc>
          <w:tcPr>
            <w:tcW w:w="1874" w:type="dxa"/>
            <w:vAlign w:val="center"/>
          </w:tcPr>
          <w:p w14:paraId="028867FD">
            <w:pPr>
              <w:pStyle w:val="4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每年一次</w:t>
            </w:r>
          </w:p>
        </w:tc>
      </w:tr>
      <w:tr w14:paraId="6AC4CF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741" w:type="dxa"/>
            <w:vAlign w:val="center"/>
          </w:tcPr>
          <w:p w14:paraId="591B71A0">
            <w:pPr>
              <w:pStyle w:val="4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噪声</w:t>
            </w:r>
          </w:p>
        </w:tc>
        <w:tc>
          <w:tcPr>
            <w:tcW w:w="2717" w:type="dxa"/>
            <w:vAlign w:val="center"/>
          </w:tcPr>
          <w:p w14:paraId="0F45A026">
            <w:pPr>
              <w:pStyle w:val="4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厂界噪声</w:t>
            </w:r>
          </w:p>
        </w:tc>
        <w:tc>
          <w:tcPr>
            <w:tcW w:w="2161" w:type="dxa"/>
            <w:vAlign w:val="center"/>
          </w:tcPr>
          <w:p w14:paraId="11B128E4">
            <w:pPr>
              <w:pStyle w:val="4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等效A声级</w:t>
            </w:r>
          </w:p>
        </w:tc>
        <w:tc>
          <w:tcPr>
            <w:tcW w:w="1873" w:type="dxa"/>
            <w:vAlign w:val="center"/>
          </w:tcPr>
          <w:p w14:paraId="2BEB5496">
            <w:pPr>
              <w:pStyle w:val="4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矿区边界外1m</w:t>
            </w:r>
          </w:p>
        </w:tc>
        <w:tc>
          <w:tcPr>
            <w:tcW w:w="1874" w:type="dxa"/>
            <w:vAlign w:val="center"/>
          </w:tcPr>
          <w:p w14:paraId="2FDC0864">
            <w:pPr>
              <w:pStyle w:val="4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半</w:t>
            </w:r>
            <w:r>
              <w:rPr>
                <w:rFonts w:hint="eastAsia" w:ascii="Times New Roman" w:hAnsi="Times New Roman" w:cs="Times New Roman"/>
                <w:color w:val="auto"/>
                <w:highlight w:val="none"/>
                <w:lang w:val="en-US" w:eastAsia="zh-CN"/>
              </w:rPr>
              <w:t>季度</w:t>
            </w:r>
            <w:r>
              <w:rPr>
                <w:rFonts w:hint="default" w:ascii="Times New Roman" w:hAnsi="Times New Roman" w:cs="Times New Roman"/>
                <w:color w:val="auto"/>
                <w:highlight w:val="none"/>
                <w:lang w:val="en-US" w:eastAsia="zh-CN"/>
              </w:rPr>
              <w:t>一次</w:t>
            </w:r>
          </w:p>
        </w:tc>
      </w:tr>
    </w:tbl>
    <w:p w14:paraId="7F43F17D">
      <w:pPr>
        <w:pStyle w:val="45"/>
        <w:bidi w:val="0"/>
        <w:rPr>
          <w:rFonts w:hint="eastAsia" w:ascii="Times New Roman" w:hAnsi="Times New Roman" w:eastAsia="宋体" w:cs="Times New Roman"/>
          <w:color w:val="auto"/>
          <w:highlight w:val="none"/>
          <w:lang w:val="en-US" w:eastAsia="zh-CN"/>
        </w:rPr>
      </w:pPr>
      <w:bookmarkStart w:id="729" w:name="_Toc1836"/>
      <w:bookmarkStart w:id="730" w:name="_Toc483589670"/>
      <w:bookmarkStart w:id="731" w:name="_Toc170970696"/>
      <w:bookmarkStart w:id="732" w:name="_Toc149680601"/>
      <w:bookmarkStart w:id="733" w:name="_Toc7230"/>
      <w:bookmarkStart w:id="734" w:name="_Toc179522852"/>
      <w:bookmarkStart w:id="735" w:name="_Toc19987"/>
      <w:bookmarkStart w:id="736" w:name="_Toc168317243"/>
      <w:bookmarkStart w:id="737" w:name="_Toc149680838"/>
      <w:bookmarkStart w:id="738" w:name="_Toc245882807"/>
      <w:bookmarkStart w:id="739" w:name="_Toc153689590"/>
      <w:bookmarkStart w:id="740" w:name="_Toc172698699"/>
      <w:bookmarkStart w:id="741" w:name="_Toc321501719"/>
      <w:bookmarkStart w:id="742" w:name="_Toc4850"/>
      <w:bookmarkStart w:id="743" w:name="_Toc17718"/>
      <w:bookmarkStart w:id="744" w:name="_Toc164774416"/>
      <w:bookmarkStart w:id="745" w:name="_Toc25018"/>
      <w:bookmarkStart w:id="746" w:name="_Toc170869100"/>
      <w:bookmarkStart w:id="747" w:name="_Toc1748"/>
      <w:bookmarkStart w:id="748" w:name="_Toc9310"/>
      <w:bookmarkStart w:id="749" w:name="_Toc6727"/>
      <w:bookmarkStart w:id="750" w:name="_Toc664"/>
      <w:bookmarkStart w:id="751" w:name="_Toc26437"/>
      <w:bookmarkStart w:id="752" w:name="_Toc179653312"/>
      <w:bookmarkStart w:id="753" w:name="_Toc26113"/>
      <w:bookmarkStart w:id="754" w:name="_Toc180891811"/>
      <w:bookmarkStart w:id="755" w:name="_Toc17739"/>
      <w:bookmarkStart w:id="756" w:name="_Toc4848"/>
      <w:bookmarkStart w:id="757" w:name="_Toc8469"/>
      <w:bookmarkStart w:id="758" w:name="_Toc187800074"/>
      <w:r>
        <w:rPr>
          <w:rFonts w:hint="default" w:ascii="Times New Roman" w:hAnsi="Times New Roman" w:eastAsia="宋体" w:cs="Times New Roman"/>
          <w:color w:val="auto"/>
          <w:highlight w:val="none"/>
        </w:rPr>
        <w:t>表8.3-</w:t>
      </w:r>
      <w:r>
        <w:rPr>
          <w:rFonts w:hint="eastAsia" w:ascii="Times New Roman" w:hAnsi="Times New Roman" w:eastAsia="宋体" w:cs="Times New Roman"/>
          <w:color w:val="auto"/>
          <w:highlight w:val="none"/>
          <w:lang w:val="en-US" w:eastAsia="zh-CN"/>
        </w:rPr>
        <w:t>2    生态环境监测计划</w:t>
      </w:r>
    </w:p>
    <w:tbl>
      <w:tblPr>
        <w:tblStyle w:val="31"/>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845"/>
        <w:gridCol w:w="1513"/>
        <w:gridCol w:w="3210"/>
        <w:gridCol w:w="2813"/>
      </w:tblGrid>
      <w:tr w14:paraId="1A1AA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93" w:hRule="exact"/>
        </w:trPr>
        <w:tc>
          <w:tcPr>
            <w:tcW w:w="983" w:type="pct"/>
            <w:tcMar>
              <w:top w:w="60" w:type="dxa"/>
              <w:left w:w="120" w:type="dxa"/>
              <w:bottom w:w="30" w:type="dxa"/>
              <w:right w:w="120" w:type="dxa"/>
            </w:tcMar>
            <w:vAlign w:val="center"/>
          </w:tcPr>
          <w:p w14:paraId="4AB0BCCA">
            <w:pPr>
              <w:pStyle w:val="71"/>
              <w:keepNext w:val="0"/>
              <w:keepLines w:val="0"/>
              <w:pageBreakBefore w:val="0"/>
              <w:widowControl/>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监测因子</w:t>
            </w:r>
          </w:p>
        </w:tc>
        <w:tc>
          <w:tcPr>
            <w:tcW w:w="806" w:type="pct"/>
            <w:tcMar>
              <w:top w:w="60" w:type="dxa"/>
              <w:left w:w="120" w:type="dxa"/>
              <w:bottom w:w="30" w:type="dxa"/>
              <w:right w:w="120" w:type="dxa"/>
            </w:tcMar>
            <w:vAlign w:val="center"/>
          </w:tcPr>
          <w:p w14:paraId="7E6883D8">
            <w:pPr>
              <w:pStyle w:val="71"/>
              <w:keepNext w:val="0"/>
              <w:keepLines w:val="0"/>
              <w:pageBreakBefore w:val="0"/>
              <w:widowControl/>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监测</w:t>
            </w:r>
            <w:r>
              <w:rPr>
                <w:rFonts w:hint="default" w:ascii="Times New Roman" w:hAnsi="Times New Roman" w:eastAsia="宋体" w:cs="Times New Roman"/>
                <w:sz w:val="24"/>
                <w:szCs w:val="24"/>
                <w:lang w:val="en-US" w:eastAsia="zh-CN"/>
              </w:rPr>
              <w:t>方法</w:t>
            </w:r>
          </w:p>
        </w:tc>
        <w:tc>
          <w:tcPr>
            <w:tcW w:w="1710" w:type="pct"/>
            <w:tcMar>
              <w:top w:w="60" w:type="dxa"/>
              <w:left w:w="120" w:type="dxa"/>
              <w:bottom w:w="30" w:type="dxa"/>
              <w:right w:w="120" w:type="dxa"/>
            </w:tcMar>
            <w:vAlign w:val="center"/>
          </w:tcPr>
          <w:p w14:paraId="46492B37">
            <w:pPr>
              <w:pStyle w:val="71"/>
              <w:keepNext w:val="0"/>
              <w:keepLines w:val="0"/>
              <w:pageBreakBefore w:val="0"/>
              <w:widowControl/>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监测</w:t>
            </w:r>
            <w:r>
              <w:rPr>
                <w:rFonts w:hint="default" w:ascii="Times New Roman" w:hAnsi="Times New Roman" w:eastAsia="宋体" w:cs="Times New Roman"/>
                <w:sz w:val="24"/>
                <w:szCs w:val="24"/>
                <w:lang w:val="en-US" w:eastAsia="zh-CN"/>
              </w:rPr>
              <w:t>频次</w:t>
            </w:r>
          </w:p>
        </w:tc>
        <w:tc>
          <w:tcPr>
            <w:tcW w:w="1498" w:type="pct"/>
            <w:tcMar>
              <w:top w:w="60" w:type="dxa"/>
              <w:left w:w="120" w:type="dxa"/>
              <w:bottom w:w="30" w:type="dxa"/>
              <w:right w:w="120" w:type="dxa"/>
            </w:tcMar>
            <w:vAlign w:val="center"/>
          </w:tcPr>
          <w:p w14:paraId="2B079DB2">
            <w:pPr>
              <w:pStyle w:val="71"/>
              <w:keepNext w:val="0"/>
              <w:keepLines w:val="0"/>
              <w:pageBreakBefore w:val="0"/>
              <w:widowControl/>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监测点位</w:t>
            </w:r>
          </w:p>
        </w:tc>
      </w:tr>
      <w:tr w14:paraId="117EF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0" w:hRule="atLeast"/>
        </w:trPr>
        <w:tc>
          <w:tcPr>
            <w:tcW w:w="983" w:type="pct"/>
            <w:tcMar>
              <w:top w:w="60" w:type="dxa"/>
              <w:left w:w="120" w:type="dxa"/>
              <w:bottom w:w="30" w:type="dxa"/>
              <w:right w:w="120" w:type="dxa"/>
            </w:tcMar>
            <w:vAlign w:val="center"/>
          </w:tcPr>
          <w:p w14:paraId="665A1E1A">
            <w:pPr>
              <w:pStyle w:val="71"/>
              <w:keepNext w:val="0"/>
              <w:keepLines w:val="0"/>
              <w:pageBreakBefore w:val="0"/>
              <w:widowControl/>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植被覆盖度</w:t>
            </w:r>
          </w:p>
        </w:tc>
        <w:tc>
          <w:tcPr>
            <w:tcW w:w="806" w:type="pct"/>
            <w:tcMar>
              <w:top w:w="60" w:type="dxa"/>
              <w:left w:w="120" w:type="dxa"/>
              <w:bottom w:w="30" w:type="dxa"/>
              <w:right w:w="120" w:type="dxa"/>
            </w:tcMar>
            <w:vAlign w:val="center"/>
          </w:tcPr>
          <w:p w14:paraId="7EA900FF">
            <w:pPr>
              <w:pStyle w:val="71"/>
              <w:keepNext w:val="0"/>
              <w:keepLines w:val="0"/>
              <w:pageBreakBefore w:val="0"/>
              <w:widowControl/>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样方法</w:t>
            </w:r>
          </w:p>
        </w:tc>
        <w:tc>
          <w:tcPr>
            <w:tcW w:w="1710" w:type="pct"/>
            <w:tcMar>
              <w:top w:w="60" w:type="dxa"/>
              <w:left w:w="120" w:type="dxa"/>
              <w:bottom w:w="30" w:type="dxa"/>
              <w:right w:w="120" w:type="dxa"/>
            </w:tcMar>
            <w:vAlign w:val="center"/>
          </w:tcPr>
          <w:p w14:paraId="4574310D">
            <w:pPr>
              <w:pStyle w:val="71"/>
              <w:keepNext w:val="0"/>
              <w:keepLines w:val="0"/>
              <w:pageBreakBefore w:val="0"/>
              <w:widowControl/>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运营期每半年1次；闭矿恢复期每年1次，持续5年</w:t>
            </w:r>
          </w:p>
        </w:tc>
        <w:tc>
          <w:tcPr>
            <w:tcW w:w="1498" w:type="pct"/>
            <w:tcMar>
              <w:top w:w="60" w:type="dxa"/>
              <w:left w:w="120" w:type="dxa"/>
              <w:bottom w:w="30" w:type="dxa"/>
              <w:right w:w="120" w:type="dxa"/>
            </w:tcMar>
            <w:vAlign w:val="center"/>
          </w:tcPr>
          <w:p w14:paraId="0CC9EFB1">
            <w:pPr>
              <w:pStyle w:val="71"/>
              <w:keepNext w:val="0"/>
              <w:keepLines w:val="0"/>
              <w:pageBreakBefore w:val="0"/>
              <w:widowControl/>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露天开采区，排土场，弃土场，工业广场</w:t>
            </w:r>
          </w:p>
        </w:tc>
      </w:tr>
      <w:tr w14:paraId="64790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0" w:hRule="atLeast"/>
        </w:trPr>
        <w:tc>
          <w:tcPr>
            <w:tcW w:w="983" w:type="pct"/>
            <w:tcMar>
              <w:top w:w="60" w:type="dxa"/>
              <w:left w:w="120" w:type="dxa"/>
              <w:bottom w:w="30" w:type="dxa"/>
              <w:right w:w="120" w:type="dxa"/>
            </w:tcMar>
            <w:vAlign w:val="center"/>
          </w:tcPr>
          <w:p w14:paraId="34013370">
            <w:pPr>
              <w:pStyle w:val="71"/>
              <w:keepNext w:val="0"/>
              <w:keepLines w:val="0"/>
              <w:pageBreakBefore w:val="0"/>
              <w:widowControl/>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闭矿期</w:t>
            </w:r>
            <w:r>
              <w:rPr>
                <w:rFonts w:hint="default" w:ascii="Times New Roman" w:hAnsi="Times New Roman" w:eastAsia="宋体" w:cs="Times New Roman"/>
                <w:sz w:val="24"/>
                <w:szCs w:val="24"/>
              </w:rPr>
              <w:t>覆土后植被成活率</w:t>
            </w:r>
          </w:p>
        </w:tc>
        <w:tc>
          <w:tcPr>
            <w:tcW w:w="806" w:type="pct"/>
            <w:tcMar>
              <w:top w:w="60" w:type="dxa"/>
              <w:left w:w="120" w:type="dxa"/>
              <w:bottom w:w="30" w:type="dxa"/>
              <w:right w:w="120" w:type="dxa"/>
            </w:tcMar>
            <w:vAlign w:val="center"/>
          </w:tcPr>
          <w:p w14:paraId="62EC6A5F">
            <w:pPr>
              <w:pStyle w:val="71"/>
              <w:keepNext w:val="0"/>
              <w:keepLines w:val="0"/>
              <w:pageBreakBefore w:val="0"/>
              <w:widowControl/>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样方法</w:t>
            </w:r>
          </w:p>
        </w:tc>
        <w:tc>
          <w:tcPr>
            <w:tcW w:w="1710" w:type="pct"/>
            <w:tcMar>
              <w:top w:w="60" w:type="dxa"/>
              <w:left w:w="120" w:type="dxa"/>
              <w:bottom w:w="30" w:type="dxa"/>
              <w:right w:w="120" w:type="dxa"/>
            </w:tcMar>
            <w:vAlign w:val="center"/>
          </w:tcPr>
          <w:p w14:paraId="073F6749">
            <w:pPr>
              <w:pStyle w:val="71"/>
              <w:keepNext w:val="0"/>
              <w:keepLines w:val="0"/>
              <w:pageBreakBefore w:val="0"/>
              <w:widowControl/>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闭矿恢复期每年1次，持续5年</w:t>
            </w:r>
          </w:p>
        </w:tc>
        <w:tc>
          <w:tcPr>
            <w:tcW w:w="1498" w:type="pct"/>
            <w:tcMar>
              <w:top w:w="60" w:type="dxa"/>
              <w:left w:w="120" w:type="dxa"/>
              <w:bottom w:w="30" w:type="dxa"/>
              <w:right w:w="120" w:type="dxa"/>
            </w:tcMar>
            <w:vAlign w:val="center"/>
          </w:tcPr>
          <w:p w14:paraId="30E05A51">
            <w:pPr>
              <w:pStyle w:val="71"/>
              <w:keepNext w:val="0"/>
              <w:keepLines w:val="0"/>
              <w:pageBreakBefore w:val="0"/>
              <w:widowControl/>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排土场、露天采矿场、弃土场、工业广场</w:t>
            </w:r>
          </w:p>
        </w:tc>
      </w:tr>
      <w:tr w14:paraId="2C186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0" w:hRule="atLeast"/>
        </w:trPr>
        <w:tc>
          <w:tcPr>
            <w:tcW w:w="983" w:type="pct"/>
            <w:tcMar>
              <w:top w:w="60" w:type="dxa"/>
              <w:left w:w="120" w:type="dxa"/>
              <w:bottom w:w="30" w:type="dxa"/>
              <w:right w:w="120" w:type="dxa"/>
            </w:tcMar>
            <w:vAlign w:val="center"/>
          </w:tcPr>
          <w:p w14:paraId="12324E55">
            <w:pPr>
              <w:pStyle w:val="71"/>
              <w:keepNext w:val="0"/>
              <w:keepLines w:val="0"/>
              <w:pageBreakBefore w:val="0"/>
              <w:widowControl/>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土壤有机质含量</w:t>
            </w:r>
          </w:p>
        </w:tc>
        <w:tc>
          <w:tcPr>
            <w:tcW w:w="806" w:type="pct"/>
            <w:tcMar>
              <w:top w:w="60" w:type="dxa"/>
              <w:left w:w="120" w:type="dxa"/>
              <w:bottom w:w="30" w:type="dxa"/>
              <w:right w:w="120" w:type="dxa"/>
            </w:tcMar>
            <w:vAlign w:val="center"/>
          </w:tcPr>
          <w:p w14:paraId="02328A6F">
            <w:pPr>
              <w:pStyle w:val="71"/>
              <w:keepNext w:val="0"/>
              <w:keepLines w:val="0"/>
              <w:pageBreakBefore w:val="0"/>
              <w:widowControl/>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土壤采用实验室分析</w:t>
            </w:r>
          </w:p>
        </w:tc>
        <w:tc>
          <w:tcPr>
            <w:tcW w:w="1710" w:type="pct"/>
            <w:tcMar>
              <w:top w:w="60" w:type="dxa"/>
              <w:left w:w="120" w:type="dxa"/>
              <w:bottom w:w="30" w:type="dxa"/>
              <w:right w:w="120" w:type="dxa"/>
            </w:tcMar>
            <w:vAlign w:val="center"/>
          </w:tcPr>
          <w:p w14:paraId="1C329058">
            <w:pPr>
              <w:pStyle w:val="71"/>
              <w:keepNext w:val="0"/>
              <w:keepLines w:val="0"/>
              <w:pageBreakBefore w:val="0"/>
              <w:widowControl/>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闭矿恢复期每年1次，持续5年</w:t>
            </w:r>
          </w:p>
        </w:tc>
        <w:tc>
          <w:tcPr>
            <w:tcW w:w="1498" w:type="pct"/>
            <w:tcMar>
              <w:top w:w="60" w:type="dxa"/>
              <w:left w:w="120" w:type="dxa"/>
              <w:bottom w:w="30" w:type="dxa"/>
              <w:right w:w="120" w:type="dxa"/>
            </w:tcMar>
            <w:vAlign w:val="center"/>
          </w:tcPr>
          <w:p w14:paraId="518EAB10">
            <w:pPr>
              <w:pStyle w:val="71"/>
              <w:keepNext w:val="0"/>
              <w:keepLines w:val="0"/>
              <w:pageBreakBefore w:val="0"/>
              <w:widowControl/>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排土场、露天采矿场、弃土场、工业广场</w:t>
            </w:r>
          </w:p>
        </w:tc>
      </w:tr>
      <w:tr w14:paraId="71B9F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0" w:hRule="atLeast"/>
        </w:trPr>
        <w:tc>
          <w:tcPr>
            <w:tcW w:w="983" w:type="pct"/>
            <w:tcMar>
              <w:top w:w="60" w:type="dxa"/>
              <w:left w:w="120" w:type="dxa"/>
              <w:bottom w:w="30" w:type="dxa"/>
              <w:right w:w="120" w:type="dxa"/>
            </w:tcMar>
            <w:vAlign w:val="center"/>
          </w:tcPr>
          <w:p w14:paraId="1C8E31B4">
            <w:pPr>
              <w:pStyle w:val="71"/>
              <w:keepNext w:val="0"/>
              <w:keepLines w:val="0"/>
              <w:pageBreakBefore w:val="0"/>
              <w:widowControl/>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陆生动物</w:t>
            </w:r>
          </w:p>
        </w:tc>
        <w:tc>
          <w:tcPr>
            <w:tcW w:w="806" w:type="pct"/>
            <w:tcMar>
              <w:top w:w="60" w:type="dxa"/>
              <w:left w:w="120" w:type="dxa"/>
              <w:bottom w:w="30" w:type="dxa"/>
              <w:right w:w="120" w:type="dxa"/>
            </w:tcMar>
            <w:vAlign w:val="center"/>
          </w:tcPr>
          <w:p w14:paraId="5394E142">
            <w:pPr>
              <w:pStyle w:val="71"/>
              <w:keepNext w:val="0"/>
              <w:keepLines w:val="0"/>
              <w:pageBreakBefore w:val="0"/>
              <w:widowControl/>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红外相机</w:t>
            </w:r>
          </w:p>
        </w:tc>
        <w:tc>
          <w:tcPr>
            <w:tcW w:w="1710" w:type="pct"/>
            <w:tcMar>
              <w:top w:w="60" w:type="dxa"/>
              <w:left w:w="120" w:type="dxa"/>
              <w:bottom w:w="30" w:type="dxa"/>
              <w:right w:w="120" w:type="dxa"/>
            </w:tcMar>
            <w:vAlign w:val="center"/>
          </w:tcPr>
          <w:p w14:paraId="7EC6373B">
            <w:pPr>
              <w:pStyle w:val="71"/>
              <w:keepNext w:val="0"/>
              <w:keepLines w:val="0"/>
              <w:pageBreakBefore w:val="0"/>
              <w:widowControl/>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运营期每半年1次；闭矿恢复期每年1次，持续 5 年</w:t>
            </w:r>
          </w:p>
        </w:tc>
        <w:tc>
          <w:tcPr>
            <w:tcW w:w="1498" w:type="pct"/>
            <w:tcMar>
              <w:top w:w="60" w:type="dxa"/>
              <w:left w:w="120" w:type="dxa"/>
              <w:bottom w:w="30" w:type="dxa"/>
              <w:right w:w="120" w:type="dxa"/>
            </w:tcMar>
            <w:vAlign w:val="center"/>
          </w:tcPr>
          <w:p w14:paraId="11C93C15">
            <w:pPr>
              <w:pStyle w:val="71"/>
              <w:keepNext w:val="0"/>
              <w:keepLines w:val="0"/>
              <w:pageBreakBefore w:val="0"/>
              <w:widowControl/>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排土场、露天采矿场、弃土场、工业广场</w:t>
            </w:r>
          </w:p>
        </w:tc>
      </w:tr>
    </w:tbl>
    <w:p w14:paraId="2572F2F4">
      <w:pPr>
        <w:rPr>
          <w:rFonts w:hint="default"/>
          <w:lang w:val="en-US" w:eastAsia="zh-CN"/>
        </w:rPr>
      </w:pPr>
    </w:p>
    <w:p w14:paraId="08C7D99E">
      <w:pPr>
        <w:rPr>
          <w:rFonts w:hint="default"/>
          <w:lang w:val="en-US" w:eastAsia="zh-CN"/>
        </w:rPr>
      </w:pPr>
    </w:p>
    <w:p w14:paraId="4EC69E4B">
      <w:pPr>
        <w:pStyle w:val="3"/>
        <w:bidi w:val="0"/>
        <w:rPr>
          <w:rFonts w:hint="default"/>
          <w:lang w:val="en-US" w:eastAsia="zh-CN"/>
        </w:rPr>
      </w:pPr>
      <w:r>
        <w:rPr>
          <w:rFonts w:hint="default"/>
          <w:lang w:val="en-US" w:eastAsia="zh-CN"/>
        </w:rPr>
        <w:t>环境管理措施及环保行动计划</w:t>
      </w:r>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p>
    <w:p w14:paraId="3418B567">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本工程</w:t>
      </w:r>
      <w:r>
        <w:rPr>
          <w:rFonts w:hint="default" w:ascii="Times New Roman" w:hAnsi="Times New Roman" w:cs="Times New Roman"/>
          <w:color w:val="auto"/>
          <w:highlight w:val="none"/>
        </w:rPr>
        <w:t>环境管理措施及环保行动计划见表8.4-1、8.4-2。</w:t>
      </w:r>
    </w:p>
    <w:p w14:paraId="48A901B6">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表8.4-1    营运期环境管理措施</w:t>
      </w:r>
    </w:p>
    <w:tbl>
      <w:tblPr>
        <w:tblStyle w:val="31"/>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770"/>
        <w:gridCol w:w="994"/>
        <w:gridCol w:w="1598"/>
      </w:tblGrid>
      <w:tr w14:paraId="1C189D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3615" w:type="pct"/>
            <w:noWrap w:val="0"/>
            <w:vAlign w:val="center"/>
          </w:tcPr>
          <w:p w14:paraId="4C3C3BE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环境监控管理措施</w:t>
            </w:r>
          </w:p>
        </w:tc>
        <w:tc>
          <w:tcPr>
            <w:tcW w:w="531" w:type="pct"/>
            <w:noWrap w:val="0"/>
            <w:vAlign w:val="center"/>
          </w:tcPr>
          <w:p w14:paraId="4587728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实施方</w:t>
            </w:r>
          </w:p>
        </w:tc>
        <w:tc>
          <w:tcPr>
            <w:tcW w:w="853" w:type="pct"/>
            <w:noWrap w:val="0"/>
            <w:vAlign w:val="center"/>
          </w:tcPr>
          <w:p w14:paraId="33122D4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监督管理</w:t>
            </w:r>
          </w:p>
        </w:tc>
      </w:tr>
      <w:tr w14:paraId="7D89B3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615" w:type="pct"/>
            <w:noWrap w:val="0"/>
            <w:vAlign w:val="center"/>
          </w:tcPr>
          <w:p w14:paraId="0EC1ABD7">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（1）废气</w:t>
            </w:r>
          </w:p>
          <w:p w14:paraId="38967198">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①工作面和采装点喷雾洒水降尘。</w:t>
            </w:r>
          </w:p>
          <w:p w14:paraId="4BCC5095">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②矿石装卸过程控制落差，降低扬尘量。</w:t>
            </w:r>
          </w:p>
          <w:p w14:paraId="608AD01F">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③矿区道路路面</w:t>
            </w:r>
            <w:r>
              <w:rPr>
                <w:rFonts w:hint="default" w:ascii="Times New Roman" w:hAnsi="Times New Roman" w:cs="Times New Roman"/>
                <w:color w:val="auto"/>
                <w:highlight w:val="none"/>
                <w:lang w:eastAsia="zh-CN"/>
              </w:rPr>
              <w:t>做</w:t>
            </w:r>
            <w:r>
              <w:rPr>
                <w:rFonts w:hint="default" w:ascii="Times New Roman" w:hAnsi="Times New Roman" w:eastAsia="宋体" w:cs="Times New Roman"/>
                <w:color w:val="auto"/>
                <w:highlight w:val="none"/>
              </w:rPr>
              <w:t>硬化处理及运输道路洒水</w:t>
            </w:r>
            <w:r>
              <w:rPr>
                <w:rFonts w:hint="default" w:ascii="Times New Roman" w:hAnsi="Times New Roman" w:cs="Times New Roman"/>
                <w:color w:val="auto"/>
                <w:highlight w:val="none"/>
                <w:lang w:eastAsia="zh-CN"/>
              </w:rPr>
              <w:t>。</w:t>
            </w:r>
          </w:p>
          <w:p w14:paraId="114FD050">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④加强工人的个人防护</w:t>
            </w:r>
            <w:r>
              <w:rPr>
                <w:rFonts w:hint="default" w:ascii="Times New Roman" w:hAnsi="Times New Roman" w:cs="Times New Roman"/>
                <w:color w:val="auto"/>
                <w:highlight w:val="none"/>
                <w:lang w:eastAsia="zh-CN"/>
              </w:rPr>
              <w:t>。</w:t>
            </w:r>
          </w:p>
          <w:p w14:paraId="3C601C15">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⑤定期对矿区无组织排放粉尘进行监测</w:t>
            </w:r>
            <w:r>
              <w:rPr>
                <w:rFonts w:hint="default" w:ascii="Times New Roman" w:hAnsi="Times New Roman" w:cs="Times New Roman"/>
                <w:color w:val="auto"/>
                <w:highlight w:val="none"/>
                <w:lang w:eastAsia="zh-CN"/>
              </w:rPr>
              <w:t>。</w:t>
            </w:r>
          </w:p>
        </w:tc>
        <w:tc>
          <w:tcPr>
            <w:tcW w:w="531" w:type="pct"/>
            <w:noWrap w:val="0"/>
            <w:vAlign w:val="center"/>
          </w:tcPr>
          <w:p w14:paraId="06982C3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w:t>
            </w:r>
          </w:p>
          <w:p w14:paraId="5C4C36B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单位</w:t>
            </w:r>
          </w:p>
        </w:tc>
        <w:tc>
          <w:tcPr>
            <w:tcW w:w="853" w:type="pct"/>
            <w:noWrap w:val="0"/>
            <w:vAlign w:val="center"/>
          </w:tcPr>
          <w:p w14:paraId="72226EB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昌吉州生态环境局阜康市分局</w:t>
            </w:r>
          </w:p>
        </w:tc>
      </w:tr>
      <w:tr w14:paraId="7C2337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615" w:type="pct"/>
            <w:noWrap w:val="0"/>
            <w:vAlign w:val="center"/>
          </w:tcPr>
          <w:p w14:paraId="717E9FAD">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（2）废水</w:t>
            </w:r>
          </w:p>
          <w:p w14:paraId="5B33DCFF">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①生活污水严禁随意泼洒，</w:t>
            </w:r>
            <w:r>
              <w:rPr>
                <w:rFonts w:hint="default" w:ascii="Times New Roman" w:hAnsi="Times New Roman" w:cs="Times New Roman"/>
                <w:color w:val="auto"/>
                <w:highlight w:val="none"/>
                <w:lang w:val="en-US" w:eastAsia="zh-CN"/>
              </w:rPr>
              <w:t>经</w:t>
            </w:r>
            <w:r>
              <w:rPr>
                <w:rFonts w:hint="default" w:ascii="Times New Roman" w:hAnsi="Times New Roman" w:eastAsia="宋体" w:cs="Times New Roman"/>
                <w:color w:val="auto"/>
                <w:highlight w:val="none"/>
              </w:rPr>
              <w:t>地埋式一体化污水处理设施处理后综合利用，不外排</w:t>
            </w:r>
            <w:r>
              <w:rPr>
                <w:rFonts w:hint="default" w:ascii="Times New Roman" w:hAnsi="Times New Roman" w:eastAsia="宋体" w:cs="Times New Roman"/>
                <w:color w:val="auto"/>
                <w:highlight w:val="none"/>
                <w:lang w:val="en-US" w:eastAsia="zh-CN"/>
              </w:rPr>
              <w:t>。</w:t>
            </w:r>
          </w:p>
          <w:p w14:paraId="18126B51">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②</w:t>
            </w:r>
            <w:r>
              <w:rPr>
                <w:rFonts w:hint="default" w:ascii="Times New Roman" w:hAnsi="Times New Roman" w:cs="Times New Roman"/>
                <w:color w:val="auto"/>
                <w:highlight w:val="none"/>
                <w:lang w:val="en-US" w:eastAsia="zh-CN"/>
              </w:rPr>
              <w:t>生产废水经沉淀后回用于生产。</w:t>
            </w:r>
          </w:p>
        </w:tc>
        <w:tc>
          <w:tcPr>
            <w:tcW w:w="531" w:type="pct"/>
            <w:noWrap w:val="0"/>
            <w:vAlign w:val="center"/>
          </w:tcPr>
          <w:p w14:paraId="753C4DD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w:t>
            </w:r>
          </w:p>
          <w:p w14:paraId="6F222EA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单位</w:t>
            </w:r>
          </w:p>
        </w:tc>
        <w:tc>
          <w:tcPr>
            <w:tcW w:w="853" w:type="pct"/>
            <w:noWrap w:val="0"/>
            <w:vAlign w:val="center"/>
          </w:tcPr>
          <w:p w14:paraId="421064A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昌吉州生态环境局阜康市分局</w:t>
            </w:r>
          </w:p>
        </w:tc>
      </w:tr>
      <w:tr w14:paraId="0BECFB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615" w:type="pct"/>
            <w:noWrap w:val="0"/>
            <w:vAlign w:val="center"/>
          </w:tcPr>
          <w:p w14:paraId="35B05B9D">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（3）固体废物</w:t>
            </w:r>
          </w:p>
          <w:p w14:paraId="556E57EA">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①</w:t>
            </w:r>
            <w:r>
              <w:rPr>
                <w:rFonts w:hint="default" w:ascii="Times New Roman" w:hAnsi="Times New Roman" w:eastAsia="宋体" w:cs="Times New Roman"/>
                <w:color w:val="auto"/>
                <w:highlight w:val="none"/>
                <w:lang w:val="en-US" w:eastAsia="zh-CN"/>
              </w:rPr>
              <w:t>废料废土</w:t>
            </w:r>
            <w:r>
              <w:rPr>
                <w:rFonts w:hint="default" w:ascii="Times New Roman" w:hAnsi="Times New Roman" w:eastAsia="宋体" w:cs="Times New Roman"/>
                <w:color w:val="auto"/>
                <w:highlight w:val="none"/>
              </w:rPr>
              <w:t>合理堆放，</w:t>
            </w:r>
            <w:r>
              <w:rPr>
                <w:rFonts w:hint="default" w:ascii="Times New Roman" w:hAnsi="Times New Roman" w:eastAsia="宋体" w:cs="Times New Roman"/>
                <w:color w:val="auto"/>
                <w:highlight w:val="none"/>
                <w:lang w:val="en-US" w:eastAsia="zh-CN"/>
              </w:rPr>
              <w:t>采取</w:t>
            </w:r>
            <w:r>
              <w:rPr>
                <w:rFonts w:hint="default" w:ascii="Times New Roman" w:hAnsi="Times New Roman" w:cs="Times New Roman"/>
                <w:color w:val="auto"/>
                <w:highlight w:val="none"/>
                <w:lang w:val="en-US" w:eastAsia="zh-CN"/>
              </w:rPr>
              <w:t>边</w:t>
            </w:r>
            <w:r>
              <w:rPr>
                <w:rFonts w:hint="default" w:ascii="Times New Roman" w:hAnsi="Times New Roman" w:eastAsia="宋体" w:cs="Times New Roman"/>
                <w:color w:val="auto"/>
                <w:highlight w:val="none"/>
                <w:lang w:val="en-US" w:eastAsia="zh-CN"/>
              </w:rPr>
              <w:t>开采边回填采坑。</w:t>
            </w:r>
          </w:p>
          <w:p w14:paraId="391BFCDC">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②生活垃圾集中收集，由</w:t>
            </w:r>
            <w:r>
              <w:rPr>
                <w:rFonts w:hint="default" w:ascii="Times New Roman" w:hAnsi="Times New Roman" w:cs="Times New Roman"/>
                <w:color w:val="auto"/>
                <w:highlight w:val="none"/>
                <w:lang w:val="en-US" w:eastAsia="zh-CN"/>
              </w:rPr>
              <w:t>阜康市生活垃圾填埋无害化处理场</w:t>
            </w:r>
            <w:r>
              <w:rPr>
                <w:rFonts w:hint="default" w:ascii="Times New Roman" w:hAnsi="Times New Roman" w:cs="Times New Roman"/>
                <w:color w:val="auto"/>
                <w:highlight w:val="none"/>
                <w:lang w:eastAsia="zh-CN"/>
              </w:rPr>
              <w:t>填埋</w:t>
            </w:r>
            <w:r>
              <w:rPr>
                <w:rFonts w:hint="default" w:ascii="Times New Roman" w:hAnsi="Times New Roman" w:eastAsia="宋体" w:cs="Times New Roman"/>
                <w:color w:val="auto"/>
                <w:highlight w:val="none"/>
              </w:rPr>
              <w:t>处置。</w:t>
            </w:r>
          </w:p>
        </w:tc>
        <w:tc>
          <w:tcPr>
            <w:tcW w:w="531" w:type="pct"/>
            <w:noWrap w:val="0"/>
            <w:vAlign w:val="center"/>
          </w:tcPr>
          <w:p w14:paraId="31A0093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w:t>
            </w:r>
          </w:p>
          <w:p w14:paraId="388817D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单位</w:t>
            </w:r>
          </w:p>
        </w:tc>
        <w:tc>
          <w:tcPr>
            <w:tcW w:w="853" w:type="pct"/>
            <w:noWrap w:val="0"/>
            <w:vAlign w:val="center"/>
          </w:tcPr>
          <w:p w14:paraId="7C364FC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昌吉州生态环境局阜康市分局</w:t>
            </w:r>
          </w:p>
        </w:tc>
      </w:tr>
      <w:tr w14:paraId="0B29A5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615" w:type="pct"/>
            <w:noWrap w:val="0"/>
            <w:vAlign w:val="center"/>
          </w:tcPr>
          <w:p w14:paraId="055060A7">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（4）噪声</w:t>
            </w:r>
          </w:p>
          <w:p w14:paraId="151FC048">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①选用低噪声设备及必要的消声措施。</w:t>
            </w:r>
          </w:p>
          <w:p w14:paraId="458BBD3D">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②保持设备良好的运营工况，及时维修检修。</w:t>
            </w:r>
          </w:p>
          <w:p w14:paraId="01A00BA6">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③加强个人防护。</w:t>
            </w:r>
          </w:p>
        </w:tc>
        <w:tc>
          <w:tcPr>
            <w:tcW w:w="531" w:type="pct"/>
            <w:noWrap w:val="0"/>
            <w:vAlign w:val="center"/>
          </w:tcPr>
          <w:p w14:paraId="59E1C83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w:t>
            </w:r>
          </w:p>
          <w:p w14:paraId="3F49AC5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单位</w:t>
            </w:r>
          </w:p>
        </w:tc>
        <w:tc>
          <w:tcPr>
            <w:tcW w:w="853" w:type="pct"/>
            <w:noWrap w:val="0"/>
            <w:vAlign w:val="center"/>
          </w:tcPr>
          <w:p w14:paraId="4AB97B8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昌吉州生态环境局阜康市分局</w:t>
            </w:r>
          </w:p>
        </w:tc>
      </w:tr>
      <w:tr w14:paraId="31FA0F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615" w:type="pct"/>
            <w:noWrap w:val="0"/>
            <w:vAlign w:val="center"/>
          </w:tcPr>
          <w:p w14:paraId="58068B84">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default" w:ascii="Times New Roman" w:hAnsi="Times New Roman" w:eastAsia="宋体" w:cs="Times New Roman"/>
                <w:color w:val="auto"/>
                <w:highlight w:val="none"/>
              </w:rPr>
              <w:t>5）生</w:t>
            </w:r>
            <w:r>
              <w:rPr>
                <w:rFonts w:hint="default" w:ascii="Times New Roman" w:hAnsi="Times New Roman" w:cs="Times New Roman"/>
                <w:color w:val="auto"/>
                <w:highlight w:val="none"/>
              </w:rPr>
              <w:t>态保护</w:t>
            </w:r>
          </w:p>
          <w:p w14:paraId="69227726">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①控制开采活动地表扰动面积。</w:t>
            </w:r>
          </w:p>
          <w:p w14:paraId="7EE175B8">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②限制车辆行驶路线，减小影响范围。</w:t>
            </w:r>
          </w:p>
          <w:p w14:paraId="276FBCB3">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③做好水土保持工作。</w:t>
            </w:r>
          </w:p>
          <w:p w14:paraId="24E846DC">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④开采结束尽快开展生态恢复建设工作</w:t>
            </w:r>
            <w:r>
              <w:rPr>
                <w:rFonts w:hint="default" w:ascii="Times New Roman" w:hAnsi="Times New Roman" w:cs="Times New Roman"/>
                <w:color w:val="auto"/>
                <w:highlight w:val="none"/>
                <w:lang w:eastAsia="zh-CN"/>
              </w:rPr>
              <w:t>。</w:t>
            </w:r>
          </w:p>
        </w:tc>
        <w:tc>
          <w:tcPr>
            <w:tcW w:w="531" w:type="pct"/>
            <w:noWrap w:val="0"/>
            <w:vAlign w:val="center"/>
          </w:tcPr>
          <w:p w14:paraId="461E149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w:t>
            </w:r>
          </w:p>
          <w:p w14:paraId="0B4DAD6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单位</w:t>
            </w:r>
          </w:p>
        </w:tc>
        <w:tc>
          <w:tcPr>
            <w:tcW w:w="853" w:type="pct"/>
            <w:noWrap w:val="0"/>
            <w:vAlign w:val="center"/>
          </w:tcPr>
          <w:p w14:paraId="6508823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昌吉州生态环境局阜康市分局</w:t>
            </w:r>
          </w:p>
        </w:tc>
      </w:tr>
      <w:tr w14:paraId="1C06E5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615" w:type="pct"/>
            <w:noWrap w:val="0"/>
            <w:vAlign w:val="center"/>
          </w:tcPr>
          <w:p w14:paraId="49273343">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val="en-US" w:eastAsia="zh-CN"/>
              </w:rPr>
              <w:t>6</w:t>
            </w:r>
            <w:r>
              <w:rPr>
                <w:rFonts w:hint="default" w:ascii="Times New Roman" w:hAnsi="Times New Roman" w:eastAsia="宋体" w:cs="Times New Roman"/>
                <w:color w:val="auto"/>
                <w:highlight w:val="none"/>
              </w:rPr>
              <w:t>）环境管理</w:t>
            </w:r>
          </w:p>
          <w:p w14:paraId="4D7AFD39">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①建立环境管理，制定环境管理手段，按要求开展环境监测，完善矿区环境管理工作。</w:t>
            </w:r>
          </w:p>
        </w:tc>
        <w:tc>
          <w:tcPr>
            <w:tcW w:w="531" w:type="pct"/>
            <w:noWrap w:val="0"/>
            <w:vAlign w:val="center"/>
          </w:tcPr>
          <w:p w14:paraId="6804EAF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w:t>
            </w:r>
          </w:p>
          <w:p w14:paraId="4476D06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单位</w:t>
            </w:r>
          </w:p>
        </w:tc>
        <w:tc>
          <w:tcPr>
            <w:tcW w:w="853" w:type="pct"/>
            <w:noWrap w:val="0"/>
            <w:vAlign w:val="center"/>
          </w:tcPr>
          <w:p w14:paraId="170A33E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昌吉州生态环境局阜康市分局</w:t>
            </w:r>
          </w:p>
        </w:tc>
      </w:tr>
    </w:tbl>
    <w:p w14:paraId="3337522E">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表8.4-2    环保行动计划</w:t>
      </w:r>
    </w:p>
    <w:tbl>
      <w:tblPr>
        <w:tblStyle w:val="31"/>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59"/>
        <w:gridCol w:w="1257"/>
        <w:gridCol w:w="5316"/>
        <w:gridCol w:w="974"/>
        <w:gridCol w:w="1056"/>
      </w:tblGrid>
      <w:tr w14:paraId="2D4730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blHeader/>
          <w:jc w:val="center"/>
        </w:trPr>
        <w:tc>
          <w:tcPr>
            <w:tcW w:w="405" w:type="pct"/>
            <w:tcBorders>
              <w:tl2br w:val="nil"/>
              <w:tr2bl w:val="nil"/>
            </w:tcBorders>
            <w:noWrap w:val="0"/>
            <w:vAlign w:val="center"/>
          </w:tcPr>
          <w:p w14:paraId="218421E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时段</w:t>
            </w:r>
          </w:p>
        </w:tc>
        <w:tc>
          <w:tcPr>
            <w:tcW w:w="671" w:type="pct"/>
            <w:tcBorders>
              <w:tl2br w:val="nil"/>
              <w:tr2bl w:val="nil"/>
            </w:tcBorders>
            <w:noWrap w:val="0"/>
            <w:vAlign w:val="center"/>
          </w:tcPr>
          <w:p w14:paraId="61B0C24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环境问题</w:t>
            </w:r>
          </w:p>
        </w:tc>
        <w:tc>
          <w:tcPr>
            <w:tcW w:w="2838" w:type="pct"/>
            <w:tcBorders>
              <w:tl2br w:val="nil"/>
              <w:tr2bl w:val="nil"/>
            </w:tcBorders>
            <w:noWrap w:val="0"/>
            <w:vAlign w:val="center"/>
          </w:tcPr>
          <w:p w14:paraId="4F3D329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环境保护措施</w:t>
            </w:r>
          </w:p>
        </w:tc>
        <w:tc>
          <w:tcPr>
            <w:tcW w:w="520" w:type="pct"/>
            <w:tcBorders>
              <w:tl2br w:val="nil"/>
              <w:tr2bl w:val="nil"/>
            </w:tcBorders>
            <w:noWrap w:val="0"/>
            <w:vAlign w:val="center"/>
          </w:tcPr>
          <w:p w14:paraId="785C594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实施责任单位</w:t>
            </w:r>
          </w:p>
        </w:tc>
        <w:tc>
          <w:tcPr>
            <w:tcW w:w="564" w:type="pct"/>
            <w:tcBorders>
              <w:tl2br w:val="nil"/>
              <w:tr2bl w:val="nil"/>
            </w:tcBorders>
            <w:noWrap w:val="0"/>
            <w:vAlign w:val="center"/>
          </w:tcPr>
          <w:p w14:paraId="03051AE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监督责任单位</w:t>
            </w:r>
          </w:p>
        </w:tc>
      </w:tr>
      <w:tr w14:paraId="460710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05" w:type="pct"/>
            <w:tcBorders>
              <w:tl2br w:val="nil"/>
              <w:tr2bl w:val="nil"/>
            </w:tcBorders>
            <w:noWrap w:val="0"/>
            <w:vAlign w:val="center"/>
          </w:tcPr>
          <w:p w14:paraId="79A4B11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营运期</w:t>
            </w:r>
          </w:p>
        </w:tc>
        <w:tc>
          <w:tcPr>
            <w:tcW w:w="671" w:type="pct"/>
            <w:tcBorders>
              <w:tl2br w:val="nil"/>
              <w:tr2bl w:val="nil"/>
            </w:tcBorders>
            <w:noWrap w:val="0"/>
            <w:vAlign w:val="center"/>
          </w:tcPr>
          <w:p w14:paraId="527F7B4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生态保护</w:t>
            </w:r>
          </w:p>
        </w:tc>
        <w:tc>
          <w:tcPr>
            <w:tcW w:w="2838" w:type="pct"/>
            <w:tcBorders>
              <w:tl2br w:val="nil"/>
              <w:tr2bl w:val="nil"/>
            </w:tcBorders>
            <w:noWrap w:val="0"/>
            <w:vAlign w:val="center"/>
          </w:tcPr>
          <w:p w14:paraId="76BA6408">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1.对进入矿区的一切人员严格要求，不得随意乱扔垃圾</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不得破坏植被，不得猎杀动物</w:t>
            </w:r>
            <w:r>
              <w:rPr>
                <w:rFonts w:hint="default" w:ascii="Times New Roman" w:hAnsi="Times New Roman" w:cs="Times New Roman"/>
                <w:color w:val="auto"/>
                <w:highlight w:val="none"/>
              </w:rPr>
              <w:t>；</w:t>
            </w:r>
          </w:p>
          <w:p w14:paraId="0E34DD22">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2.对于工程运营期产生的废土、废</w:t>
            </w:r>
            <w:r>
              <w:rPr>
                <w:rFonts w:hint="default" w:ascii="Times New Roman" w:hAnsi="Times New Roman" w:cs="Times New Roman"/>
                <w:color w:val="auto"/>
                <w:highlight w:val="none"/>
                <w:lang w:val="en-US" w:eastAsia="zh-CN"/>
              </w:rPr>
              <w:t>料</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生活垃圾</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废矿物油及包装桶</w:t>
            </w:r>
            <w:r>
              <w:rPr>
                <w:rFonts w:hint="default" w:ascii="Times New Roman" w:hAnsi="Times New Roman" w:cs="Times New Roman"/>
                <w:color w:val="auto"/>
                <w:highlight w:val="none"/>
              </w:rPr>
              <w:t>等都要进行</w:t>
            </w:r>
            <w:r>
              <w:rPr>
                <w:rFonts w:hint="default" w:ascii="Times New Roman" w:hAnsi="Times New Roman" w:cs="Times New Roman"/>
                <w:color w:val="auto"/>
                <w:highlight w:val="none"/>
                <w:lang w:eastAsia="zh-CN"/>
              </w:rPr>
              <w:t>合理处置</w:t>
            </w:r>
            <w:r>
              <w:rPr>
                <w:rFonts w:hint="default" w:ascii="Times New Roman" w:hAnsi="Times New Roman" w:cs="Times New Roman"/>
                <w:color w:val="auto"/>
                <w:highlight w:val="none"/>
              </w:rPr>
              <w:t>，最大限度</w:t>
            </w:r>
            <w:r>
              <w:rPr>
                <w:rFonts w:hint="default" w:ascii="Times New Roman" w:hAnsi="Times New Roman" w:cs="Times New Roman"/>
                <w:color w:val="auto"/>
                <w:highlight w:val="none"/>
                <w:lang w:eastAsia="zh-CN"/>
              </w:rPr>
              <w:t>地</w:t>
            </w:r>
            <w:r>
              <w:rPr>
                <w:rFonts w:hint="default" w:ascii="Times New Roman" w:hAnsi="Times New Roman" w:cs="Times New Roman"/>
                <w:color w:val="auto"/>
                <w:highlight w:val="none"/>
              </w:rPr>
              <w:t>保护项目</w:t>
            </w:r>
            <w:r>
              <w:rPr>
                <w:rFonts w:hint="default" w:ascii="Times New Roman" w:hAnsi="Times New Roman" w:cs="Times New Roman"/>
                <w:color w:val="auto"/>
                <w:highlight w:val="none"/>
                <w:lang w:val="en-US" w:eastAsia="zh-CN"/>
              </w:rPr>
              <w:t>区</w:t>
            </w:r>
            <w:r>
              <w:rPr>
                <w:rFonts w:hint="default" w:ascii="Times New Roman" w:hAnsi="Times New Roman" w:cs="Times New Roman"/>
                <w:color w:val="auto"/>
                <w:highlight w:val="none"/>
              </w:rPr>
              <w:t>的周围环境；</w:t>
            </w:r>
          </w:p>
          <w:p w14:paraId="3AC8FCBB">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3.对于采矿期和矿山公路修建期产生的废弃土石应及</w:t>
            </w:r>
            <w:r>
              <w:rPr>
                <w:rFonts w:hint="default" w:ascii="Times New Roman" w:hAnsi="Times New Roman" w:cs="Times New Roman"/>
                <w:color w:val="auto"/>
                <w:highlight w:val="none"/>
                <w:lang w:val="en-US" w:eastAsia="zh-CN"/>
              </w:rPr>
              <w:t>时综合利用</w:t>
            </w:r>
            <w:r>
              <w:rPr>
                <w:rFonts w:hint="default" w:ascii="Times New Roman" w:hAnsi="Times New Roman" w:cs="Times New Roman"/>
                <w:color w:val="auto"/>
                <w:highlight w:val="none"/>
              </w:rPr>
              <w:t>，不在矿区内大量堆放</w:t>
            </w:r>
            <w:r>
              <w:rPr>
                <w:rFonts w:hint="default" w:ascii="Times New Roman" w:hAnsi="Times New Roman" w:cs="Times New Roman"/>
                <w:color w:val="auto"/>
                <w:highlight w:val="none"/>
                <w:lang w:eastAsia="zh-CN"/>
              </w:rPr>
              <w:t>。</w:t>
            </w:r>
          </w:p>
        </w:tc>
        <w:tc>
          <w:tcPr>
            <w:tcW w:w="520" w:type="pct"/>
            <w:tcBorders>
              <w:tl2br w:val="nil"/>
              <w:tr2bl w:val="nil"/>
            </w:tcBorders>
            <w:noWrap w:val="0"/>
            <w:vAlign w:val="center"/>
          </w:tcPr>
          <w:p w14:paraId="3D6BB28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w:t>
            </w:r>
          </w:p>
          <w:p w14:paraId="395087C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单位</w:t>
            </w:r>
          </w:p>
        </w:tc>
        <w:tc>
          <w:tcPr>
            <w:tcW w:w="564" w:type="pct"/>
            <w:vMerge w:val="restart"/>
            <w:tcBorders>
              <w:tl2br w:val="nil"/>
              <w:tr2bl w:val="nil"/>
            </w:tcBorders>
            <w:noWrap w:val="0"/>
            <w:vAlign w:val="center"/>
          </w:tcPr>
          <w:p w14:paraId="7D7989D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cs="Times New Roman"/>
                <w:color w:val="auto"/>
                <w:highlight w:val="none"/>
                <w:lang w:val="en-US" w:eastAsia="zh-CN"/>
              </w:rPr>
              <w:t>昌吉州生态环境局阜康市分局</w:t>
            </w:r>
          </w:p>
        </w:tc>
      </w:tr>
      <w:tr w14:paraId="0FF758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05" w:type="pct"/>
            <w:tcBorders>
              <w:tl2br w:val="nil"/>
              <w:tr2bl w:val="nil"/>
            </w:tcBorders>
            <w:noWrap w:val="0"/>
            <w:vAlign w:val="center"/>
          </w:tcPr>
          <w:p w14:paraId="411DC70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闭矿期</w:t>
            </w:r>
          </w:p>
        </w:tc>
        <w:tc>
          <w:tcPr>
            <w:tcW w:w="671" w:type="pct"/>
            <w:tcBorders>
              <w:tl2br w:val="nil"/>
              <w:tr2bl w:val="nil"/>
            </w:tcBorders>
            <w:noWrap w:val="0"/>
            <w:vAlign w:val="center"/>
          </w:tcPr>
          <w:p w14:paraId="639F887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生态保护</w:t>
            </w:r>
          </w:p>
        </w:tc>
        <w:tc>
          <w:tcPr>
            <w:tcW w:w="2838" w:type="pct"/>
            <w:tcBorders>
              <w:tl2br w:val="nil"/>
              <w:tr2bl w:val="nil"/>
            </w:tcBorders>
            <w:noWrap w:val="0"/>
            <w:vAlign w:val="center"/>
          </w:tcPr>
          <w:p w14:paraId="4448FCF3">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矿山恢复、绿化</w:t>
            </w:r>
          </w:p>
        </w:tc>
        <w:tc>
          <w:tcPr>
            <w:tcW w:w="520" w:type="pct"/>
            <w:tcBorders>
              <w:tl2br w:val="nil"/>
              <w:tr2bl w:val="nil"/>
            </w:tcBorders>
            <w:noWrap w:val="0"/>
            <w:vAlign w:val="center"/>
          </w:tcPr>
          <w:p w14:paraId="26C74FE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w:t>
            </w:r>
          </w:p>
          <w:p w14:paraId="26AB268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单位</w:t>
            </w:r>
          </w:p>
        </w:tc>
        <w:tc>
          <w:tcPr>
            <w:tcW w:w="564" w:type="pct"/>
            <w:vMerge w:val="continue"/>
            <w:tcBorders>
              <w:tl2br w:val="nil"/>
              <w:tr2bl w:val="nil"/>
            </w:tcBorders>
            <w:noWrap w:val="0"/>
            <w:vAlign w:val="center"/>
          </w:tcPr>
          <w:p w14:paraId="2988F67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highlight w:val="none"/>
              </w:rPr>
            </w:pPr>
          </w:p>
        </w:tc>
      </w:tr>
    </w:tbl>
    <w:p w14:paraId="248A8975">
      <w:pPr>
        <w:rPr>
          <w:rFonts w:hint="default" w:ascii="Times New Roman" w:hAnsi="Times New Roman" w:cs="Times New Roman"/>
          <w:color w:val="auto"/>
          <w:highlight w:val="none"/>
        </w:rPr>
      </w:pPr>
    </w:p>
    <w:p w14:paraId="6477DC47">
      <w:pPr>
        <w:pStyle w:val="3"/>
        <w:bidi w:val="0"/>
        <w:rPr>
          <w:rFonts w:hint="default"/>
        </w:rPr>
      </w:pPr>
      <w:bookmarkStart w:id="759" w:name="8.4环境保护“三同时”验收"/>
      <w:bookmarkEnd w:id="759"/>
      <w:bookmarkStart w:id="760" w:name="bookmark44"/>
      <w:bookmarkEnd w:id="760"/>
      <w:bookmarkStart w:id="761" w:name="_Toc2107"/>
      <w:bookmarkStart w:id="762" w:name="_Toc12155"/>
      <w:r>
        <w:rPr>
          <w:rFonts w:hint="default"/>
        </w:rPr>
        <w:t>环境保护“三同时”验收</w:t>
      </w:r>
      <w:bookmarkEnd w:id="761"/>
      <w:bookmarkEnd w:id="762"/>
    </w:p>
    <w:p w14:paraId="07C8CE63">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环境污染防治设施必须与主体工程同时设计、同时施工、同时投入使用。在工程 完成后，建设单位应对环境保护设施进行验收。本项目“三同时”验收内容和要求一 览表，详见</w:t>
      </w:r>
      <w:r>
        <w:rPr>
          <w:rFonts w:hint="default" w:ascii="Times New Roman" w:hAnsi="Times New Roman" w:cs="Times New Roman"/>
          <w:color w:val="auto"/>
          <w:sz w:val="24"/>
          <w:szCs w:val="24"/>
          <w:highlight w:val="none"/>
          <w:lang w:val="en-US" w:eastAsia="zh-CN"/>
        </w:rPr>
        <w:t>下</w:t>
      </w:r>
      <w:r>
        <w:rPr>
          <w:rFonts w:hint="default" w:ascii="Times New Roman" w:hAnsi="Times New Roman" w:cs="Times New Roman"/>
          <w:color w:val="auto"/>
          <w:sz w:val="24"/>
          <w:szCs w:val="24"/>
          <w:highlight w:val="none"/>
        </w:rPr>
        <w:t>表。</w:t>
      </w:r>
    </w:p>
    <w:p w14:paraId="5F86D7D4">
      <w:pPr>
        <w:pStyle w:val="45"/>
        <w:keepNext w:val="0"/>
        <w:keepLines w:val="0"/>
        <w:pageBreakBefore w:val="0"/>
        <w:widowControl w:val="0"/>
        <w:kinsoku w:val="0"/>
        <w:wordWrap/>
        <w:overflowPunct w:val="0"/>
        <w:topLinePunct w:val="0"/>
        <w:autoSpaceDE w:val="0"/>
        <w:autoSpaceDN w:val="0"/>
        <w:bidi w:val="0"/>
        <w:adjustRightInd w:val="0"/>
        <w:snapToGrid/>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表8.</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-1</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t>建设项目竣工环境保护验收一览表</w:t>
      </w:r>
    </w:p>
    <w:tbl>
      <w:tblPr>
        <w:tblStyle w:val="31"/>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1223"/>
        <w:gridCol w:w="1401"/>
        <w:gridCol w:w="2867"/>
        <w:gridCol w:w="3163"/>
      </w:tblGrid>
      <w:tr w14:paraId="35039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7" w:type="pct"/>
            <w:tcBorders>
              <w:tl2br w:val="nil"/>
              <w:tr2bl w:val="nil"/>
            </w:tcBorders>
            <w:noWrap w:val="0"/>
            <w:vAlign w:val="center"/>
          </w:tcPr>
          <w:p w14:paraId="1E7E9C14">
            <w:pPr>
              <w:pStyle w:val="48"/>
              <w:spacing w:beforeLines="0" w:afterLines="0" w:line="240" w:lineRule="auto"/>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类别</w:t>
            </w:r>
          </w:p>
        </w:tc>
        <w:tc>
          <w:tcPr>
            <w:tcW w:w="653" w:type="pct"/>
            <w:tcBorders>
              <w:tl2br w:val="nil"/>
              <w:tr2bl w:val="nil"/>
            </w:tcBorders>
            <w:noWrap w:val="0"/>
            <w:vAlign w:val="center"/>
          </w:tcPr>
          <w:p w14:paraId="2F4E1B90">
            <w:pPr>
              <w:pStyle w:val="48"/>
              <w:spacing w:beforeLines="0" w:afterLines="0" w:line="240" w:lineRule="auto"/>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污染源</w:t>
            </w:r>
          </w:p>
        </w:tc>
        <w:tc>
          <w:tcPr>
            <w:tcW w:w="748" w:type="pct"/>
            <w:tcBorders>
              <w:tl2br w:val="nil"/>
              <w:tr2bl w:val="nil"/>
            </w:tcBorders>
            <w:noWrap w:val="0"/>
            <w:vAlign w:val="center"/>
          </w:tcPr>
          <w:p w14:paraId="485E7E8F">
            <w:pPr>
              <w:pStyle w:val="48"/>
              <w:spacing w:beforeLines="0" w:afterLines="0" w:line="240" w:lineRule="auto"/>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污染物</w:t>
            </w:r>
          </w:p>
        </w:tc>
        <w:tc>
          <w:tcPr>
            <w:tcW w:w="1531" w:type="pct"/>
            <w:tcBorders>
              <w:tl2br w:val="nil"/>
              <w:tr2bl w:val="nil"/>
            </w:tcBorders>
            <w:noWrap w:val="0"/>
            <w:vAlign w:val="center"/>
          </w:tcPr>
          <w:p w14:paraId="44994553">
            <w:pPr>
              <w:pStyle w:val="48"/>
              <w:spacing w:beforeLines="0" w:afterLines="0" w:line="240" w:lineRule="auto"/>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拟采取的治理措施及验收要求</w:t>
            </w:r>
          </w:p>
        </w:tc>
        <w:tc>
          <w:tcPr>
            <w:tcW w:w="1689" w:type="pct"/>
            <w:tcBorders>
              <w:tl2br w:val="nil"/>
              <w:tr2bl w:val="nil"/>
            </w:tcBorders>
            <w:noWrap w:val="0"/>
            <w:vAlign w:val="center"/>
          </w:tcPr>
          <w:p w14:paraId="3C3F3DF6">
            <w:pPr>
              <w:pStyle w:val="48"/>
              <w:spacing w:beforeLines="0" w:afterLines="0" w:line="240" w:lineRule="auto"/>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验收标准</w:t>
            </w:r>
          </w:p>
        </w:tc>
      </w:tr>
      <w:tr w14:paraId="09AD5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7" w:type="pct"/>
            <w:vMerge w:val="restart"/>
            <w:tcBorders>
              <w:tl2br w:val="nil"/>
              <w:tr2bl w:val="nil"/>
            </w:tcBorders>
            <w:noWrap w:val="0"/>
            <w:vAlign w:val="center"/>
          </w:tcPr>
          <w:p w14:paraId="59EC5737">
            <w:pPr>
              <w:pStyle w:val="48"/>
              <w:spacing w:beforeLines="0" w:afterLines="0" w:line="240" w:lineRule="auto"/>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废气</w:t>
            </w:r>
          </w:p>
        </w:tc>
        <w:tc>
          <w:tcPr>
            <w:tcW w:w="653" w:type="pct"/>
            <w:tcBorders>
              <w:tl2br w:val="nil"/>
              <w:tr2bl w:val="nil"/>
            </w:tcBorders>
            <w:noWrap w:val="0"/>
            <w:vAlign w:val="center"/>
          </w:tcPr>
          <w:p w14:paraId="598B0307">
            <w:pPr>
              <w:pStyle w:val="48"/>
              <w:spacing w:beforeLines="0" w:afterLines="0" w:line="240" w:lineRule="auto"/>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筛分粉尘</w:t>
            </w:r>
          </w:p>
        </w:tc>
        <w:tc>
          <w:tcPr>
            <w:tcW w:w="748" w:type="pct"/>
            <w:tcBorders>
              <w:tl2br w:val="nil"/>
              <w:tr2bl w:val="nil"/>
            </w:tcBorders>
            <w:noWrap w:val="0"/>
            <w:vAlign w:val="center"/>
          </w:tcPr>
          <w:p w14:paraId="36CB520A">
            <w:pPr>
              <w:pStyle w:val="48"/>
              <w:spacing w:beforeLines="0" w:afterLines="0" w:line="240" w:lineRule="auto"/>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颗粒物</w:t>
            </w:r>
          </w:p>
        </w:tc>
        <w:tc>
          <w:tcPr>
            <w:tcW w:w="1531" w:type="pct"/>
            <w:tcBorders>
              <w:tl2br w:val="nil"/>
              <w:tr2bl w:val="nil"/>
            </w:tcBorders>
            <w:noWrap w:val="0"/>
            <w:vAlign w:val="center"/>
          </w:tcPr>
          <w:p w14:paraId="6615E93F">
            <w:pPr>
              <w:pStyle w:val="48"/>
              <w:spacing w:beforeLines="0" w:afterLines="0" w:line="240" w:lineRule="auto"/>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rPr>
              <w:t>经集气罩收集后布袋除尘器处理，达标后由一根15m高排气筒排放</w:t>
            </w:r>
            <w:r>
              <w:rPr>
                <w:rFonts w:hint="default" w:ascii="Times New Roman" w:hAnsi="Times New Roman" w:cs="Times New Roman"/>
                <w:color w:val="auto"/>
                <w:sz w:val="24"/>
                <w:szCs w:val="24"/>
                <w:highlight w:val="none"/>
                <w:lang w:eastAsia="zh-CN"/>
              </w:rPr>
              <w:t>。</w:t>
            </w:r>
          </w:p>
        </w:tc>
        <w:tc>
          <w:tcPr>
            <w:tcW w:w="1689" w:type="pct"/>
            <w:tcBorders>
              <w:tl2br w:val="nil"/>
              <w:tr2bl w:val="nil"/>
            </w:tcBorders>
            <w:noWrap w:val="0"/>
            <w:vAlign w:val="center"/>
          </w:tcPr>
          <w:p w14:paraId="406BEC65">
            <w:pPr>
              <w:pStyle w:val="48"/>
              <w:spacing w:beforeLines="0" w:afterLines="0" w:line="240" w:lineRule="auto"/>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《大气污染物综合排放标准》（GB16297-1996）</w:t>
            </w:r>
          </w:p>
        </w:tc>
      </w:tr>
      <w:tr w14:paraId="5C518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7" w:type="pct"/>
            <w:vMerge w:val="continue"/>
            <w:tcBorders>
              <w:tl2br w:val="nil"/>
              <w:tr2bl w:val="nil"/>
            </w:tcBorders>
            <w:noWrap w:val="0"/>
            <w:vAlign w:val="center"/>
          </w:tcPr>
          <w:p w14:paraId="21E1C0FD">
            <w:pPr>
              <w:pStyle w:val="48"/>
              <w:spacing w:beforeLines="0" w:afterLines="0" w:line="240" w:lineRule="auto"/>
              <w:jc w:val="center"/>
              <w:rPr>
                <w:rFonts w:hint="default" w:ascii="Times New Roman" w:hAnsi="Times New Roman" w:cs="Times New Roman"/>
                <w:color w:val="auto"/>
                <w:sz w:val="24"/>
                <w:szCs w:val="24"/>
                <w:highlight w:val="none"/>
              </w:rPr>
            </w:pPr>
          </w:p>
        </w:tc>
        <w:tc>
          <w:tcPr>
            <w:tcW w:w="653" w:type="pct"/>
            <w:tcBorders>
              <w:tl2br w:val="nil"/>
              <w:tr2bl w:val="nil"/>
            </w:tcBorders>
            <w:noWrap w:val="0"/>
            <w:vAlign w:val="center"/>
          </w:tcPr>
          <w:p w14:paraId="12128205">
            <w:pPr>
              <w:pStyle w:val="48"/>
              <w:spacing w:beforeLines="0" w:afterLines="0" w:line="240" w:lineRule="auto"/>
              <w:jc w:val="center"/>
              <w:rPr>
                <w:rFonts w:hint="default" w:ascii="Times New Roman" w:hAnsi="Times New Roman" w:eastAsia="宋体" w:cs="Times New Roman"/>
                <w:color w:val="00B050"/>
                <w:sz w:val="24"/>
                <w:szCs w:val="24"/>
                <w:highlight w:val="none"/>
                <w:lang w:val="en-US" w:eastAsia="zh-CN"/>
              </w:rPr>
            </w:pPr>
            <w:r>
              <w:rPr>
                <w:rFonts w:hint="default" w:ascii="Times New Roman" w:hAnsi="Times New Roman" w:cs="Times New Roman"/>
                <w:color w:val="00B050"/>
                <w:sz w:val="24"/>
                <w:szCs w:val="24"/>
                <w:highlight w:val="none"/>
                <w:lang w:val="en-US" w:eastAsia="zh-CN"/>
              </w:rPr>
              <w:t>烘干废气</w:t>
            </w:r>
          </w:p>
        </w:tc>
        <w:tc>
          <w:tcPr>
            <w:tcW w:w="748" w:type="pct"/>
            <w:tcBorders>
              <w:tl2br w:val="nil"/>
              <w:tr2bl w:val="nil"/>
            </w:tcBorders>
            <w:noWrap w:val="0"/>
            <w:vAlign w:val="center"/>
          </w:tcPr>
          <w:p w14:paraId="4F48956E">
            <w:pPr>
              <w:pStyle w:val="48"/>
              <w:spacing w:beforeLines="0" w:afterLines="0" w:line="240" w:lineRule="auto"/>
              <w:jc w:val="center"/>
              <w:rPr>
                <w:rFonts w:hint="default" w:ascii="Times New Roman" w:hAnsi="Times New Roman" w:eastAsia="宋体" w:cs="Times New Roman"/>
                <w:color w:val="00B050"/>
                <w:sz w:val="24"/>
                <w:szCs w:val="24"/>
                <w:highlight w:val="none"/>
                <w:lang w:val="en-US" w:eastAsia="zh-CN"/>
              </w:rPr>
            </w:pPr>
            <w:r>
              <w:rPr>
                <w:rFonts w:hint="default" w:ascii="Times New Roman" w:hAnsi="Times New Roman" w:cs="Times New Roman"/>
                <w:color w:val="00B050"/>
                <w:sz w:val="24"/>
                <w:szCs w:val="24"/>
                <w:highlight w:val="none"/>
                <w:lang w:val="en-US" w:eastAsia="zh-CN"/>
              </w:rPr>
              <w:t>颗粒物</w:t>
            </w:r>
          </w:p>
        </w:tc>
        <w:tc>
          <w:tcPr>
            <w:tcW w:w="1531" w:type="pct"/>
            <w:tcBorders>
              <w:tl2br w:val="nil"/>
              <w:tr2bl w:val="nil"/>
            </w:tcBorders>
            <w:noWrap w:val="0"/>
            <w:vAlign w:val="center"/>
          </w:tcPr>
          <w:p w14:paraId="1EF416A0">
            <w:pPr>
              <w:pStyle w:val="48"/>
              <w:spacing w:beforeLines="0" w:afterLines="0" w:line="240" w:lineRule="auto"/>
              <w:jc w:val="center"/>
              <w:rPr>
                <w:rFonts w:hint="default" w:ascii="Times New Roman" w:hAnsi="Times New Roman" w:cs="Times New Roman"/>
                <w:color w:val="00B050"/>
                <w:sz w:val="24"/>
                <w:szCs w:val="24"/>
                <w:highlight w:val="none"/>
              </w:rPr>
            </w:pPr>
            <w:r>
              <w:rPr>
                <w:rFonts w:hint="default" w:ascii="Times New Roman" w:hAnsi="Times New Roman" w:cs="Times New Roman"/>
                <w:color w:val="00B050"/>
                <w:sz w:val="24"/>
                <w:szCs w:val="24"/>
                <w:highlight w:val="none"/>
              </w:rPr>
              <w:t>经布袋除尘器处理，达标后由一根15m高排气筒排放</w:t>
            </w:r>
          </w:p>
        </w:tc>
        <w:tc>
          <w:tcPr>
            <w:tcW w:w="1689" w:type="pct"/>
            <w:tcBorders>
              <w:tl2br w:val="nil"/>
              <w:tr2bl w:val="nil"/>
            </w:tcBorders>
            <w:noWrap w:val="0"/>
            <w:vAlign w:val="center"/>
          </w:tcPr>
          <w:p w14:paraId="07F0E102">
            <w:pPr>
              <w:pStyle w:val="48"/>
              <w:spacing w:beforeLines="0" w:afterLines="0" w:line="240" w:lineRule="auto"/>
              <w:jc w:val="center"/>
              <w:rPr>
                <w:rFonts w:hint="default" w:ascii="Times New Roman" w:hAnsi="Times New Roman" w:cs="Times New Roman"/>
                <w:color w:val="00B050"/>
                <w:sz w:val="24"/>
                <w:szCs w:val="24"/>
                <w:highlight w:val="none"/>
              </w:rPr>
            </w:pPr>
            <w:r>
              <w:rPr>
                <w:rFonts w:hint="default" w:ascii="Times New Roman" w:hAnsi="Times New Roman" w:cs="Times New Roman"/>
                <w:color w:val="00B050"/>
                <w:sz w:val="24"/>
                <w:szCs w:val="24"/>
                <w:highlight w:val="none"/>
              </w:rPr>
              <w:t>《</w:t>
            </w:r>
            <w:r>
              <w:rPr>
                <w:rFonts w:hint="default" w:ascii="Times New Roman" w:hAnsi="Times New Roman" w:cs="Times New Roman"/>
                <w:color w:val="00B050"/>
                <w:sz w:val="24"/>
                <w:szCs w:val="24"/>
                <w:highlight w:val="none"/>
                <w:lang w:val="en-US" w:eastAsia="zh-CN"/>
              </w:rPr>
              <w:t>新疆维吾尔自治区工业炉窑大气污染综合治理实施方案</w:t>
            </w:r>
            <w:r>
              <w:rPr>
                <w:rFonts w:hint="default" w:ascii="Times New Roman" w:hAnsi="Times New Roman" w:cs="Times New Roman"/>
                <w:color w:val="00B050"/>
                <w:sz w:val="24"/>
                <w:szCs w:val="24"/>
                <w:highlight w:val="none"/>
              </w:rPr>
              <w:t>》</w:t>
            </w:r>
            <w:r>
              <w:rPr>
                <w:rFonts w:hint="default" w:ascii="Times New Roman" w:hAnsi="Times New Roman" w:cs="Times New Roman"/>
                <w:snapToGrid w:val="0"/>
                <w:color w:val="00B050"/>
                <w:sz w:val="24"/>
                <w:szCs w:val="24"/>
                <w:highlight w:val="none"/>
              </w:rPr>
              <w:t>的通知：“重点区域原则上颗粒物排放限值分别不高于30毫克/立方米”</w:t>
            </w:r>
          </w:p>
        </w:tc>
      </w:tr>
      <w:tr w14:paraId="54520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7" w:type="pct"/>
            <w:vMerge w:val="continue"/>
            <w:tcBorders>
              <w:tl2br w:val="nil"/>
              <w:tr2bl w:val="nil"/>
            </w:tcBorders>
            <w:noWrap w:val="0"/>
            <w:vAlign w:val="center"/>
          </w:tcPr>
          <w:p w14:paraId="237FC31D">
            <w:pPr>
              <w:pStyle w:val="48"/>
              <w:spacing w:beforeLines="0" w:afterLines="0" w:line="240" w:lineRule="auto"/>
              <w:jc w:val="center"/>
              <w:rPr>
                <w:rFonts w:hint="default" w:ascii="Times New Roman" w:hAnsi="Times New Roman" w:cs="Times New Roman"/>
                <w:color w:val="auto"/>
                <w:sz w:val="24"/>
                <w:szCs w:val="24"/>
                <w:highlight w:val="none"/>
              </w:rPr>
            </w:pPr>
          </w:p>
        </w:tc>
        <w:tc>
          <w:tcPr>
            <w:tcW w:w="653" w:type="pct"/>
            <w:tcBorders>
              <w:tl2br w:val="nil"/>
              <w:tr2bl w:val="nil"/>
            </w:tcBorders>
            <w:noWrap w:val="0"/>
            <w:vAlign w:val="center"/>
          </w:tcPr>
          <w:p w14:paraId="2F653279">
            <w:pPr>
              <w:pStyle w:val="48"/>
              <w:spacing w:beforeLines="0" w:afterLines="0" w:line="240" w:lineRule="auto"/>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堆场</w:t>
            </w:r>
          </w:p>
        </w:tc>
        <w:tc>
          <w:tcPr>
            <w:tcW w:w="748" w:type="pct"/>
            <w:tcBorders>
              <w:tl2br w:val="nil"/>
              <w:tr2bl w:val="nil"/>
            </w:tcBorders>
            <w:noWrap w:val="0"/>
            <w:vAlign w:val="center"/>
          </w:tcPr>
          <w:p w14:paraId="266FAAA8">
            <w:pPr>
              <w:pStyle w:val="48"/>
              <w:spacing w:beforeLines="0" w:afterLines="0" w:line="240" w:lineRule="auto"/>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颗粒物</w:t>
            </w:r>
          </w:p>
        </w:tc>
        <w:tc>
          <w:tcPr>
            <w:tcW w:w="1531" w:type="pct"/>
            <w:tcBorders>
              <w:tl2br w:val="nil"/>
              <w:tr2bl w:val="nil"/>
            </w:tcBorders>
            <w:noWrap w:val="0"/>
            <w:vAlign w:val="center"/>
          </w:tcPr>
          <w:p w14:paraId="4DAFB8FF">
            <w:pPr>
              <w:pStyle w:val="48"/>
              <w:spacing w:beforeLines="0" w:afterLines="0" w:line="240" w:lineRule="auto"/>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定期洒水，采用</w:t>
            </w:r>
            <w:r>
              <w:rPr>
                <w:rFonts w:hint="default" w:ascii="Times New Roman" w:hAnsi="Times New Roman" w:cs="Times New Roman"/>
                <w:color w:val="auto"/>
                <w:sz w:val="24"/>
                <w:szCs w:val="24"/>
                <w:highlight w:val="none"/>
                <w:lang w:eastAsia="zh-CN"/>
              </w:rPr>
              <w:t>篷布</w:t>
            </w:r>
            <w:r>
              <w:rPr>
                <w:rFonts w:hint="default" w:ascii="Times New Roman" w:hAnsi="Times New Roman" w:cs="Times New Roman"/>
                <w:color w:val="auto"/>
                <w:sz w:val="24"/>
                <w:szCs w:val="24"/>
                <w:highlight w:val="none"/>
              </w:rPr>
              <w:t>遮盖</w:t>
            </w:r>
          </w:p>
        </w:tc>
        <w:tc>
          <w:tcPr>
            <w:tcW w:w="1689" w:type="pct"/>
            <w:vMerge w:val="restart"/>
            <w:tcBorders>
              <w:tl2br w:val="nil"/>
              <w:tr2bl w:val="nil"/>
            </w:tcBorders>
            <w:noWrap w:val="0"/>
            <w:vAlign w:val="center"/>
          </w:tcPr>
          <w:p w14:paraId="0269F8EC">
            <w:pPr>
              <w:pStyle w:val="48"/>
              <w:spacing w:beforeLines="0" w:afterLines="0" w:line="240" w:lineRule="auto"/>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《大气污染物综合排放标准》（GB16297-1996）</w:t>
            </w:r>
          </w:p>
        </w:tc>
      </w:tr>
      <w:tr w14:paraId="43ACE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7" w:type="pct"/>
            <w:vMerge w:val="continue"/>
            <w:tcBorders>
              <w:tl2br w:val="nil"/>
              <w:tr2bl w:val="nil"/>
            </w:tcBorders>
            <w:noWrap w:val="0"/>
            <w:vAlign w:val="center"/>
          </w:tcPr>
          <w:p w14:paraId="468FB3E0">
            <w:pPr>
              <w:pStyle w:val="48"/>
              <w:spacing w:beforeLines="0" w:afterLines="0" w:line="240" w:lineRule="auto"/>
              <w:jc w:val="center"/>
              <w:rPr>
                <w:rFonts w:hint="default" w:ascii="Times New Roman" w:hAnsi="Times New Roman" w:cs="Times New Roman"/>
                <w:color w:val="auto"/>
                <w:sz w:val="24"/>
                <w:szCs w:val="24"/>
                <w:highlight w:val="none"/>
              </w:rPr>
            </w:pPr>
          </w:p>
        </w:tc>
        <w:tc>
          <w:tcPr>
            <w:tcW w:w="653" w:type="pct"/>
            <w:tcBorders>
              <w:tl2br w:val="nil"/>
              <w:tr2bl w:val="nil"/>
            </w:tcBorders>
            <w:noWrap w:val="0"/>
            <w:vAlign w:val="center"/>
          </w:tcPr>
          <w:p w14:paraId="085EF129">
            <w:pPr>
              <w:pStyle w:val="48"/>
              <w:spacing w:beforeLines="0" w:afterLines="0" w:line="240" w:lineRule="auto"/>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采矿场</w:t>
            </w:r>
          </w:p>
        </w:tc>
        <w:tc>
          <w:tcPr>
            <w:tcW w:w="748" w:type="pct"/>
            <w:tcBorders>
              <w:tl2br w:val="nil"/>
              <w:tr2bl w:val="nil"/>
            </w:tcBorders>
            <w:noWrap w:val="0"/>
            <w:vAlign w:val="center"/>
          </w:tcPr>
          <w:p w14:paraId="7C20EDDF">
            <w:pPr>
              <w:pStyle w:val="48"/>
              <w:spacing w:beforeLines="0" w:afterLines="0" w:line="240" w:lineRule="auto"/>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颗粒物</w:t>
            </w:r>
          </w:p>
        </w:tc>
        <w:tc>
          <w:tcPr>
            <w:tcW w:w="1531" w:type="pct"/>
            <w:tcBorders>
              <w:tl2br w:val="nil"/>
              <w:tr2bl w:val="nil"/>
            </w:tcBorders>
            <w:noWrap w:val="0"/>
            <w:vAlign w:val="center"/>
          </w:tcPr>
          <w:p w14:paraId="5069457A">
            <w:pPr>
              <w:pStyle w:val="48"/>
              <w:spacing w:beforeLines="0" w:afterLines="0" w:line="240" w:lineRule="auto"/>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配套采用移动式雾炮机降尘、分区分片开采等</w:t>
            </w:r>
          </w:p>
        </w:tc>
        <w:tc>
          <w:tcPr>
            <w:tcW w:w="1689" w:type="pct"/>
            <w:vMerge w:val="continue"/>
            <w:tcBorders>
              <w:tl2br w:val="nil"/>
              <w:tr2bl w:val="nil"/>
            </w:tcBorders>
            <w:noWrap w:val="0"/>
            <w:vAlign w:val="center"/>
          </w:tcPr>
          <w:p w14:paraId="3E2FFC1C">
            <w:pPr>
              <w:pStyle w:val="48"/>
              <w:spacing w:beforeLines="0" w:afterLines="0" w:line="240" w:lineRule="auto"/>
              <w:jc w:val="center"/>
              <w:rPr>
                <w:rFonts w:hint="default" w:ascii="Times New Roman" w:hAnsi="Times New Roman" w:cs="Times New Roman"/>
                <w:color w:val="auto"/>
                <w:sz w:val="24"/>
                <w:szCs w:val="24"/>
                <w:highlight w:val="none"/>
              </w:rPr>
            </w:pPr>
          </w:p>
        </w:tc>
      </w:tr>
      <w:tr w14:paraId="44DAF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7" w:type="pct"/>
            <w:vMerge w:val="continue"/>
            <w:tcBorders>
              <w:tl2br w:val="nil"/>
              <w:tr2bl w:val="nil"/>
            </w:tcBorders>
            <w:noWrap w:val="0"/>
            <w:vAlign w:val="center"/>
          </w:tcPr>
          <w:p w14:paraId="7A376B55">
            <w:pPr>
              <w:pStyle w:val="48"/>
              <w:spacing w:beforeLines="0" w:afterLines="0" w:line="240" w:lineRule="auto"/>
              <w:jc w:val="center"/>
              <w:rPr>
                <w:rFonts w:hint="default" w:ascii="Times New Roman" w:hAnsi="Times New Roman" w:cs="Times New Roman"/>
                <w:color w:val="auto"/>
                <w:sz w:val="24"/>
                <w:szCs w:val="24"/>
                <w:highlight w:val="none"/>
              </w:rPr>
            </w:pPr>
          </w:p>
        </w:tc>
        <w:tc>
          <w:tcPr>
            <w:tcW w:w="653" w:type="pct"/>
            <w:tcBorders>
              <w:tl2br w:val="nil"/>
              <w:tr2bl w:val="nil"/>
            </w:tcBorders>
            <w:noWrap w:val="0"/>
            <w:vAlign w:val="center"/>
          </w:tcPr>
          <w:p w14:paraId="6EE7FD28">
            <w:pPr>
              <w:pStyle w:val="48"/>
              <w:spacing w:beforeLines="0" w:afterLines="0" w:line="240" w:lineRule="auto"/>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车辆运输</w:t>
            </w:r>
          </w:p>
        </w:tc>
        <w:tc>
          <w:tcPr>
            <w:tcW w:w="748" w:type="pct"/>
            <w:tcBorders>
              <w:tl2br w:val="nil"/>
              <w:tr2bl w:val="nil"/>
            </w:tcBorders>
            <w:noWrap w:val="0"/>
            <w:vAlign w:val="center"/>
          </w:tcPr>
          <w:p w14:paraId="1209A138">
            <w:pPr>
              <w:pStyle w:val="48"/>
              <w:spacing w:beforeLines="0" w:afterLines="0" w:line="240" w:lineRule="auto"/>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颗粒物</w:t>
            </w:r>
          </w:p>
        </w:tc>
        <w:tc>
          <w:tcPr>
            <w:tcW w:w="1531" w:type="pct"/>
            <w:tcBorders>
              <w:tl2br w:val="nil"/>
              <w:tr2bl w:val="nil"/>
            </w:tcBorders>
            <w:noWrap w:val="0"/>
            <w:vAlign w:val="center"/>
          </w:tcPr>
          <w:p w14:paraId="01CB91D2">
            <w:pPr>
              <w:pStyle w:val="48"/>
              <w:spacing w:beforeLines="0" w:afterLines="0" w:line="240" w:lineRule="auto"/>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苫布遮盖密闭运输；控制运输车辆行驶速度及装载量，减少物料转运环节，缩短物料运输距离，严禁在大风及暴雨天气进行物料采装、运输等</w:t>
            </w:r>
          </w:p>
        </w:tc>
        <w:tc>
          <w:tcPr>
            <w:tcW w:w="1689" w:type="pct"/>
            <w:vMerge w:val="continue"/>
            <w:tcBorders>
              <w:tl2br w:val="nil"/>
              <w:tr2bl w:val="nil"/>
            </w:tcBorders>
            <w:noWrap w:val="0"/>
            <w:vAlign w:val="center"/>
          </w:tcPr>
          <w:p w14:paraId="563C6242">
            <w:pPr>
              <w:pStyle w:val="48"/>
              <w:spacing w:beforeLines="0" w:afterLines="0" w:line="240" w:lineRule="auto"/>
              <w:jc w:val="center"/>
              <w:rPr>
                <w:rFonts w:hint="default" w:ascii="Times New Roman" w:hAnsi="Times New Roman" w:cs="Times New Roman"/>
                <w:color w:val="auto"/>
                <w:sz w:val="24"/>
                <w:szCs w:val="24"/>
                <w:highlight w:val="none"/>
              </w:rPr>
            </w:pPr>
          </w:p>
        </w:tc>
      </w:tr>
      <w:tr w14:paraId="4B8B3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7" w:type="pct"/>
            <w:vMerge w:val="restart"/>
            <w:tcBorders>
              <w:tl2br w:val="nil"/>
              <w:tr2bl w:val="nil"/>
            </w:tcBorders>
            <w:noWrap w:val="0"/>
            <w:vAlign w:val="center"/>
          </w:tcPr>
          <w:p w14:paraId="5BDDCF52">
            <w:pPr>
              <w:pStyle w:val="48"/>
              <w:spacing w:beforeLines="0" w:afterLines="0" w:line="240" w:lineRule="auto"/>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废水</w:t>
            </w:r>
          </w:p>
        </w:tc>
        <w:tc>
          <w:tcPr>
            <w:tcW w:w="653" w:type="pct"/>
            <w:tcBorders>
              <w:tl2br w:val="nil"/>
              <w:tr2bl w:val="nil"/>
            </w:tcBorders>
            <w:noWrap w:val="0"/>
            <w:vAlign w:val="center"/>
          </w:tcPr>
          <w:p w14:paraId="655F9F08">
            <w:pPr>
              <w:pStyle w:val="48"/>
              <w:spacing w:beforeLines="0" w:afterLines="0" w:line="240" w:lineRule="auto"/>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生活污水</w:t>
            </w:r>
          </w:p>
        </w:tc>
        <w:tc>
          <w:tcPr>
            <w:tcW w:w="748" w:type="pct"/>
            <w:tcBorders>
              <w:tl2br w:val="nil"/>
              <w:tr2bl w:val="nil"/>
            </w:tcBorders>
            <w:noWrap w:val="0"/>
            <w:vAlign w:val="center"/>
          </w:tcPr>
          <w:p w14:paraId="213476C1">
            <w:pPr>
              <w:pStyle w:val="48"/>
              <w:spacing w:beforeLines="0" w:afterLines="0" w:line="240" w:lineRule="auto"/>
              <w:jc w:val="center"/>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val="en-US" w:eastAsia="zh-CN"/>
              </w:rPr>
              <w:t>氨氮、</w:t>
            </w:r>
            <w:r>
              <w:rPr>
                <w:rFonts w:hint="default" w:ascii="Times New Roman" w:hAnsi="Times New Roman" w:cs="Times New Roman"/>
                <w:color w:val="auto"/>
                <w:sz w:val="24"/>
                <w:szCs w:val="24"/>
                <w:highlight w:val="none"/>
              </w:rPr>
              <w:t>SS、BOD</w:t>
            </w:r>
            <w:r>
              <w:rPr>
                <w:rFonts w:hint="eastAsia" w:ascii="Times New Roman" w:hAnsi="Times New Roman" w:cs="Times New Roman"/>
                <w:color w:val="auto"/>
                <w:sz w:val="24"/>
                <w:szCs w:val="24"/>
                <w:highlight w:val="none"/>
                <w:vertAlign w:val="subscript"/>
                <w:lang w:val="en-US" w:eastAsia="zh-CN"/>
              </w:rPr>
              <w:t>5</w:t>
            </w:r>
            <w:r>
              <w:rPr>
                <w:rFonts w:hint="default" w:ascii="Times New Roman" w:hAnsi="Times New Roman" w:cs="Times New Roman"/>
                <w:color w:val="auto"/>
                <w:sz w:val="24"/>
                <w:szCs w:val="24"/>
                <w:highlight w:val="none"/>
              </w:rPr>
              <w:t>等</w:t>
            </w:r>
          </w:p>
        </w:tc>
        <w:tc>
          <w:tcPr>
            <w:tcW w:w="1531" w:type="pct"/>
            <w:tcBorders>
              <w:tl2br w:val="nil"/>
              <w:tr2bl w:val="nil"/>
            </w:tcBorders>
            <w:noWrap w:val="0"/>
            <w:vAlign w:val="center"/>
          </w:tcPr>
          <w:p w14:paraId="0D3F6FB8">
            <w:pPr>
              <w:pStyle w:val="48"/>
              <w:spacing w:beforeLines="0" w:afterLines="0" w:line="240" w:lineRule="auto"/>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经一体化污水处理设施处理后回用于矿区洒水降尘</w:t>
            </w:r>
          </w:p>
        </w:tc>
        <w:tc>
          <w:tcPr>
            <w:tcW w:w="1689" w:type="pct"/>
            <w:tcBorders>
              <w:tl2br w:val="nil"/>
              <w:tr2bl w:val="nil"/>
            </w:tcBorders>
            <w:noWrap w:val="0"/>
            <w:vAlign w:val="center"/>
          </w:tcPr>
          <w:p w14:paraId="754828ED">
            <w:pPr>
              <w:pStyle w:val="48"/>
              <w:spacing w:beforeLines="0" w:afterLines="0" w:line="240" w:lineRule="auto"/>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《农村生活污水处理排放 标准》（DB654275</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2019</w:t>
            </w:r>
          </w:p>
          <w:p w14:paraId="02BA066A">
            <w:pPr>
              <w:pStyle w:val="48"/>
              <w:spacing w:beforeLines="0" w:afterLines="0" w:line="240" w:lineRule="auto"/>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表2中的C级标准要求</w:t>
            </w:r>
          </w:p>
        </w:tc>
      </w:tr>
      <w:tr w14:paraId="667E0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7" w:type="pct"/>
            <w:vMerge w:val="continue"/>
            <w:tcBorders>
              <w:tl2br w:val="nil"/>
              <w:tr2bl w:val="nil"/>
            </w:tcBorders>
            <w:noWrap w:val="0"/>
            <w:vAlign w:val="center"/>
          </w:tcPr>
          <w:p w14:paraId="4DBE07BE">
            <w:pPr>
              <w:pStyle w:val="48"/>
              <w:spacing w:beforeLines="0" w:afterLines="0" w:line="240" w:lineRule="auto"/>
              <w:jc w:val="center"/>
              <w:rPr>
                <w:rFonts w:hint="default" w:ascii="Times New Roman" w:hAnsi="Times New Roman" w:cs="Times New Roman"/>
                <w:color w:val="auto"/>
                <w:sz w:val="24"/>
                <w:szCs w:val="24"/>
                <w:highlight w:val="none"/>
              </w:rPr>
            </w:pPr>
          </w:p>
        </w:tc>
        <w:tc>
          <w:tcPr>
            <w:tcW w:w="653" w:type="pct"/>
            <w:tcBorders>
              <w:tl2br w:val="nil"/>
              <w:tr2bl w:val="nil"/>
            </w:tcBorders>
            <w:noWrap w:val="0"/>
            <w:vAlign w:val="center"/>
          </w:tcPr>
          <w:p w14:paraId="7594FF28">
            <w:pPr>
              <w:pStyle w:val="48"/>
              <w:spacing w:beforeLines="0" w:afterLines="0" w:line="240" w:lineRule="auto"/>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生产废水</w:t>
            </w:r>
          </w:p>
        </w:tc>
        <w:tc>
          <w:tcPr>
            <w:tcW w:w="748" w:type="pct"/>
            <w:tcBorders>
              <w:tl2br w:val="nil"/>
              <w:tr2bl w:val="nil"/>
            </w:tcBorders>
            <w:noWrap w:val="0"/>
            <w:vAlign w:val="center"/>
          </w:tcPr>
          <w:p w14:paraId="01C0E3EC">
            <w:pPr>
              <w:pStyle w:val="48"/>
              <w:spacing w:beforeLines="0" w:afterLines="0" w:line="240" w:lineRule="auto"/>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SS</w:t>
            </w:r>
          </w:p>
        </w:tc>
        <w:tc>
          <w:tcPr>
            <w:tcW w:w="1531" w:type="pct"/>
            <w:tcBorders>
              <w:tl2br w:val="nil"/>
              <w:tr2bl w:val="nil"/>
            </w:tcBorders>
            <w:noWrap w:val="0"/>
            <w:vAlign w:val="center"/>
          </w:tcPr>
          <w:p w14:paraId="7A52981B">
            <w:pPr>
              <w:pStyle w:val="48"/>
              <w:spacing w:beforeLines="0" w:afterLines="0" w:line="240" w:lineRule="auto"/>
              <w:jc w:val="center"/>
              <w:rPr>
                <w:rFonts w:hint="default" w:ascii="Times New Roman" w:hAnsi="Times New Roman" w:cs="Times New Roman"/>
                <w:color w:val="auto"/>
                <w:sz w:val="24"/>
                <w:szCs w:val="24"/>
                <w:highlight w:val="none"/>
                <w:lang w:val="en-US"/>
              </w:rPr>
            </w:pPr>
            <w:r>
              <w:rPr>
                <w:rFonts w:hint="default" w:ascii="Times New Roman" w:hAnsi="Times New Roman" w:cs="Times New Roman"/>
                <w:color w:val="auto"/>
                <w:sz w:val="24"/>
                <w:szCs w:val="24"/>
                <w:highlight w:val="none"/>
              </w:rPr>
              <w:t>生产废水</w:t>
            </w:r>
            <w:r>
              <w:rPr>
                <w:rFonts w:hint="default" w:ascii="Times New Roman" w:hAnsi="Times New Roman" w:cs="Times New Roman"/>
                <w:color w:val="auto"/>
                <w:sz w:val="24"/>
                <w:szCs w:val="24"/>
                <w:highlight w:val="none"/>
                <w:lang w:eastAsia="zh-CN"/>
              </w:rPr>
              <w:t>沉淀池</w:t>
            </w:r>
            <w:r>
              <w:rPr>
                <w:rFonts w:hint="default" w:ascii="Times New Roman" w:hAnsi="Times New Roman" w:cs="Times New Roman"/>
                <w:color w:val="auto"/>
                <w:sz w:val="24"/>
                <w:szCs w:val="24"/>
                <w:highlight w:val="none"/>
                <w:lang w:val="en-US" w:eastAsia="zh-CN"/>
              </w:rPr>
              <w:t>沉淀后，回用于生产</w:t>
            </w:r>
          </w:p>
        </w:tc>
        <w:tc>
          <w:tcPr>
            <w:tcW w:w="1689" w:type="pct"/>
            <w:tcBorders>
              <w:tl2br w:val="nil"/>
              <w:tr2bl w:val="nil"/>
            </w:tcBorders>
            <w:noWrap w:val="0"/>
            <w:vAlign w:val="center"/>
          </w:tcPr>
          <w:p w14:paraId="00845508">
            <w:pPr>
              <w:pStyle w:val="48"/>
              <w:spacing w:beforeLines="0" w:afterLines="0" w:line="240" w:lineRule="auto"/>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p>
        </w:tc>
      </w:tr>
      <w:tr w14:paraId="09941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7" w:type="pct"/>
            <w:tcBorders>
              <w:tl2br w:val="nil"/>
              <w:tr2bl w:val="nil"/>
            </w:tcBorders>
            <w:noWrap w:val="0"/>
            <w:vAlign w:val="center"/>
          </w:tcPr>
          <w:p w14:paraId="07D01FCF">
            <w:pPr>
              <w:pStyle w:val="48"/>
              <w:spacing w:beforeLines="0" w:afterLines="0" w:line="240" w:lineRule="auto"/>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噪声</w:t>
            </w:r>
          </w:p>
        </w:tc>
        <w:tc>
          <w:tcPr>
            <w:tcW w:w="653" w:type="pct"/>
            <w:tcBorders>
              <w:tl2br w:val="nil"/>
              <w:tr2bl w:val="nil"/>
            </w:tcBorders>
            <w:noWrap w:val="0"/>
            <w:vAlign w:val="center"/>
          </w:tcPr>
          <w:p w14:paraId="45363F92">
            <w:pPr>
              <w:pStyle w:val="48"/>
              <w:spacing w:beforeLines="0" w:afterLines="0" w:line="240" w:lineRule="auto"/>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设备噪声</w:t>
            </w:r>
          </w:p>
        </w:tc>
        <w:tc>
          <w:tcPr>
            <w:tcW w:w="748" w:type="pct"/>
            <w:tcBorders>
              <w:tl2br w:val="nil"/>
              <w:tr2bl w:val="nil"/>
            </w:tcBorders>
            <w:noWrap w:val="0"/>
            <w:vAlign w:val="center"/>
          </w:tcPr>
          <w:p w14:paraId="09FA0484">
            <w:pPr>
              <w:pStyle w:val="48"/>
              <w:spacing w:beforeLines="0" w:afterLines="0" w:line="240" w:lineRule="auto"/>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噪声</w:t>
            </w:r>
          </w:p>
        </w:tc>
        <w:tc>
          <w:tcPr>
            <w:tcW w:w="1531" w:type="pct"/>
            <w:tcBorders>
              <w:tl2br w:val="nil"/>
              <w:tr2bl w:val="nil"/>
            </w:tcBorders>
            <w:noWrap w:val="0"/>
            <w:vAlign w:val="center"/>
          </w:tcPr>
          <w:p w14:paraId="61C08818">
            <w:pPr>
              <w:pStyle w:val="48"/>
              <w:spacing w:beforeLines="0" w:afterLines="0" w:line="240" w:lineRule="auto"/>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采用隔声减震、合理布局、绿化等措施</w:t>
            </w:r>
          </w:p>
        </w:tc>
        <w:tc>
          <w:tcPr>
            <w:tcW w:w="1689" w:type="pct"/>
            <w:tcBorders>
              <w:tl2br w:val="nil"/>
              <w:tr2bl w:val="nil"/>
            </w:tcBorders>
            <w:noWrap w:val="0"/>
            <w:vAlign w:val="center"/>
          </w:tcPr>
          <w:p w14:paraId="703B0578">
            <w:pPr>
              <w:pStyle w:val="48"/>
              <w:spacing w:beforeLines="0" w:afterLines="0" w:line="240" w:lineRule="auto"/>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满足《工业企业厂界环境 噪声排放标准》</w:t>
            </w:r>
          </w:p>
          <w:p w14:paraId="0FDDAE33">
            <w:pPr>
              <w:pStyle w:val="48"/>
              <w:spacing w:beforeLines="0" w:afterLines="0" w:line="240" w:lineRule="auto"/>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（GB12348-2008）2类标准</w:t>
            </w:r>
          </w:p>
        </w:tc>
      </w:tr>
      <w:tr w14:paraId="52BDF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7" w:type="pct"/>
            <w:vMerge w:val="restart"/>
            <w:tcBorders>
              <w:tl2br w:val="nil"/>
              <w:tr2bl w:val="nil"/>
            </w:tcBorders>
            <w:noWrap w:val="0"/>
            <w:vAlign w:val="center"/>
          </w:tcPr>
          <w:p w14:paraId="48AA7559">
            <w:pPr>
              <w:pStyle w:val="48"/>
              <w:spacing w:beforeLines="0" w:afterLines="0" w:line="240" w:lineRule="auto"/>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固体废物</w:t>
            </w:r>
          </w:p>
        </w:tc>
        <w:tc>
          <w:tcPr>
            <w:tcW w:w="1401" w:type="pct"/>
            <w:gridSpan w:val="2"/>
            <w:tcBorders>
              <w:tl2br w:val="nil"/>
              <w:tr2bl w:val="nil"/>
            </w:tcBorders>
            <w:noWrap w:val="0"/>
            <w:vAlign w:val="center"/>
          </w:tcPr>
          <w:p w14:paraId="5241166C">
            <w:pPr>
              <w:pStyle w:val="48"/>
              <w:spacing w:beforeLines="0" w:afterLines="0" w:line="240" w:lineRule="auto"/>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生活垃圾</w:t>
            </w:r>
          </w:p>
        </w:tc>
        <w:tc>
          <w:tcPr>
            <w:tcW w:w="1531" w:type="pct"/>
            <w:tcBorders>
              <w:tl2br w:val="nil"/>
              <w:tr2bl w:val="nil"/>
            </w:tcBorders>
            <w:noWrap w:val="0"/>
            <w:vAlign w:val="center"/>
          </w:tcPr>
          <w:p w14:paraId="081DECC7">
            <w:pPr>
              <w:pStyle w:val="48"/>
              <w:spacing w:beforeLines="0" w:afterLines="0" w:line="240" w:lineRule="auto"/>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垃圾箱集中收集，定期交环卫部门处理</w:t>
            </w:r>
          </w:p>
        </w:tc>
        <w:tc>
          <w:tcPr>
            <w:tcW w:w="1689" w:type="pct"/>
            <w:tcBorders>
              <w:tl2br w:val="nil"/>
              <w:tr2bl w:val="nil"/>
            </w:tcBorders>
            <w:noWrap w:val="0"/>
            <w:vAlign w:val="center"/>
          </w:tcPr>
          <w:p w14:paraId="58850D40">
            <w:pPr>
              <w:pStyle w:val="48"/>
              <w:spacing w:beforeLines="0" w:afterLines="0"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分类收集，运至阜康市生活垃圾填埋场集中处置</w:t>
            </w:r>
          </w:p>
        </w:tc>
      </w:tr>
      <w:tr w14:paraId="0EE63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377" w:type="pct"/>
            <w:vMerge w:val="continue"/>
            <w:tcBorders>
              <w:tl2br w:val="nil"/>
              <w:tr2bl w:val="nil"/>
            </w:tcBorders>
            <w:noWrap w:val="0"/>
            <w:vAlign w:val="center"/>
          </w:tcPr>
          <w:p w14:paraId="09FCC23D">
            <w:pPr>
              <w:pStyle w:val="48"/>
              <w:spacing w:beforeLines="0" w:afterLines="0" w:line="240" w:lineRule="auto"/>
              <w:jc w:val="center"/>
              <w:rPr>
                <w:rFonts w:hint="default" w:ascii="Times New Roman" w:hAnsi="Times New Roman" w:cs="Times New Roman"/>
                <w:color w:val="auto"/>
                <w:sz w:val="24"/>
                <w:szCs w:val="24"/>
                <w:highlight w:val="none"/>
              </w:rPr>
            </w:pPr>
          </w:p>
        </w:tc>
        <w:tc>
          <w:tcPr>
            <w:tcW w:w="1401" w:type="pct"/>
            <w:gridSpan w:val="2"/>
            <w:tcBorders>
              <w:tl2br w:val="nil"/>
              <w:tr2bl w:val="nil"/>
            </w:tcBorders>
            <w:noWrap w:val="0"/>
            <w:vAlign w:val="center"/>
          </w:tcPr>
          <w:p w14:paraId="785F53BC">
            <w:pPr>
              <w:pStyle w:val="48"/>
              <w:spacing w:beforeLines="0" w:afterLines="0" w:line="240" w:lineRule="auto"/>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筛分废料</w:t>
            </w:r>
          </w:p>
        </w:tc>
        <w:tc>
          <w:tcPr>
            <w:tcW w:w="1531" w:type="pct"/>
            <w:tcBorders>
              <w:tl2br w:val="nil"/>
              <w:tr2bl w:val="nil"/>
            </w:tcBorders>
            <w:noWrap w:val="0"/>
            <w:vAlign w:val="center"/>
          </w:tcPr>
          <w:p w14:paraId="0F48D6D8">
            <w:pPr>
              <w:pStyle w:val="48"/>
              <w:spacing w:beforeLines="0" w:afterLines="0" w:line="240" w:lineRule="auto"/>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采矿初期</w:t>
            </w:r>
            <w:r>
              <w:rPr>
                <w:rFonts w:hint="default" w:ascii="Times New Roman" w:hAnsi="Times New Roman" w:cs="Times New Roman"/>
                <w:color w:val="auto"/>
                <w:sz w:val="24"/>
                <w:szCs w:val="24"/>
                <w:highlight w:val="none"/>
              </w:rPr>
              <w:t>堆存至</w:t>
            </w:r>
            <w:r>
              <w:rPr>
                <w:rFonts w:hint="default" w:ascii="Times New Roman" w:hAnsi="Times New Roman" w:cs="Times New Roman"/>
                <w:color w:val="auto"/>
                <w:sz w:val="24"/>
                <w:szCs w:val="24"/>
                <w:highlight w:val="none"/>
                <w:lang w:val="en-US" w:eastAsia="zh-CN"/>
              </w:rPr>
              <w:t>排土场</w:t>
            </w:r>
            <w:r>
              <w:rPr>
                <w:rFonts w:hint="default" w:ascii="Times New Roman" w:hAnsi="Times New Roman" w:cs="Times New Roman"/>
                <w:color w:val="auto"/>
                <w:sz w:val="24"/>
                <w:szCs w:val="24"/>
                <w:highlight w:val="none"/>
              </w:rPr>
              <w:t>，后期</w:t>
            </w:r>
            <w:r>
              <w:rPr>
                <w:rFonts w:hint="default" w:ascii="Times New Roman" w:hAnsi="Times New Roman" w:cs="Times New Roman"/>
                <w:color w:val="auto"/>
                <w:sz w:val="24"/>
                <w:szCs w:val="24"/>
                <w:highlight w:val="none"/>
                <w:lang w:val="en-US" w:eastAsia="zh-CN"/>
              </w:rPr>
              <w:t>边开采边回填</w:t>
            </w:r>
            <w:r>
              <w:rPr>
                <w:rFonts w:hint="default" w:ascii="Times New Roman" w:hAnsi="Times New Roman" w:cs="Times New Roman"/>
                <w:color w:val="auto"/>
                <w:sz w:val="24"/>
                <w:szCs w:val="24"/>
                <w:highlight w:val="none"/>
              </w:rPr>
              <w:t>采坑</w:t>
            </w:r>
          </w:p>
        </w:tc>
        <w:tc>
          <w:tcPr>
            <w:tcW w:w="1689" w:type="pct"/>
            <w:vMerge w:val="restart"/>
            <w:tcBorders>
              <w:tl2br w:val="nil"/>
              <w:tr2bl w:val="nil"/>
            </w:tcBorders>
            <w:noWrap w:val="0"/>
            <w:vAlign w:val="center"/>
          </w:tcPr>
          <w:p w14:paraId="6891D94C">
            <w:pPr>
              <w:pStyle w:val="48"/>
              <w:spacing w:beforeLines="0" w:afterLines="0" w:line="240" w:lineRule="auto"/>
              <w:jc w:val="center"/>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按照</w:t>
            </w:r>
            <w:r>
              <w:rPr>
                <w:rFonts w:hint="default" w:ascii="Times New Roman" w:hAnsi="Times New Roman" w:cs="Times New Roman"/>
                <w:color w:val="auto"/>
                <w:sz w:val="24"/>
                <w:szCs w:val="24"/>
                <w:highlight w:val="none"/>
              </w:rPr>
              <w:t>《一般工业固体废物贮存和填埋污染控制标准》(GB18599-2020)</w:t>
            </w:r>
            <w:r>
              <w:rPr>
                <w:rFonts w:hint="default" w:ascii="Times New Roman" w:hAnsi="Times New Roman" w:cs="Times New Roman"/>
                <w:color w:val="auto"/>
                <w:sz w:val="24"/>
                <w:szCs w:val="24"/>
                <w:highlight w:val="none"/>
                <w:lang w:val="en-US" w:eastAsia="zh-CN"/>
              </w:rPr>
              <w:t>堆存，闭矿时回填只采坑区。</w:t>
            </w:r>
          </w:p>
        </w:tc>
      </w:tr>
      <w:tr w14:paraId="16E10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7" w:type="pct"/>
            <w:vMerge w:val="continue"/>
            <w:tcBorders>
              <w:tl2br w:val="nil"/>
              <w:tr2bl w:val="nil"/>
            </w:tcBorders>
            <w:noWrap w:val="0"/>
            <w:vAlign w:val="center"/>
          </w:tcPr>
          <w:p w14:paraId="3B73D304">
            <w:pPr>
              <w:pStyle w:val="48"/>
              <w:spacing w:beforeLines="0" w:afterLines="0" w:line="240" w:lineRule="auto"/>
              <w:jc w:val="center"/>
              <w:rPr>
                <w:rFonts w:hint="default" w:ascii="Times New Roman" w:hAnsi="Times New Roman" w:cs="Times New Roman"/>
                <w:color w:val="auto"/>
                <w:sz w:val="24"/>
                <w:szCs w:val="24"/>
                <w:highlight w:val="none"/>
              </w:rPr>
            </w:pPr>
          </w:p>
        </w:tc>
        <w:tc>
          <w:tcPr>
            <w:tcW w:w="1401" w:type="pct"/>
            <w:gridSpan w:val="2"/>
            <w:tcBorders>
              <w:tl2br w:val="nil"/>
              <w:tr2bl w:val="nil"/>
            </w:tcBorders>
            <w:noWrap w:val="0"/>
            <w:vAlign w:val="center"/>
          </w:tcPr>
          <w:p w14:paraId="0DB577F9">
            <w:pPr>
              <w:pStyle w:val="48"/>
              <w:spacing w:beforeLines="0" w:afterLines="0" w:line="240" w:lineRule="auto"/>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剥离表土</w:t>
            </w:r>
          </w:p>
        </w:tc>
        <w:tc>
          <w:tcPr>
            <w:tcW w:w="1531" w:type="pct"/>
            <w:tcBorders>
              <w:tl2br w:val="nil"/>
              <w:tr2bl w:val="nil"/>
            </w:tcBorders>
            <w:noWrap w:val="0"/>
            <w:vAlign w:val="center"/>
          </w:tcPr>
          <w:p w14:paraId="08B7F3F0">
            <w:pPr>
              <w:pStyle w:val="48"/>
              <w:spacing w:beforeLines="0" w:afterLines="0" w:line="240" w:lineRule="auto"/>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集中堆存至表土堆场，后期用于土地复垦</w:t>
            </w:r>
          </w:p>
        </w:tc>
        <w:tc>
          <w:tcPr>
            <w:tcW w:w="1689" w:type="pct"/>
            <w:vMerge w:val="continue"/>
            <w:tcBorders>
              <w:tl2br w:val="nil"/>
              <w:tr2bl w:val="nil"/>
            </w:tcBorders>
            <w:noWrap w:val="0"/>
            <w:vAlign w:val="center"/>
          </w:tcPr>
          <w:p w14:paraId="4E0EE029">
            <w:pPr>
              <w:pStyle w:val="48"/>
              <w:spacing w:beforeLines="0" w:afterLines="0" w:line="240" w:lineRule="auto"/>
              <w:jc w:val="center"/>
              <w:rPr>
                <w:rFonts w:hint="default" w:ascii="Times New Roman" w:hAnsi="Times New Roman" w:cs="Times New Roman"/>
                <w:color w:val="auto"/>
                <w:sz w:val="24"/>
                <w:szCs w:val="24"/>
                <w:highlight w:val="none"/>
              </w:rPr>
            </w:pPr>
          </w:p>
        </w:tc>
      </w:tr>
      <w:tr w14:paraId="0F5E5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7" w:type="pct"/>
            <w:vMerge w:val="continue"/>
            <w:tcBorders>
              <w:tl2br w:val="nil"/>
              <w:tr2bl w:val="nil"/>
            </w:tcBorders>
            <w:noWrap w:val="0"/>
            <w:vAlign w:val="center"/>
          </w:tcPr>
          <w:p w14:paraId="6A07E60A">
            <w:pPr>
              <w:pStyle w:val="48"/>
              <w:spacing w:beforeLines="0" w:afterLines="0" w:line="240" w:lineRule="auto"/>
              <w:jc w:val="center"/>
              <w:rPr>
                <w:rFonts w:hint="default" w:ascii="Times New Roman" w:hAnsi="Times New Roman" w:cs="Times New Roman"/>
                <w:color w:val="auto"/>
                <w:sz w:val="24"/>
                <w:szCs w:val="24"/>
                <w:highlight w:val="none"/>
              </w:rPr>
            </w:pPr>
          </w:p>
        </w:tc>
        <w:tc>
          <w:tcPr>
            <w:tcW w:w="1401" w:type="pct"/>
            <w:gridSpan w:val="2"/>
            <w:tcBorders>
              <w:tl2br w:val="nil"/>
              <w:tr2bl w:val="nil"/>
            </w:tcBorders>
            <w:noWrap w:val="0"/>
            <w:vAlign w:val="center"/>
          </w:tcPr>
          <w:p w14:paraId="19A4FBBF">
            <w:pPr>
              <w:pStyle w:val="48"/>
              <w:spacing w:beforeLines="0" w:afterLines="0" w:line="240" w:lineRule="auto"/>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沉渣</w:t>
            </w:r>
          </w:p>
        </w:tc>
        <w:tc>
          <w:tcPr>
            <w:tcW w:w="1531" w:type="pct"/>
            <w:tcBorders>
              <w:tl2br w:val="nil"/>
              <w:tr2bl w:val="nil"/>
            </w:tcBorders>
            <w:noWrap w:val="0"/>
            <w:vAlign w:val="center"/>
          </w:tcPr>
          <w:p w14:paraId="64E73C36">
            <w:pPr>
              <w:pStyle w:val="48"/>
              <w:spacing w:beforeLines="0" w:afterLines="0" w:line="240" w:lineRule="auto"/>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沉淀池</w:t>
            </w:r>
            <w:r>
              <w:rPr>
                <w:rFonts w:hint="default" w:ascii="Times New Roman" w:hAnsi="Times New Roman" w:cs="Times New Roman"/>
                <w:color w:val="auto"/>
                <w:sz w:val="24"/>
                <w:szCs w:val="24"/>
                <w:highlight w:val="none"/>
              </w:rPr>
              <w:t>中沉渣定期清运至废料堆场</w:t>
            </w:r>
          </w:p>
        </w:tc>
        <w:tc>
          <w:tcPr>
            <w:tcW w:w="1689" w:type="pct"/>
            <w:vMerge w:val="continue"/>
            <w:tcBorders>
              <w:tl2br w:val="nil"/>
              <w:tr2bl w:val="nil"/>
            </w:tcBorders>
            <w:noWrap w:val="0"/>
            <w:vAlign w:val="center"/>
          </w:tcPr>
          <w:p w14:paraId="356B89A6">
            <w:pPr>
              <w:pStyle w:val="48"/>
              <w:spacing w:beforeLines="0" w:afterLines="0" w:line="240" w:lineRule="auto"/>
              <w:jc w:val="center"/>
              <w:rPr>
                <w:rFonts w:hint="default" w:ascii="Times New Roman" w:hAnsi="Times New Roman" w:cs="Times New Roman"/>
                <w:color w:val="auto"/>
                <w:sz w:val="24"/>
                <w:szCs w:val="24"/>
                <w:highlight w:val="none"/>
              </w:rPr>
            </w:pPr>
          </w:p>
        </w:tc>
      </w:tr>
      <w:tr w14:paraId="01DBF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7" w:type="pct"/>
            <w:vMerge w:val="continue"/>
            <w:tcBorders>
              <w:tl2br w:val="nil"/>
              <w:tr2bl w:val="nil"/>
            </w:tcBorders>
            <w:noWrap w:val="0"/>
            <w:vAlign w:val="center"/>
          </w:tcPr>
          <w:p w14:paraId="0B3277BE">
            <w:pPr>
              <w:pStyle w:val="48"/>
              <w:spacing w:beforeLines="0" w:afterLines="0" w:line="240" w:lineRule="auto"/>
              <w:jc w:val="center"/>
              <w:rPr>
                <w:rFonts w:hint="default" w:ascii="Times New Roman" w:hAnsi="Times New Roman" w:cs="Times New Roman"/>
                <w:color w:val="auto"/>
                <w:sz w:val="24"/>
                <w:szCs w:val="24"/>
                <w:highlight w:val="none"/>
              </w:rPr>
            </w:pPr>
          </w:p>
        </w:tc>
        <w:tc>
          <w:tcPr>
            <w:tcW w:w="1401" w:type="pct"/>
            <w:gridSpan w:val="2"/>
            <w:tcBorders>
              <w:tl2br w:val="nil"/>
              <w:tr2bl w:val="nil"/>
            </w:tcBorders>
            <w:noWrap w:val="0"/>
            <w:vAlign w:val="center"/>
          </w:tcPr>
          <w:p w14:paraId="6B7D5E2A">
            <w:pPr>
              <w:pStyle w:val="48"/>
              <w:spacing w:beforeLines="0" w:afterLines="0"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废矿物油及废包装桶</w:t>
            </w:r>
          </w:p>
        </w:tc>
        <w:tc>
          <w:tcPr>
            <w:tcW w:w="1531" w:type="pct"/>
            <w:tcBorders>
              <w:tl2br w:val="nil"/>
              <w:tr2bl w:val="nil"/>
            </w:tcBorders>
            <w:noWrap w:val="0"/>
            <w:vAlign w:val="center"/>
          </w:tcPr>
          <w:p w14:paraId="2BDEB99A">
            <w:pPr>
              <w:pStyle w:val="48"/>
              <w:spacing w:beforeLines="0" w:afterLines="0" w:line="240" w:lineRule="auto"/>
              <w:jc w:val="center"/>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危废贮存点贮存</w:t>
            </w:r>
          </w:p>
        </w:tc>
        <w:tc>
          <w:tcPr>
            <w:tcW w:w="1689" w:type="pct"/>
            <w:tcBorders>
              <w:tl2br w:val="nil"/>
              <w:tr2bl w:val="nil"/>
            </w:tcBorders>
            <w:noWrap w:val="0"/>
            <w:vAlign w:val="center"/>
          </w:tcPr>
          <w:p w14:paraId="50A89BF9">
            <w:pPr>
              <w:pStyle w:val="48"/>
              <w:spacing w:beforeLines="0" w:afterLines="0"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委托有资质的单位处置</w:t>
            </w:r>
          </w:p>
        </w:tc>
      </w:tr>
    </w:tbl>
    <w:p w14:paraId="573B1AEC">
      <w:pPr>
        <w:spacing w:beforeLines="0" w:afterLines="0"/>
        <w:rPr>
          <w:rFonts w:hint="default" w:ascii="Times New Roman" w:hAnsi="Times New Roman" w:cs="Times New Roman"/>
          <w:color w:val="auto"/>
          <w:sz w:val="24"/>
          <w:szCs w:val="24"/>
          <w:highlight w:val="none"/>
        </w:rPr>
      </w:pPr>
    </w:p>
    <w:p w14:paraId="298EE99B">
      <w:pPr>
        <w:spacing w:beforeLines="0" w:afterLines="0"/>
        <w:rPr>
          <w:rFonts w:hint="default" w:ascii="Times New Roman" w:hAnsi="Times New Roman" w:cs="Times New Roman"/>
          <w:color w:val="auto"/>
          <w:sz w:val="24"/>
          <w:szCs w:val="24"/>
          <w:highlight w:val="none"/>
        </w:rPr>
        <w:sectPr>
          <w:pgSz w:w="11910" w:h="16840"/>
          <w:pgMar w:top="1360" w:right="1340" w:bottom="280" w:left="1420" w:header="1050" w:footer="850" w:gutter="0"/>
          <w:pgBorders>
            <w:top w:val="none" w:sz="0" w:space="0"/>
            <w:left w:val="none" w:sz="0" w:space="0"/>
            <w:bottom w:val="none" w:sz="0" w:space="0"/>
            <w:right w:val="none" w:sz="0" w:space="0"/>
          </w:pgBorders>
          <w:lnNumType w:countBy="0" w:distance="360"/>
          <w:cols w:space="720" w:num="1"/>
        </w:sectPr>
      </w:pPr>
    </w:p>
    <w:p w14:paraId="2ED318F5">
      <w:pPr>
        <w:pStyle w:val="3"/>
        <w:bidi w:val="0"/>
        <w:rPr>
          <w:rFonts w:hint="default"/>
        </w:rPr>
      </w:pPr>
      <w:bookmarkStart w:id="763" w:name="8.5污染物排放情况"/>
      <w:bookmarkEnd w:id="763"/>
      <w:bookmarkStart w:id="764" w:name="bookmark45"/>
      <w:bookmarkEnd w:id="764"/>
      <w:bookmarkStart w:id="765" w:name="_Toc17049"/>
      <w:bookmarkStart w:id="766" w:name="_Toc17308"/>
      <w:r>
        <w:rPr>
          <w:rFonts w:hint="default"/>
        </w:rPr>
        <w:t>污染物排放情况</w:t>
      </w:r>
      <w:bookmarkEnd w:id="765"/>
      <w:bookmarkEnd w:id="766"/>
    </w:p>
    <w:p w14:paraId="1A11544E">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项目污染物排放情况见</w:t>
      </w:r>
      <w:r>
        <w:rPr>
          <w:rFonts w:hint="default" w:ascii="Times New Roman" w:hAnsi="Times New Roman" w:cs="Times New Roman"/>
          <w:color w:val="auto"/>
          <w:sz w:val="24"/>
          <w:szCs w:val="24"/>
          <w:highlight w:val="none"/>
          <w:lang w:val="en-US" w:eastAsia="zh-CN"/>
        </w:rPr>
        <w:t>下</w:t>
      </w:r>
      <w:r>
        <w:rPr>
          <w:rFonts w:hint="default" w:ascii="Times New Roman" w:hAnsi="Times New Roman" w:cs="Times New Roman"/>
          <w:color w:val="auto"/>
          <w:sz w:val="24"/>
          <w:szCs w:val="24"/>
          <w:highlight w:val="none"/>
        </w:rPr>
        <w:t>表。</w:t>
      </w:r>
    </w:p>
    <w:p w14:paraId="2F389D93">
      <w:pPr>
        <w:pStyle w:val="4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表</w:t>
      </w:r>
      <w:r>
        <w:rPr>
          <w:rFonts w:hint="default" w:ascii="Times New Roman" w:hAnsi="Times New Roman" w:cs="Times New Roman"/>
          <w:color w:val="auto"/>
          <w:highlight w:val="none"/>
          <w:lang w:val="en-US" w:eastAsia="zh-CN"/>
        </w:rPr>
        <w:t>8.6</w:t>
      </w:r>
      <w:r>
        <w:rPr>
          <w:rFonts w:hint="default" w:ascii="Times New Roman" w:hAnsi="Times New Roman" w:cs="Times New Roman"/>
          <w:color w:val="auto"/>
          <w:highlight w:val="none"/>
        </w:rPr>
        <w:t>-1</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t>项目污染物排放清单</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4"/>
        <w:gridCol w:w="456"/>
        <w:gridCol w:w="456"/>
        <w:gridCol w:w="1334"/>
        <w:gridCol w:w="1642"/>
        <w:gridCol w:w="1266"/>
        <w:gridCol w:w="696"/>
        <w:gridCol w:w="956"/>
        <w:gridCol w:w="1432"/>
        <w:gridCol w:w="1170"/>
        <w:gridCol w:w="696"/>
        <w:gridCol w:w="703"/>
        <w:gridCol w:w="2781"/>
        <w:gridCol w:w="1590"/>
      </w:tblGrid>
      <w:tr w14:paraId="2C2CB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0" w:type="auto"/>
            <w:vMerge w:val="restart"/>
            <w:vAlign w:val="center"/>
          </w:tcPr>
          <w:p w14:paraId="23849A5C">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污染物类别</w:t>
            </w:r>
          </w:p>
        </w:tc>
        <w:tc>
          <w:tcPr>
            <w:tcW w:w="0" w:type="auto"/>
            <w:vMerge w:val="restart"/>
            <w:vAlign w:val="center"/>
          </w:tcPr>
          <w:p w14:paraId="31797B88">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产污环节</w:t>
            </w:r>
          </w:p>
        </w:tc>
        <w:tc>
          <w:tcPr>
            <w:tcW w:w="0" w:type="auto"/>
            <w:vMerge w:val="restart"/>
            <w:vAlign w:val="center"/>
          </w:tcPr>
          <w:p w14:paraId="2D28A866">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排放形式</w:t>
            </w:r>
          </w:p>
        </w:tc>
        <w:tc>
          <w:tcPr>
            <w:tcW w:w="0" w:type="auto"/>
            <w:vMerge w:val="restart"/>
            <w:vAlign w:val="center"/>
          </w:tcPr>
          <w:p w14:paraId="205EDC36">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污染物</w:t>
            </w:r>
          </w:p>
        </w:tc>
        <w:tc>
          <w:tcPr>
            <w:tcW w:w="0" w:type="auto"/>
            <w:vMerge w:val="restart"/>
            <w:vAlign w:val="center"/>
          </w:tcPr>
          <w:p w14:paraId="1A1AC022">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产生浓度</w:t>
            </w:r>
          </w:p>
        </w:tc>
        <w:tc>
          <w:tcPr>
            <w:tcW w:w="0" w:type="auto"/>
            <w:vMerge w:val="restart"/>
            <w:vAlign w:val="center"/>
          </w:tcPr>
          <w:p w14:paraId="4094F33A">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产生量</w:t>
            </w:r>
          </w:p>
        </w:tc>
        <w:tc>
          <w:tcPr>
            <w:tcW w:w="0" w:type="auto"/>
            <w:vMerge w:val="restart"/>
            <w:vAlign w:val="center"/>
          </w:tcPr>
          <w:p w14:paraId="25A437B6">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治理措施</w:t>
            </w:r>
          </w:p>
        </w:tc>
        <w:tc>
          <w:tcPr>
            <w:tcW w:w="0" w:type="auto"/>
            <w:vMerge w:val="restart"/>
            <w:vAlign w:val="center"/>
          </w:tcPr>
          <w:p w14:paraId="6D17A51F">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去除效率</w:t>
            </w:r>
          </w:p>
        </w:tc>
        <w:tc>
          <w:tcPr>
            <w:tcW w:w="0" w:type="auto"/>
            <w:vMerge w:val="restart"/>
            <w:vAlign w:val="center"/>
          </w:tcPr>
          <w:p w14:paraId="209936DB">
            <w:pPr>
              <w:pStyle w:val="48"/>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排放浓度</w:t>
            </w:r>
          </w:p>
        </w:tc>
        <w:tc>
          <w:tcPr>
            <w:tcW w:w="0" w:type="auto"/>
            <w:vMerge w:val="restart"/>
            <w:vAlign w:val="center"/>
          </w:tcPr>
          <w:p w14:paraId="43FF42F0">
            <w:pPr>
              <w:pStyle w:val="48"/>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年排放量</w:t>
            </w:r>
          </w:p>
        </w:tc>
        <w:tc>
          <w:tcPr>
            <w:tcW w:w="0" w:type="auto"/>
            <w:vMerge w:val="restart"/>
            <w:vAlign w:val="center"/>
          </w:tcPr>
          <w:p w14:paraId="580689B4">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排气筒高度）</w:t>
            </w:r>
          </w:p>
        </w:tc>
        <w:tc>
          <w:tcPr>
            <w:tcW w:w="0" w:type="auto"/>
            <w:vMerge w:val="restart"/>
            <w:vAlign w:val="center"/>
          </w:tcPr>
          <w:p w14:paraId="371B007D">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排气筒内径</w:t>
            </w:r>
          </w:p>
        </w:tc>
        <w:tc>
          <w:tcPr>
            <w:tcW w:w="0" w:type="auto"/>
            <w:gridSpan w:val="2"/>
            <w:vAlign w:val="center"/>
          </w:tcPr>
          <w:p w14:paraId="179E030F">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执行标准</w:t>
            </w:r>
          </w:p>
        </w:tc>
      </w:tr>
      <w:tr w14:paraId="1428F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tblHeader/>
        </w:trPr>
        <w:tc>
          <w:tcPr>
            <w:tcW w:w="0" w:type="auto"/>
            <w:vMerge w:val="continue"/>
            <w:vAlign w:val="center"/>
          </w:tcPr>
          <w:p w14:paraId="2B847724">
            <w:pPr>
              <w:pStyle w:val="48"/>
              <w:bidi w:val="0"/>
              <w:rPr>
                <w:rFonts w:hint="default" w:ascii="Times New Roman" w:hAnsi="Times New Roman" w:cs="Times New Roman"/>
                <w:color w:val="auto"/>
                <w:highlight w:val="none"/>
              </w:rPr>
            </w:pPr>
          </w:p>
        </w:tc>
        <w:tc>
          <w:tcPr>
            <w:tcW w:w="0" w:type="auto"/>
            <w:vMerge w:val="continue"/>
            <w:vAlign w:val="center"/>
          </w:tcPr>
          <w:p w14:paraId="3CAD8783">
            <w:pPr>
              <w:pStyle w:val="48"/>
              <w:bidi w:val="0"/>
              <w:rPr>
                <w:rFonts w:hint="default" w:ascii="Times New Roman" w:hAnsi="Times New Roman" w:cs="Times New Roman"/>
                <w:color w:val="auto"/>
                <w:highlight w:val="none"/>
              </w:rPr>
            </w:pPr>
          </w:p>
        </w:tc>
        <w:tc>
          <w:tcPr>
            <w:tcW w:w="0" w:type="auto"/>
            <w:vMerge w:val="continue"/>
            <w:vAlign w:val="center"/>
          </w:tcPr>
          <w:p w14:paraId="6B3BE459">
            <w:pPr>
              <w:pStyle w:val="48"/>
              <w:bidi w:val="0"/>
              <w:rPr>
                <w:rFonts w:hint="default" w:ascii="Times New Roman" w:hAnsi="Times New Roman" w:cs="Times New Roman"/>
                <w:color w:val="auto"/>
                <w:highlight w:val="none"/>
              </w:rPr>
            </w:pPr>
          </w:p>
        </w:tc>
        <w:tc>
          <w:tcPr>
            <w:tcW w:w="0" w:type="auto"/>
            <w:vMerge w:val="continue"/>
            <w:vAlign w:val="center"/>
          </w:tcPr>
          <w:p w14:paraId="29FC8031">
            <w:pPr>
              <w:pStyle w:val="48"/>
              <w:bidi w:val="0"/>
              <w:rPr>
                <w:rFonts w:hint="default" w:ascii="Times New Roman" w:hAnsi="Times New Roman" w:cs="Times New Roman"/>
                <w:color w:val="auto"/>
                <w:highlight w:val="none"/>
              </w:rPr>
            </w:pPr>
          </w:p>
        </w:tc>
        <w:tc>
          <w:tcPr>
            <w:tcW w:w="0" w:type="auto"/>
            <w:vMerge w:val="continue"/>
            <w:vAlign w:val="center"/>
          </w:tcPr>
          <w:p w14:paraId="0846DA3F">
            <w:pPr>
              <w:pStyle w:val="48"/>
              <w:bidi w:val="0"/>
              <w:rPr>
                <w:rFonts w:hint="default" w:ascii="Times New Roman" w:hAnsi="Times New Roman" w:cs="Times New Roman"/>
                <w:color w:val="auto"/>
                <w:highlight w:val="none"/>
              </w:rPr>
            </w:pPr>
          </w:p>
        </w:tc>
        <w:tc>
          <w:tcPr>
            <w:tcW w:w="0" w:type="auto"/>
            <w:vMerge w:val="continue"/>
            <w:vAlign w:val="center"/>
          </w:tcPr>
          <w:p w14:paraId="53D74219">
            <w:pPr>
              <w:pStyle w:val="48"/>
              <w:bidi w:val="0"/>
              <w:rPr>
                <w:rFonts w:hint="default" w:ascii="Times New Roman" w:hAnsi="Times New Roman" w:cs="Times New Roman"/>
                <w:color w:val="auto"/>
                <w:highlight w:val="none"/>
              </w:rPr>
            </w:pPr>
          </w:p>
        </w:tc>
        <w:tc>
          <w:tcPr>
            <w:tcW w:w="0" w:type="auto"/>
            <w:vMerge w:val="continue"/>
            <w:vAlign w:val="center"/>
          </w:tcPr>
          <w:p w14:paraId="419C647F">
            <w:pPr>
              <w:pStyle w:val="48"/>
              <w:bidi w:val="0"/>
              <w:rPr>
                <w:rFonts w:hint="default" w:ascii="Times New Roman" w:hAnsi="Times New Roman" w:cs="Times New Roman"/>
                <w:color w:val="auto"/>
                <w:highlight w:val="none"/>
              </w:rPr>
            </w:pPr>
          </w:p>
        </w:tc>
        <w:tc>
          <w:tcPr>
            <w:tcW w:w="0" w:type="auto"/>
            <w:vMerge w:val="continue"/>
            <w:vAlign w:val="center"/>
          </w:tcPr>
          <w:p w14:paraId="4A4ADE26">
            <w:pPr>
              <w:pStyle w:val="48"/>
              <w:bidi w:val="0"/>
              <w:rPr>
                <w:rFonts w:hint="default" w:ascii="Times New Roman" w:hAnsi="Times New Roman" w:cs="Times New Roman"/>
                <w:color w:val="auto"/>
                <w:highlight w:val="none"/>
              </w:rPr>
            </w:pPr>
          </w:p>
        </w:tc>
        <w:tc>
          <w:tcPr>
            <w:tcW w:w="0" w:type="auto"/>
            <w:vMerge w:val="continue"/>
            <w:vAlign w:val="center"/>
          </w:tcPr>
          <w:p w14:paraId="5F36105D">
            <w:pPr>
              <w:pStyle w:val="48"/>
              <w:bidi w:val="0"/>
              <w:rPr>
                <w:rFonts w:hint="default" w:ascii="Times New Roman" w:hAnsi="Times New Roman" w:cs="Times New Roman"/>
                <w:color w:val="auto"/>
                <w:highlight w:val="none"/>
              </w:rPr>
            </w:pPr>
          </w:p>
        </w:tc>
        <w:tc>
          <w:tcPr>
            <w:tcW w:w="0" w:type="auto"/>
            <w:vMerge w:val="continue"/>
            <w:vAlign w:val="center"/>
          </w:tcPr>
          <w:p w14:paraId="322686B3">
            <w:pPr>
              <w:pStyle w:val="48"/>
              <w:bidi w:val="0"/>
              <w:rPr>
                <w:rFonts w:hint="default" w:ascii="Times New Roman" w:hAnsi="Times New Roman" w:cs="Times New Roman"/>
                <w:color w:val="auto"/>
                <w:highlight w:val="none"/>
              </w:rPr>
            </w:pPr>
          </w:p>
        </w:tc>
        <w:tc>
          <w:tcPr>
            <w:tcW w:w="0" w:type="auto"/>
            <w:vMerge w:val="continue"/>
            <w:vAlign w:val="center"/>
          </w:tcPr>
          <w:p w14:paraId="08803478">
            <w:pPr>
              <w:pStyle w:val="48"/>
              <w:bidi w:val="0"/>
              <w:rPr>
                <w:rFonts w:hint="default" w:ascii="Times New Roman" w:hAnsi="Times New Roman" w:cs="Times New Roman"/>
                <w:color w:val="auto"/>
                <w:highlight w:val="none"/>
              </w:rPr>
            </w:pPr>
          </w:p>
        </w:tc>
        <w:tc>
          <w:tcPr>
            <w:tcW w:w="0" w:type="auto"/>
            <w:vMerge w:val="continue"/>
            <w:vAlign w:val="center"/>
          </w:tcPr>
          <w:p w14:paraId="1FFA722F">
            <w:pPr>
              <w:pStyle w:val="48"/>
              <w:bidi w:val="0"/>
              <w:rPr>
                <w:rFonts w:hint="default" w:ascii="Times New Roman" w:hAnsi="Times New Roman" w:cs="Times New Roman"/>
                <w:color w:val="auto"/>
                <w:highlight w:val="none"/>
              </w:rPr>
            </w:pPr>
          </w:p>
        </w:tc>
        <w:tc>
          <w:tcPr>
            <w:tcW w:w="0" w:type="auto"/>
            <w:vAlign w:val="center"/>
          </w:tcPr>
          <w:p w14:paraId="62170888">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标准限值</w:t>
            </w:r>
          </w:p>
        </w:tc>
        <w:tc>
          <w:tcPr>
            <w:tcW w:w="0" w:type="auto"/>
            <w:vAlign w:val="center"/>
          </w:tcPr>
          <w:p w14:paraId="579AE5FF">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标准来源</w:t>
            </w:r>
          </w:p>
        </w:tc>
      </w:tr>
      <w:tr w14:paraId="06A72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vMerge w:val="restart"/>
            <w:vAlign w:val="center"/>
          </w:tcPr>
          <w:p w14:paraId="05554E28">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废气</w:t>
            </w:r>
          </w:p>
        </w:tc>
        <w:tc>
          <w:tcPr>
            <w:tcW w:w="0" w:type="auto"/>
            <w:vAlign w:val="center"/>
          </w:tcPr>
          <w:p w14:paraId="79B51311">
            <w:pPr>
              <w:pStyle w:val="48"/>
              <w:bidi w:val="0"/>
              <w:rPr>
                <w:rFonts w:hint="default" w:ascii="Times New Roman" w:hAnsi="Times New Roman" w:cs="Times New Roman"/>
                <w:color w:val="0070C0"/>
                <w:highlight w:val="none"/>
                <w:lang w:val="en-US" w:eastAsia="zh-CN"/>
              </w:rPr>
            </w:pPr>
            <w:r>
              <w:rPr>
                <w:rFonts w:hint="default" w:ascii="Times New Roman" w:hAnsi="Times New Roman" w:cs="Times New Roman"/>
                <w:color w:val="0070C0"/>
                <w:highlight w:val="none"/>
                <w:lang w:val="en-US" w:eastAsia="zh-CN"/>
              </w:rPr>
              <w:t>筛分工序</w:t>
            </w:r>
          </w:p>
        </w:tc>
        <w:tc>
          <w:tcPr>
            <w:tcW w:w="0" w:type="auto"/>
            <w:vAlign w:val="center"/>
          </w:tcPr>
          <w:p w14:paraId="731A2092">
            <w:pPr>
              <w:pStyle w:val="48"/>
              <w:bidi w:val="0"/>
              <w:rPr>
                <w:rFonts w:hint="default" w:ascii="Times New Roman" w:hAnsi="Times New Roman" w:cs="Times New Roman"/>
                <w:color w:val="0070C0"/>
                <w:highlight w:val="none"/>
              </w:rPr>
            </w:pPr>
            <w:r>
              <w:rPr>
                <w:rFonts w:hint="default" w:ascii="Times New Roman" w:hAnsi="Times New Roman" w:cs="Times New Roman"/>
                <w:color w:val="0070C0"/>
                <w:highlight w:val="none"/>
              </w:rPr>
              <w:t>有组织</w:t>
            </w:r>
          </w:p>
        </w:tc>
        <w:tc>
          <w:tcPr>
            <w:tcW w:w="0" w:type="auto"/>
            <w:vAlign w:val="center"/>
          </w:tcPr>
          <w:p w14:paraId="5AC78A81">
            <w:pPr>
              <w:pStyle w:val="48"/>
              <w:bidi w:val="0"/>
              <w:rPr>
                <w:rFonts w:hint="default" w:ascii="Times New Roman" w:hAnsi="Times New Roman" w:cs="Times New Roman"/>
                <w:color w:val="0070C0"/>
                <w:highlight w:val="none"/>
              </w:rPr>
            </w:pPr>
            <w:r>
              <w:rPr>
                <w:rFonts w:hint="default" w:ascii="Times New Roman" w:hAnsi="Times New Roman" w:cs="Times New Roman"/>
                <w:color w:val="0070C0"/>
                <w:highlight w:val="none"/>
              </w:rPr>
              <w:t>颗粒物</w:t>
            </w:r>
          </w:p>
        </w:tc>
        <w:tc>
          <w:tcPr>
            <w:tcW w:w="1642" w:type="dxa"/>
            <w:vAlign w:val="center"/>
          </w:tcPr>
          <w:p w14:paraId="4151A6EF">
            <w:pPr>
              <w:pStyle w:val="48"/>
              <w:spacing w:beforeLines="0" w:afterLines="0"/>
              <w:ind w:left="0" w:leftChars="0" w:firstLine="0" w:firstLineChars="0"/>
              <w:rPr>
                <w:rFonts w:hint="default" w:ascii="Times New Roman" w:hAnsi="Times New Roman" w:eastAsia="宋体" w:cs="Times New Roman"/>
                <w:color w:val="0070C0"/>
                <w:highlight w:val="none"/>
                <w:lang w:val="en-US" w:eastAsia="zh-CN"/>
              </w:rPr>
            </w:pPr>
            <w:r>
              <w:rPr>
                <w:rFonts w:hint="eastAsia" w:ascii="Times New Roman" w:hAnsi="Times New Roman" w:cs="Times New Roman"/>
                <w:color w:val="0070C0"/>
                <w:sz w:val="24"/>
                <w:szCs w:val="24"/>
                <w:highlight w:val="none"/>
                <w:lang w:val="en-US" w:eastAsia="zh-CN"/>
              </w:rPr>
              <w:t>694.4</w:t>
            </w:r>
            <w:r>
              <w:rPr>
                <w:rFonts w:hint="default" w:ascii="Times New Roman" w:hAnsi="Times New Roman" w:cs="Times New Roman"/>
                <w:color w:val="0070C0"/>
                <w:highlight w:val="none"/>
              </w:rPr>
              <w:t>mg/m</w:t>
            </w:r>
            <w:r>
              <w:rPr>
                <w:rFonts w:hint="default" w:ascii="Times New Roman" w:hAnsi="Times New Roman" w:cs="Times New Roman"/>
                <w:color w:val="0070C0"/>
                <w:highlight w:val="none"/>
                <w:vertAlign w:val="superscript"/>
              </w:rPr>
              <w:t>3</w:t>
            </w:r>
          </w:p>
        </w:tc>
        <w:tc>
          <w:tcPr>
            <w:tcW w:w="1410" w:type="dxa"/>
            <w:vAlign w:val="center"/>
          </w:tcPr>
          <w:p w14:paraId="01A7840E">
            <w:pPr>
              <w:pStyle w:val="48"/>
              <w:spacing w:beforeLines="0" w:afterLines="0"/>
              <w:ind w:left="0" w:leftChars="0" w:firstLine="0" w:firstLineChars="0"/>
              <w:rPr>
                <w:rFonts w:hint="default" w:ascii="Times New Roman" w:hAnsi="Times New Roman" w:eastAsia="宋体" w:cs="Times New Roman"/>
                <w:color w:val="0070C0"/>
                <w:highlight w:val="none"/>
                <w:lang w:val="en-US" w:eastAsia="zh-CN"/>
              </w:rPr>
            </w:pPr>
            <w:r>
              <w:rPr>
                <w:rFonts w:hint="eastAsia" w:ascii="Times New Roman" w:hAnsi="Times New Roman" w:cs="Times New Roman"/>
                <w:color w:val="0070C0"/>
                <w:sz w:val="24"/>
                <w:szCs w:val="24"/>
                <w:highlight w:val="none"/>
                <w:lang w:val="en-US" w:eastAsia="zh-CN"/>
              </w:rPr>
              <w:t>40</w:t>
            </w:r>
            <w:r>
              <w:rPr>
                <w:rFonts w:hint="default" w:ascii="Times New Roman" w:hAnsi="Times New Roman" w:cs="Times New Roman"/>
                <w:color w:val="0070C0"/>
                <w:highlight w:val="none"/>
                <w:lang w:val="en-US" w:eastAsia="zh-CN"/>
              </w:rPr>
              <w:t>t/a</w:t>
            </w:r>
          </w:p>
        </w:tc>
        <w:tc>
          <w:tcPr>
            <w:tcW w:w="0" w:type="auto"/>
            <w:vAlign w:val="center"/>
          </w:tcPr>
          <w:p w14:paraId="2CE098F5">
            <w:pPr>
              <w:pStyle w:val="48"/>
              <w:bidi w:val="0"/>
              <w:rPr>
                <w:rFonts w:hint="default" w:ascii="Times New Roman" w:hAnsi="Times New Roman" w:cs="Times New Roman"/>
                <w:color w:val="0070C0"/>
                <w:highlight w:val="none"/>
              </w:rPr>
            </w:pPr>
            <w:r>
              <w:rPr>
                <w:rFonts w:hint="default" w:ascii="Times New Roman" w:hAnsi="Times New Roman" w:cs="Times New Roman"/>
                <w:color w:val="0070C0"/>
                <w:highlight w:val="none"/>
              </w:rPr>
              <w:t>经集气罩收集后布袋除尘器处理，达标后由一根15m高排气筒排放</w:t>
            </w:r>
          </w:p>
        </w:tc>
        <w:tc>
          <w:tcPr>
            <w:tcW w:w="0" w:type="auto"/>
            <w:vAlign w:val="center"/>
          </w:tcPr>
          <w:p w14:paraId="4936CABB">
            <w:pPr>
              <w:pStyle w:val="48"/>
              <w:bidi w:val="0"/>
              <w:rPr>
                <w:rFonts w:hint="default" w:ascii="Times New Roman" w:hAnsi="Times New Roman" w:eastAsia="宋体" w:cs="Times New Roman"/>
                <w:color w:val="0070C0"/>
                <w:highlight w:val="none"/>
                <w:lang w:val="en-US" w:eastAsia="zh-CN"/>
              </w:rPr>
            </w:pPr>
            <w:r>
              <w:rPr>
                <w:rFonts w:hint="default" w:ascii="Times New Roman" w:hAnsi="Times New Roman" w:cs="Times New Roman"/>
                <w:color w:val="0070C0"/>
                <w:highlight w:val="none"/>
                <w:lang w:val="en-US" w:eastAsia="zh-CN"/>
              </w:rPr>
              <w:t>99.6%</w:t>
            </w:r>
          </w:p>
        </w:tc>
        <w:tc>
          <w:tcPr>
            <w:tcW w:w="1433" w:type="dxa"/>
            <w:vAlign w:val="center"/>
          </w:tcPr>
          <w:p w14:paraId="3CA961BD">
            <w:pPr>
              <w:pStyle w:val="48"/>
              <w:spacing w:beforeLines="0" w:afterLines="0"/>
              <w:ind w:left="0" w:leftChars="0" w:firstLine="0" w:firstLineChars="0"/>
              <w:rPr>
                <w:rFonts w:hint="default" w:ascii="Times New Roman" w:hAnsi="Times New Roman" w:cs="Times New Roman"/>
                <w:color w:val="0070C0"/>
                <w:highlight w:val="none"/>
              </w:rPr>
            </w:pPr>
            <w:r>
              <w:rPr>
                <w:rFonts w:hint="eastAsia" w:ascii="Times New Roman" w:hAnsi="Times New Roman" w:cs="Times New Roman"/>
                <w:color w:val="0070C0"/>
                <w:sz w:val="24"/>
                <w:szCs w:val="24"/>
                <w:highlight w:val="none"/>
                <w:lang w:val="en-US" w:eastAsia="zh-CN"/>
              </w:rPr>
              <w:t>2.22</w:t>
            </w:r>
            <w:r>
              <w:rPr>
                <w:rFonts w:hint="default" w:ascii="Times New Roman" w:hAnsi="Times New Roman" w:cs="Times New Roman"/>
                <w:color w:val="0070C0"/>
                <w:highlight w:val="none"/>
              </w:rPr>
              <w:t>mg/m</w:t>
            </w:r>
            <w:r>
              <w:rPr>
                <w:rFonts w:hint="default" w:ascii="Times New Roman" w:hAnsi="Times New Roman" w:cs="Times New Roman"/>
                <w:color w:val="0070C0"/>
                <w:highlight w:val="none"/>
                <w:vertAlign w:val="superscript"/>
              </w:rPr>
              <w:t>3</w:t>
            </w:r>
          </w:p>
        </w:tc>
        <w:tc>
          <w:tcPr>
            <w:tcW w:w="1171" w:type="dxa"/>
            <w:vAlign w:val="center"/>
          </w:tcPr>
          <w:p w14:paraId="162D9E2E">
            <w:pPr>
              <w:pStyle w:val="48"/>
              <w:spacing w:beforeLines="0" w:afterLines="0"/>
              <w:ind w:left="0" w:leftChars="0" w:firstLine="0" w:firstLineChars="0"/>
              <w:rPr>
                <w:rFonts w:hint="default" w:ascii="Times New Roman" w:hAnsi="Times New Roman" w:cs="Times New Roman"/>
                <w:color w:val="0070C0"/>
                <w:highlight w:val="none"/>
              </w:rPr>
            </w:pPr>
            <w:r>
              <w:rPr>
                <w:rFonts w:hint="default" w:ascii="Times New Roman" w:hAnsi="Times New Roman" w:cs="Times New Roman"/>
                <w:color w:val="0070C0"/>
                <w:sz w:val="24"/>
                <w:szCs w:val="24"/>
                <w:highlight w:val="none"/>
                <w:lang w:val="en-US" w:eastAsia="zh-CN"/>
              </w:rPr>
              <w:t>0.144</w:t>
            </w:r>
            <w:r>
              <w:rPr>
                <w:rFonts w:hint="default" w:ascii="Times New Roman" w:hAnsi="Times New Roman" w:cs="Times New Roman"/>
                <w:color w:val="0070C0"/>
                <w:highlight w:val="none"/>
                <w:lang w:val="en-US" w:eastAsia="zh-CN"/>
              </w:rPr>
              <w:t>t/a</w:t>
            </w:r>
          </w:p>
        </w:tc>
        <w:tc>
          <w:tcPr>
            <w:tcW w:w="0" w:type="auto"/>
            <w:vAlign w:val="center"/>
          </w:tcPr>
          <w:p w14:paraId="3556EAF7">
            <w:pPr>
              <w:pStyle w:val="48"/>
              <w:bidi w:val="0"/>
              <w:rPr>
                <w:rFonts w:hint="default" w:ascii="Times New Roman" w:hAnsi="Times New Roman" w:cs="Times New Roman"/>
                <w:color w:val="0070C0"/>
                <w:highlight w:val="none"/>
                <w:lang w:val="en-US" w:eastAsia="zh-CN"/>
              </w:rPr>
            </w:pPr>
            <w:r>
              <w:rPr>
                <w:rFonts w:hint="default" w:ascii="Times New Roman" w:hAnsi="Times New Roman" w:cs="Times New Roman"/>
                <w:color w:val="0070C0"/>
                <w:highlight w:val="none"/>
                <w:lang w:val="en-US" w:eastAsia="zh-CN"/>
              </w:rPr>
              <w:t>15m</w:t>
            </w:r>
          </w:p>
        </w:tc>
        <w:tc>
          <w:tcPr>
            <w:tcW w:w="0" w:type="auto"/>
            <w:vAlign w:val="center"/>
          </w:tcPr>
          <w:p w14:paraId="5837C28F">
            <w:pPr>
              <w:pStyle w:val="48"/>
              <w:bidi w:val="0"/>
              <w:rPr>
                <w:rFonts w:hint="default" w:ascii="Times New Roman" w:hAnsi="Times New Roman" w:cs="Times New Roman"/>
                <w:color w:val="0070C0"/>
                <w:highlight w:val="none"/>
                <w:lang w:val="en-US" w:eastAsia="zh-CN"/>
              </w:rPr>
            </w:pPr>
            <w:r>
              <w:rPr>
                <w:rFonts w:hint="default" w:ascii="Times New Roman" w:hAnsi="Times New Roman" w:cs="Times New Roman"/>
                <w:color w:val="0070C0"/>
                <w:highlight w:val="none"/>
                <w:lang w:val="en-US" w:eastAsia="zh-CN"/>
              </w:rPr>
              <w:t>0.5m</w:t>
            </w:r>
          </w:p>
        </w:tc>
        <w:tc>
          <w:tcPr>
            <w:tcW w:w="0" w:type="auto"/>
            <w:vAlign w:val="center"/>
          </w:tcPr>
          <w:p w14:paraId="6754C870">
            <w:pPr>
              <w:pStyle w:val="48"/>
              <w:bidi w:val="0"/>
              <w:rPr>
                <w:rFonts w:hint="default" w:ascii="Times New Roman" w:hAnsi="Times New Roman" w:cs="Times New Roman"/>
                <w:color w:val="0070C0"/>
                <w:highlight w:val="none"/>
                <w:lang w:val="en-US" w:eastAsia="zh-CN"/>
              </w:rPr>
            </w:pPr>
            <w:r>
              <w:rPr>
                <w:rFonts w:hint="default" w:ascii="Times New Roman" w:hAnsi="Times New Roman" w:cs="Times New Roman"/>
                <w:color w:val="0070C0"/>
                <w:highlight w:val="none"/>
                <w:lang w:val="en-US" w:eastAsia="zh-CN"/>
              </w:rPr>
              <w:t>排放速率：3.5kg/h；</w:t>
            </w:r>
          </w:p>
          <w:p w14:paraId="5806BA66">
            <w:pPr>
              <w:pStyle w:val="48"/>
              <w:bidi w:val="0"/>
              <w:rPr>
                <w:rFonts w:hint="default" w:ascii="Times New Roman" w:hAnsi="Times New Roman" w:cs="Times New Roman"/>
                <w:color w:val="0070C0"/>
                <w:highlight w:val="none"/>
              </w:rPr>
            </w:pPr>
            <w:r>
              <w:rPr>
                <w:rFonts w:hint="default" w:ascii="Times New Roman" w:hAnsi="Times New Roman" w:cs="Times New Roman"/>
                <w:color w:val="0070C0"/>
                <w:highlight w:val="none"/>
                <w:lang w:val="en-US" w:eastAsia="zh-CN"/>
              </w:rPr>
              <w:t>排放浓度：</w:t>
            </w:r>
            <w:r>
              <w:rPr>
                <w:rFonts w:hint="default" w:ascii="Times New Roman" w:hAnsi="Times New Roman" w:cs="Times New Roman"/>
                <w:color w:val="0070C0"/>
                <w:highlight w:val="none"/>
              </w:rPr>
              <w:t>120mg/m</w:t>
            </w:r>
            <w:r>
              <w:rPr>
                <w:rFonts w:hint="default" w:ascii="Times New Roman" w:hAnsi="Times New Roman" w:cs="Times New Roman"/>
                <w:color w:val="0070C0"/>
                <w:highlight w:val="none"/>
                <w:vertAlign w:val="superscript"/>
              </w:rPr>
              <w:t>3</w:t>
            </w:r>
            <w:r>
              <w:rPr>
                <w:rFonts w:hint="default" w:ascii="Times New Roman" w:hAnsi="Times New Roman" w:cs="Times New Roman"/>
                <w:color w:val="0070C0"/>
                <w:highlight w:val="none"/>
                <w:lang w:eastAsia="zh-CN"/>
              </w:rPr>
              <w:t>。</w:t>
            </w:r>
          </w:p>
        </w:tc>
        <w:tc>
          <w:tcPr>
            <w:tcW w:w="0" w:type="auto"/>
            <w:vAlign w:val="center"/>
          </w:tcPr>
          <w:p w14:paraId="224B1CE2">
            <w:pPr>
              <w:pStyle w:val="48"/>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《大气污染物综合排放标准》（GB6297-1996）表2新污染源大气污染物排放限值</w:t>
            </w:r>
          </w:p>
        </w:tc>
      </w:tr>
      <w:tr w14:paraId="31401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7" w:hRule="atLeast"/>
        </w:trPr>
        <w:tc>
          <w:tcPr>
            <w:tcW w:w="724" w:type="dxa"/>
            <w:vMerge w:val="continue"/>
            <w:vAlign w:val="center"/>
          </w:tcPr>
          <w:p w14:paraId="68ECD41E">
            <w:pPr>
              <w:pStyle w:val="48"/>
              <w:bidi w:val="0"/>
              <w:rPr>
                <w:rFonts w:hint="default" w:ascii="Times New Roman" w:hAnsi="Times New Roman" w:cs="Times New Roman"/>
                <w:color w:val="auto"/>
                <w:highlight w:val="none"/>
              </w:rPr>
            </w:pPr>
          </w:p>
        </w:tc>
        <w:tc>
          <w:tcPr>
            <w:tcW w:w="0" w:type="auto"/>
            <w:vAlign w:val="center"/>
          </w:tcPr>
          <w:p w14:paraId="5F304656">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烘干工序</w:t>
            </w:r>
          </w:p>
        </w:tc>
        <w:tc>
          <w:tcPr>
            <w:tcW w:w="0" w:type="auto"/>
            <w:vAlign w:val="center"/>
          </w:tcPr>
          <w:p w14:paraId="1055847D">
            <w:pPr>
              <w:pStyle w:val="48"/>
              <w:bidi w:val="0"/>
              <w:rPr>
                <w:rFonts w:hint="default" w:ascii="Times New Roman" w:hAnsi="Times New Roman" w:cs="Times New Roman"/>
                <w:color w:val="00B050"/>
                <w:highlight w:val="none"/>
              </w:rPr>
            </w:pPr>
            <w:r>
              <w:rPr>
                <w:rFonts w:hint="default" w:ascii="Times New Roman" w:hAnsi="Times New Roman" w:cs="Times New Roman"/>
                <w:color w:val="00B050"/>
                <w:highlight w:val="none"/>
                <w:lang w:val="en-US" w:eastAsia="zh-CN"/>
              </w:rPr>
              <w:t>有组织</w:t>
            </w:r>
          </w:p>
        </w:tc>
        <w:tc>
          <w:tcPr>
            <w:tcW w:w="1298" w:type="dxa"/>
            <w:vAlign w:val="center"/>
          </w:tcPr>
          <w:p w14:paraId="2A40CA94">
            <w:pPr>
              <w:pStyle w:val="48"/>
              <w:bidi w:val="0"/>
              <w:rPr>
                <w:rFonts w:hint="default" w:ascii="Times New Roman" w:hAnsi="Times New Roman" w:cs="Times New Roman"/>
                <w:color w:val="00B050"/>
                <w:highlight w:val="none"/>
                <w:lang w:val="en-US" w:eastAsia="zh-CN"/>
              </w:rPr>
            </w:pPr>
            <w:r>
              <w:rPr>
                <w:rFonts w:hint="default" w:ascii="Times New Roman" w:hAnsi="Times New Roman" w:cs="Times New Roman"/>
                <w:color w:val="00B050"/>
                <w:highlight w:val="none"/>
                <w:lang w:val="en-US" w:eastAsia="zh-CN"/>
              </w:rPr>
              <w:t>颗粒物</w:t>
            </w:r>
          </w:p>
        </w:tc>
        <w:tc>
          <w:tcPr>
            <w:tcW w:w="1642" w:type="dxa"/>
            <w:vAlign w:val="center"/>
          </w:tcPr>
          <w:p w14:paraId="30078B55">
            <w:pPr>
              <w:pStyle w:val="48"/>
              <w:bidi w:val="0"/>
              <w:ind w:left="0" w:leftChars="0" w:firstLine="0" w:firstLineChars="0"/>
              <w:rPr>
                <w:rFonts w:hint="default" w:ascii="Times New Roman" w:hAnsi="Times New Roman" w:cs="Times New Roman"/>
                <w:color w:val="00B050"/>
                <w:highlight w:val="none"/>
              </w:rPr>
            </w:pPr>
            <w:r>
              <w:rPr>
                <w:rFonts w:hint="eastAsia" w:ascii="Times New Roman" w:hAnsi="Times New Roman" w:cs="Times New Roman"/>
                <w:color w:val="00B050"/>
                <w:sz w:val="21"/>
                <w:szCs w:val="21"/>
                <w:highlight w:val="none"/>
                <w:lang w:val="en-US" w:eastAsia="zh-CN"/>
              </w:rPr>
              <w:t>2951.389</w:t>
            </w:r>
            <w:r>
              <w:rPr>
                <w:rFonts w:hint="default" w:ascii="Times New Roman" w:hAnsi="Times New Roman" w:cs="Times New Roman"/>
                <w:color w:val="00B050"/>
                <w:highlight w:val="none"/>
              </w:rPr>
              <w:t>mg/m</w:t>
            </w:r>
            <w:r>
              <w:rPr>
                <w:rFonts w:hint="default" w:ascii="Times New Roman" w:hAnsi="Times New Roman" w:cs="Times New Roman"/>
                <w:color w:val="00B050"/>
                <w:highlight w:val="none"/>
                <w:vertAlign w:val="superscript"/>
              </w:rPr>
              <w:t>3</w:t>
            </w:r>
          </w:p>
        </w:tc>
        <w:tc>
          <w:tcPr>
            <w:tcW w:w="1410" w:type="dxa"/>
            <w:vAlign w:val="center"/>
          </w:tcPr>
          <w:p w14:paraId="205B5B2C">
            <w:pPr>
              <w:pStyle w:val="48"/>
              <w:bidi w:val="0"/>
              <w:ind w:left="0" w:leftChars="0" w:firstLine="0" w:firstLineChars="0"/>
              <w:rPr>
                <w:rFonts w:hint="default" w:ascii="Times New Roman" w:hAnsi="Times New Roman" w:cs="Times New Roman"/>
                <w:color w:val="00B050"/>
                <w:highlight w:val="none"/>
              </w:rPr>
            </w:pPr>
            <w:r>
              <w:rPr>
                <w:rFonts w:hint="eastAsia" w:ascii="Times New Roman" w:hAnsi="Times New Roman" w:cs="Times New Roman"/>
                <w:color w:val="00B050"/>
                <w:sz w:val="21"/>
                <w:szCs w:val="21"/>
                <w:highlight w:val="none"/>
                <w:lang w:val="en-US" w:eastAsia="zh-CN"/>
              </w:rPr>
              <w:t>170</w:t>
            </w:r>
            <w:r>
              <w:rPr>
                <w:rFonts w:hint="default" w:ascii="Times New Roman" w:hAnsi="Times New Roman" w:cs="Times New Roman"/>
                <w:color w:val="00B050"/>
                <w:highlight w:val="none"/>
                <w:lang w:val="en-US" w:eastAsia="zh-CN"/>
              </w:rPr>
              <w:t>t/a</w:t>
            </w:r>
          </w:p>
        </w:tc>
        <w:tc>
          <w:tcPr>
            <w:tcW w:w="0" w:type="auto"/>
            <w:vAlign w:val="center"/>
          </w:tcPr>
          <w:p w14:paraId="316FC096">
            <w:pPr>
              <w:pStyle w:val="48"/>
              <w:bidi w:val="0"/>
              <w:rPr>
                <w:rFonts w:hint="default" w:ascii="Times New Roman" w:hAnsi="Times New Roman" w:cs="Times New Roman"/>
                <w:color w:val="00B050"/>
                <w:highlight w:val="none"/>
              </w:rPr>
            </w:pPr>
            <w:r>
              <w:rPr>
                <w:rFonts w:hint="default" w:ascii="Times New Roman" w:hAnsi="Times New Roman" w:cs="Times New Roman"/>
                <w:color w:val="00B050"/>
                <w:highlight w:val="none"/>
              </w:rPr>
              <w:t>经布袋除尘器处理，达标后由一根15m高排气筒排放</w:t>
            </w:r>
          </w:p>
        </w:tc>
        <w:tc>
          <w:tcPr>
            <w:tcW w:w="0" w:type="auto"/>
            <w:vAlign w:val="center"/>
          </w:tcPr>
          <w:p w14:paraId="4A54822D">
            <w:pPr>
              <w:pStyle w:val="48"/>
              <w:bidi w:val="0"/>
              <w:rPr>
                <w:rFonts w:hint="default" w:ascii="Times New Roman" w:hAnsi="Times New Roman" w:cs="Times New Roman"/>
                <w:color w:val="00B050"/>
                <w:highlight w:val="none"/>
                <w:lang w:val="en-US" w:eastAsia="zh-CN"/>
              </w:rPr>
            </w:pPr>
            <w:r>
              <w:rPr>
                <w:rFonts w:hint="default" w:ascii="Times New Roman" w:hAnsi="Times New Roman" w:cs="Times New Roman"/>
                <w:color w:val="00B050"/>
                <w:highlight w:val="none"/>
                <w:lang w:val="en-US" w:eastAsia="zh-CN"/>
              </w:rPr>
              <w:t>99.6%</w:t>
            </w:r>
          </w:p>
        </w:tc>
        <w:tc>
          <w:tcPr>
            <w:tcW w:w="1433" w:type="dxa"/>
            <w:vAlign w:val="center"/>
          </w:tcPr>
          <w:p w14:paraId="52587F4E">
            <w:pPr>
              <w:pStyle w:val="48"/>
              <w:bidi w:val="0"/>
              <w:ind w:left="0" w:leftChars="0" w:firstLine="0" w:firstLineChars="0"/>
              <w:rPr>
                <w:rFonts w:hint="default" w:ascii="Times New Roman" w:hAnsi="Times New Roman" w:cs="Times New Roman"/>
                <w:color w:val="00B050"/>
                <w:highlight w:val="none"/>
              </w:rPr>
            </w:pPr>
            <w:r>
              <w:rPr>
                <w:rFonts w:hint="eastAsia" w:ascii="Times New Roman" w:hAnsi="Times New Roman" w:cs="Times New Roman"/>
                <w:color w:val="00B050"/>
                <w:sz w:val="21"/>
                <w:szCs w:val="21"/>
                <w:highlight w:val="none"/>
                <w:lang w:val="en-US" w:eastAsia="zh-CN"/>
              </w:rPr>
              <w:t>11.806</w:t>
            </w:r>
            <w:r>
              <w:rPr>
                <w:rFonts w:hint="default" w:ascii="Times New Roman" w:hAnsi="Times New Roman" w:cs="Times New Roman"/>
                <w:color w:val="00B050"/>
                <w:highlight w:val="none"/>
              </w:rPr>
              <w:t>mg/m</w:t>
            </w:r>
            <w:r>
              <w:rPr>
                <w:rFonts w:hint="default" w:ascii="Times New Roman" w:hAnsi="Times New Roman" w:cs="Times New Roman"/>
                <w:color w:val="00B050"/>
                <w:highlight w:val="none"/>
                <w:vertAlign w:val="superscript"/>
              </w:rPr>
              <w:t>3</w:t>
            </w:r>
          </w:p>
        </w:tc>
        <w:tc>
          <w:tcPr>
            <w:tcW w:w="1171" w:type="dxa"/>
            <w:vAlign w:val="center"/>
          </w:tcPr>
          <w:p w14:paraId="1785AE19">
            <w:pPr>
              <w:pStyle w:val="48"/>
              <w:bidi w:val="0"/>
              <w:ind w:left="0" w:leftChars="0" w:firstLine="0" w:firstLineChars="0"/>
              <w:rPr>
                <w:rFonts w:hint="default" w:ascii="Times New Roman" w:hAnsi="Times New Roman" w:cs="Times New Roman"/>
                <w:color w:val="00B050"/>
                <w:highlight w:val="none"/>
              </w:rPr>
            </w:pPr>
            <w:r>
              <w:rPr>
                <w:rFonts w:hint="eastAsia" w:ascii="Times New Roman" w:hAnsi="Times New Roman" w:cs="Times New Roman"/>
                <w:color w:val="00B050"/>
                <w:sz w:val="21"/>
                <w:szCs w:val="21"/>
                <w:highlight w:val="none"/>
                <w:lang w:val="en-US" w:eastAsia="zh-CN"/>
              </w:rPr>
              <w:t>0.680t</w:t>
            </w:r>
            <w:r>
              <w:rPr>
                <w:rFonts w:hint="default" w:ascii="Times New Roman" w:hAnsi="Times New Roman" w:cs="Times New Roman"/>
                <w:color w:val="00B050"/>
                <w:highlight w:val="none"/>
                <w:lang w:val="en-US" w:eastAsia="zh-CN"/>
              </w:rPr>
              <w:t>/a</w:t>
            </w:r>
          </w:p>
        </w:tc>
        <w:tc>
          <w:tcPr>
            <w:tcW w:w="0" w:type="auto"/>
            <w:vAlign w:val="center"/>
          </w:tcPr>
          <w:p w14:paraId="6955C7A7">
            <w:pPr>
              <w:pStyle w:val="48"/>
              <w:bidi w:val="0"/>
              <w:rPr>
                <w:rFonts w:hint="default" w:ascii="Times New Roman" w:hAnsi="Times New Roman" w:cs="Times New Roman"/>
                <w:color w:val="00B050"/>
                <w:highlight w:val="none"/>
                <w:lang w:val="en-US" w:eastAsia="zh-CN"/>
              </w:rPr>
            </w:pPr>
            <w:r>
              <w:rPr>
                <w:rFonts w:hint="default" w:ascii="Times New Roman" w:hAnsi="Times New Roman" w:cs="Times New Roman"/>
                <w:color w:val="00B050"/>
                <w:highlight w:val="none"/>
                <w:lang w:val="en-US" w:eastAsia="zh-CN"/>
              </w:rPr>
              <w:t>15m</w:t>
            </w:r>
          </w:p>
        </w:tc>
        <w:tc>
          <w:tcPr>
            <w:tcW w:w="0" w:type="auto"/>
            <w:vAlign w:val="center"/>
          </w:tcPr>
          <w:p w14:paraId="79B7ABD3">
            <w:pPr>
              <w:pStyle w:val="48"/>
              <w:bidi w:val="0"/>
              <w:rPr>
                <w:rFonts w:hint="default" w:ascii="Times New Roman" w:hAnsi="Times New Roman" w:cs="Times New Roman"/>
                <w:color w:val="00B050"/>
                <w:highlight w:val="none"/>
                <w:lang w:val="en-US" w:eastAsia="zh-CN"/>
              </w:rPr>
            </w:pPr>
            <w:r>
              <w:rPr>
                <w:rFonts w:hint="default" w:ascii="Times New Roman" w:hAnsi="Times New Roman" w:cs="Times New Roman"/>
                <w:color w:val="00B050"/>
                <w:highlight w:val="none"/>
                <w:lang w:val="en-US" w:eastAsia="zh-CN"/>
              </w:rPr>
              <w:t>0.5m</w:t>
            </w:r>
          </w:p>
        </w:tc>
        <w:tc>
          <w:tcPr>
            <w:tcW w:w="2691" w:type="dxa"/>
            <w:vAlign w:val="center"/>
          </w:tcPr>
          <w:p w14:paraId="67F939C1">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30</w:t>
            </w:r>
            <w:r>
              <w:rPr>
                <w:rFonts w:hint="default" w:ascii="Times New Roman" w:hAnsi="Times New Roman" w:cs="Times New Roman"/>
                <w:color w:val="auto"/>
                <w:highlight w:val="none"/>
              </w:rPr>
              <w:t>mg/m</w:t>
            </w:r>
            <w:r>
              <w:rPr>
                <w:rFonts w:hint="default" w:ascii="Times New Roman" w:hAnsi="Times New Roman" w:cs="Times New Roman"/>
                <w:color w:val="auto"/>
                <w:highlight w:val="none"/>
                <w:vertAlign w:val="superscript"/>
              </w:rPr>
              <w:t>3</w:t>
            </w:r>
          </w:p>
        </w:tc>
        <w:tc>
          <w:tcPr>
            <w:tcW w:w="0" w:type="auto"/>
            <w:vMerge w:val="restart"/>
            <w:vAlign w:val="center"/>
          </w:tcPr>
          <w:p w14:paraId="291F9AE8">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新疆维吾尔自治区工业炉窑大气污染综合治理实施方案</w:t>
            </w:r>
            <w:r>
              <w:rPr>
                <w:rFonts w:hint="default" w:ascii="Times New Roman" w:hAnsi="Times New Roman" w:cs="Times New Roman"/>
                <w:color w:val="auto"/>
                <w:highlight w:val="none"/>
              </w:rPr>
              <w:t>》的通知</w:t>
            </w:r>
          </w:p>
        </w:tc>
      </w:tr>
      <w:tr w14:paraId="055E0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vMerge w:val="continue"/>
            <w:vAlign w:val="center"/>
          </w:tcPr>
          <w:p w14:paraId="65CC2D75">
            <w:pPr>
              <w:pStyle w:val="48"/>
              <w:bidi w:val="0"/>
              <w:rPr>
                <w:rFonts w:hint="default" w:ascii="Times New Roman" w:hAnsi="Times New Roman" w:cs="Times New Roman"/>
                <w:color w:val="auto"/>
                <w:highlight w:val="none"/>
              </w:rPr>
            </w:pPr>
          </w:p>
        </w:tc>
        <w:tc>
          <w:tcPr>
            <w:tcW w:w="0" w:type="auto"/>
            <w:vAlign w:val="center"/>
          </w:tcPr>
          <w:p w14:paraId="0FD7C07D">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采矿场</w:t>
            </w:r>
          </w:p>
        </w:tc>
        <w:tc>
          <w:tcPr>
            <w:tcW w:w="0" w:type="auto"/>
            <w:vAlign w:val="center"/>
          </w:tcPr>
          <w:p w14:paraId="3A9E9C76">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无组织</w:t>
            </w:r>
          </w:p>
        </w:tc>
        <w:tc>
          <w:tcPr>
            <w:tcW w:w="0" w:type="auto"/>
            <w:vAlign w:val="center"/>
          </w:tcPr>
          <w:p w14:paraId="772F5736">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颗粒物</w:t>
            </w:r>
          </w:p>
        </w:tc>
        <w:tc>
          <w:tcPr>
            <w:tcW w:w="0" w:type="auto"/>
            <w:vAlign w:val="center"/>
          </w:tcPr>
          <w:p w14:paraId="633456EE">
            <w:pPr>
              <w:pStyle w:val="48"/>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0" w:type="auto"/>
            <w:vAlign w:val="center"/>
          </w:tcPr>
          <w:p w14:paraId="739464D5">
            <w:pPr>
              <w:pStyle w:val="48"/>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65.6t/a</w:t>
            </w:r>
          </w:p>
        </w:tc>
        <w:tc>
          <w:tcPr>
            <w:tcW w:w="0" w:type="auto"/>
            <w:vAlign w:val="center"/>
          </w:tcPr>
          <w:p w14:paraId="6A175A7D">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采掘场地采用移动式雾炮机降尘、大风天气不得开采、分区分片开采等</w:t>
            </w:r>
          </w:p>
        </w:tc>
        <w:tc>
          <w:tcPr>
            <w:tcW w:w="0" w:type="auto"/>
            <w:vAlign w:val="center"/>
          </w:tcPr>
          <w:p w14:paraId="5026C525">
            <w:pPr>
              <w:pStyle w:val="48"/>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95%</w:t>
            </w:r>
          </w:p>
        </w:tc>
        <w:tc>
          <w:tcPr>
            <w:tcW w:w="0" w:type="auto"/>
            <w:vAlign w:val="center"/>
          </w:tcPr>
          <w:p w14:paraId="593D9284">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0" w:type="auto"/>
            <w:vAlign w:val="center"/>
          </w:tcPr>
          <w:p w14:paraId="4D21821A">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9.84t/a</w:t>
            </w:r>
          </w:p>
        </w:tc>
        <w:tc>
          <w:tcPr>
            <w:tcW w:w="0" w:type="auto"/>
            <w:vAlign w:val="center"/>
          </w:tcPr>
          <w:p w14:paraId="3DA36FA4">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0" w:type="auto"/>
            <w:vAlign w:val="center"/>
          </w:tcPr>
          <w:p w14:paraId="6B8314E9">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0" w:type="auto"/>
            <w:vAlign w:val="center"/>
          </w:tcPr>
          <w:p w14:paraId="53E53754">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1.0mg/m</w:t>
            </w:r>
            <w:r>
              <w:rPr>
                <w:rFonts w:hint="default" w:ascii="Times New Roman" w:hAnsi="Times New Roman" w:cs="Times New Roman"/>
                <w:color w:val="auto"/>
                <w:highlight w:val="none"/>
                <w:vertAlign w:val="superscript"/>
              </w:rPr>
              <w:t>3</w:t>
            </w:r>
          </w:p>
        </w:tc>
        <w:tc>
          <w:tcPr>
            <w:tcW w:w="0" w:type="auto"/>
            <w:vMerge w:val="restart"/>
            <w:vAlign w:val="center"/>
          </w:tcPr>
          <w:p w14:paraId="1B704EB1">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《大气污染物综合排放标准》（GB6297-1996）表2新污染源大气污染物排放限值中无组织排放监控浓度限值</w:t>
            </w:r>
          </w:p>
        </w:tc>
      </w:tr>
      <w:tr w14:paraId="2DBB2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vMerge w:val="continue"/>
            <w:vAlign w:val="center"/>
          </w:tcPr>
          <w:p w14:paraId="1463B42F">
            <w:pPr>
              <w:pStyle w:val="48"/>
              <w:bidi w:val="0"/>
              <w:rPr>
                <w:rFonts w:hint="default" w:ascii="Times New Roman" w:hAnsi="Times New Roman" w:cs="Times New Roman"/>
                <w:color w:val="auto"/>
                <w:highlight w:val="none"/>
              </w:rPr>
            </w:pPr>
          </w:p>
        </w:tc>
        <w:tc>
          <w:tcPr>
            <w:tcW w:w="0" w:type="auto"/>
            <w:vAlign w:val="center"/>
          </w:tcPr>
          <w:p w14:paraId="50EC2E53">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表土堆场</w:t>
            </w:r>
          </w:p>
        </w:tc>
        <w:tc>
          <w:tcPr>
            <w:tcW w:w="0" w:type="auto"/>
            <w:vAlign w:val="center"/>
          </w:tcPr>
          <w:p w14:paraId="4D808D79">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无组织</w:t>
            </w:r>
          </w:p>
        </w:tc>
        <w:tc>
          <w:tcPr>
            <w:tcW w:w="0" w:type="auto"/>
            <w:vAlign w:val="center"/>
          </w:tcPr>
          <w:p w14:paraId="22242AE9">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颗粒物</w:t>
            </w:r>
          </w:p>
        </w:tc>
        <w:tc>
          <w:tcPr>
            <w:tcW w:w="0" w:type="auto"/>
            <w:vAlign w:val="center"/>
          </w:tcPr>
          <w:p w14:paraId="7464727B">
            <w:pPr>
              <w:pStyle w:val="48"/>
              <w:bidi w:val="0"/>
              <w:rPr>
                <w:rFonts w:hint="default" w:ascii="Times New Roman" w:hAnsi="Times New Roman" w:cs="Times New Roman"/>
                <w:color w:val="auto"/>
                <w:highlight w:val="none"/>
                <w:lang w:val="en-US" w:eastAsia="zh-CN"/>
              </w:rPr>
            </w:pPr>
          </w:p>
        </w:tc>
        <w:tc>
          <w:tcPr>
            <w:tcW w:w="0" w:type="auto"/>
            <w:vAlign w:val="center"/>
          </w:tcPr>
          <w:p w14:paraId="6F3B2FFF">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9.22t/a</w:t>
            </w:r>
          </w:p>
        </w:tc>
        <w:tc>
          <w:tcPr>
            <w:tcW w:w="0" w:type="auto"/>
            <w:vAlign w:val="center"/>
          </w:tcPr>
          <w:p w14:paraId="46B2977F">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定时洒水、篷布覆盖</w:t>
            </w:r>
          </w:p>
        </w:tc>
        <w:tc>
          <w:tcPr>
            <w:tcW w:w="956" w:type="dxa"/>
            <w:vMerge w:val="restart"/>
            <w:vAlign w:val="center"/>
          </w:tcPr>
          <w:p w14:paraId="4A5249E3">
            <w:pPr>
              <w:pStyle w:val="48"/>
              <w:bidi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90</w:t>
            </w:r>
            <w:r>
              <w:rPr>
                <w:rFonts w:hint="default" w:ascii="Times New Roman" w:hAnsi="Times New Roman" w:cs="Times New Roman"/>
                <w:color w:val="auto"/>
                <w:highlight w:val="none"/>
                <w:lang w:val="en-US" w:eastAsia="zh-CN"/>
              </w:rPr>
              <w:t>%</w:t>
            </w:r>
          </w:p>
        </w:tc>
        <w:tc>
          <w:tcPr>
            <w:tcW w:w="0" w:type="auto"/>
            <w:vAlign w:val="center"/>
          </w:tcPr>
          <w:p w14:paraId="58CF452E">
            <w:pPr>
              <w:pStyle w:val="48"/>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val="en-US" w:eastAsia="zh-CN"/>
              </w:rPr>
              <w:t>/</w:t>
            </w:r>
          </w:p>
        </w:tc>
        <w:tc>
          <w:tcPr>
            <w:tcW w:w="0" w:type="auto"/>
            <w:vAlign w:val="center"/>
          </w:tcPr>
          <w:p w14:paraId="3E6876E8">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0.922</w:t>
            </w:r>
          </w:p>
        </w:tc>
        <w:tc>
          <w:tcPr>
            <w:tcW w:w="0" w:type="auto"/>
            <w:vAlign w:val="center"/>
          </w:tcPr>
          <w:p w14:paraId="501BBC21">
            <w:pPr>
              <w:pStyle w:val="48"/>
              <w:bidi w:val="0"/>
              <w:rPr>
                <w:rFonts w:hint="eastAsia"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0" w:type="auto"/>
            <w:vAlign w:val="center"/>
          </w:tcPr>
          <w:p w14:paraId="1C22F854">
            <w:pPr>
              <w:pStyle w:val="48"/>
              <w:bidi w:val="0"/>
              <w:rPr>
                <w:rFonts w:hint="eastAsia"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0" w:type="auto"/>
            <w:vAlign w:val="center"/>
          </w:tcPr>
          <w:p w14:paraId="48080EA4">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1.0mg/m</w:t>
            </w:r>
            <w:r>
              <w:rPr>
                <w:rFonts w:hint="default" w:ascii="Times New Roman" w:hAnsi="Times New Roman" w:cs="Times New Roman"/>
                <w:color w:val="auto"/>
                <w:highlight w:val="none"/>
                <w:vertAlign w:val="superscript"/>
              </w:rPr>
              <w:t>3</w:t>
            </w:r>
          </w:p>
        </w:tc>
        <w:tc>
          <w:tcPr>
            <w:tcW w:w="0" w:type="auto"/>
            <w:vMerge w:val="continue"/>
            <w:vAlign w:val="center"/>
          </w:tcPr>
          <w:p w14:paraId="3BF1FB45">
            <w:pPr>
              <w:pStyle w:val="48"/>
              <w:bidi w:val="0"/>
              <w:rPr>
                <w:rFonts w:hint="default" w:ascii="Times New Roman" w:hAnsi="Times New Roman" w:cs="Times New Roman"/>
                <w:color w:val="auto"/>
                <w:highlight w:val="none"/>
              </w:rPr>
            </w:pPr>
          </w:p>
        </w:tc>
      </w:tr>
      <w:tr w14:paraId="54727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vMerge w:val="continue"/>
            <w:vAlign w:val="center"/>
          </w:tcPr>
          <w:p w14:paraId="50211D6D">
            <w:pPr>
              <w:pStyle w:val="48"/>
              <w:bidi w:val="0"/>
              <w:rPr>
                <w:rFonts w:hint="default" w:ascii="Times New Roman" w:hAnsi="Times New Roman" w:cs="Times New Roman"/>
                <w:color w:val="auto"/>
                <w:highlight w:val="none"/>
              </w:rPr>
            </w:pPr>
          </w:p>
        </w:tc>
        <w:tc>
          <w:tcPr>
            <w:tcW w:w="0" w:type="auto"/>
            <w:vAlign w:val="center"/>
          </w:tcPr>
          <w:p w14:paraId="48E61F90">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排土场</w:t>
            </w:r>
          </w:p>
        </w:tc>
        <w:tc>
          <w:tcPr>
            <w:tcW w:w="0" w:type="auto"/>
            <w:vAlign w:val="center"/>
          </w:tcPr>
          <w:p w14:paraId="17DDAE14">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无组织</w:t>
            </w:r>
          </w:p>
        </w:tc>
        <w:tc>
          <w:tcPr>
            <w:tcW w:w="0" w:type="auto"/>
            <w:vAlign w:val="center"/>
          </w:tcPr>
          <w:p w14:paraId="1A463868">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颗粒物</w:t>
            </w:r>
          </w:p>
        </w:tc>
        <w:tc>
          <w:tcPr>
            <w:tcW w:w="0" w:type="auto"/>
            <w:vAlign w:val="center"/>
          </w:tcPr>
          <w:p w14:paraId="30DB4FA3">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0" w:type="auto"/>
            <w:vAlign w:val="center"/>
          </w:tcPr>
          <w:p w14:paraId="091CB831">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21.958t/a</w:t>
            </w:r>
          </w:p>
        </w:tc>
        <w:tc>
          <w:tcPr>
            <w:tcW w:w="0" w:type="auto"/>
            <w:vAlign w:val="center"/>
          </w:tcPr>
          <w:p w14:paraId="551B9DEA">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定时洒水、篷布覆盖</w:t>
            </w:r>
          </w:p>
        </w:tc>
        <w:tc>
          <w:tcPr>
            <w:tcW w:w="956" w:type="dxa"/>
            <w:vMerge w:val="continue"/>
            <w:vAlign w:val="center"/>
          </w:tcPr>
          <w:p w14:paraId="4F85123F">
            <w:pPr>
              <w:pStyle w:val="48"/>
              <w:bidi w:val="0"/>
              <w:rPr>
                <w:rFonts w:hint="default" w:ascii="Times New Roman" w:hAnsi="Times New Roman" w:eastAsia="宋体" w:cs="Times New Roman"/>
                <w:color w:val="auto"/>
                <w:highlight w:val="none"/>
                <w:lang w:val="en-US" w:eastAsia="zh-CN"/>
              </w:rPr>
            </w:pPr>
          </w:p>
        </w:tc>
        <w:tc>
          <w:tcPr>
            <w:tcW w:w="0" w:type="auto"/>
            <w:vAlign w:val="center"/>
          </w:tcPr>
          <w:p w14:paraId="0B05DABF">
            <w:pPr>
              <w:pStyle w:val="48"/>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val="en-US" w:eastAsia="zh-CN"/>
              </w:rPr>
              <w:t>/</w:t>
            </w:r>
          </w:p>
        </w:tc>
        <w:tc>
          <w:tcPr>
            <w:tcW w:w="0" w:type="auto"/>
            <w:vAlign w:val="center"/>
          </w:tcPr>
          <w:p w14:paraId="6C9645BE">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2.1958t/a</w:t>
            </w:r>
          </w:p>
        </w:tc>
        <w:tc>
          <w:tcPr>
            <w:tcW w:w="0" w:type="auto"/>
            <w:vAlign w:val="center"/>
          </w:tcPr>
          <w:p w14:paraId="717DEC9A">
            <w:pPr>
              <w:pStyle w:val="48"/>
              <w:bidi w:val="0"/>
              <w:rPr>
                <w:rFonts w:hint="eastAsia"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0" w:type="auto"/>
            <w:vAlign w:val="center"/>
          </w:tcPr>
          <w:p w14:paraId="20E69268">
            <w:pPr>
              <w:pStyle w:val="48"/>
              <w:bidi w:val="0"/>
              <w:rPr>
                <w:rFonts w:hint="eastAsia"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0" w:type="auto"/>
            <w:vAlign w:val="center"/>
          </w:tcPr>
          <w:p w14:paraId="34FC1936">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1.0mg/m</w:t>
            </w:r>
            <w:r>
              <w:rPr>
                <w:rFonts w:hint="default" w:ascii="Times New Roman" w:hAnsi="Times New Roman" w:cs="Times New Roman"/>
                <w:color w:val="auto"/>
                <w:highlight w:val="none"/>
                <w:vertAlign w:val="superscript"/>
              </w:rPr>
              <w:t>3</w:t>
            </w:r>
          </w:p>
        </w:tc>
        <w:tc>
          <w:tcPr>
            <w:tcW w:w="0" w:type="auto"/>
            <w:vMerge w:val="continue"/>
            <w:vAlign w:val="center"/>
          </w:tcPr>
          <w:p w14:paraId="4E2B512A">
            <w:pPr>
              <w:pStyle w:val="48"/>
              <w:bidi w:val="0"/>
              <w:rPr>
                <w:rFonts w:hint="default" w:ascii="Times New Roman" w:hAnsi="Times New Roman" w:cs="Times New Roman"/>
                <w:color w:val="auto"/>
                <w:highlight w:val="none"/>
              </w:rPr>
            </w:pPr>
          </w:p>
        </w:tc>
      </w:tr>
      <w:tr w14:paraId="1C5A2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vMerge w:val="continue"/>
            <w:vAlign w:val="center"/>
          </w:tcPr>
          <w:p w14:paraId="6019020A">
            <w:pPr>
              <w:pStyle w:val="48"/>
              <w:bidi w:val="0"/>
              <w:rPr>
                <w:rFonts w:hint="default" w:ascii="Times New Roman" w:hAnsi="Times New Roman" w:cs="Times New Roman"/>
                <w:color w:val="auto"/>
                <w:highlight w:val="none"/>
              </w:rPr>
            </w:pPr>
          </w:p>
        </w:tc>
        <w:tc>
          <w:tcPr>
            <w:tcW w:w="0" w:type="auto"/>
            <w:vAlign w:val="center"/>
          </w:tcPr>
          <w:p w14:paraId="22D72AD5">
            <w:pPr>
              <w:pStyle w:val="48"/>
              <w:bidi w:val="0"/>
              <w:rPr>
                <w:rFonts w:hint="default" w:ascii="Times New Roman" w:hAnsi="Times New Roman" w:cs="Times New Roman"/>
                <w:color w:val="FF0000"/>
                <w:highlight w:val="none"/>
                <w:lang w:val="en-US" w:eastAsia="zh-CN"/>
              </w:rPr>
            </w:pPr>
            <w:r>
              <w:rPr>
                <w:rFonts w:hint="eastAsia" w:ascii="Times New Roman" w:hAnsi="Times New Roman" w:cs="Times New Roman"/>
                <w:color w:val="FF0000"/>
                <w:highlight w:val="none"/>
                <w:lang w:val="en-US" w:eastAsia="zh-CN"/>
              </w:rPr>
              <w:t>原料赌场</w:t>
            </w:r>
          </w:p>
        </w:tc>
        <w:tc>
          <w:tcPr>
            <w:tcW w:w="0" w:type="auto"/>
            <w:vAlign w:val="center"/>
          </w:tcPr>
          <w:p w14:paraId="28D67737">
            <w:pPr>
              <w:pStyle w:val="48"/>
              <w:bidi w:val="0"/>
              <w:rPr>
                <w:rFonts w:hint="eastAsia" w:ascii="Times New Roman" w:hAnsi="Times New Roman" w:eastAsia="宋体" w:cs="Times New Roman"/>
                <w:color w:val="FF0000"/>
                <w:highlight w:val="none"/>
                <w:lang w:val="en-US" w:eastAsia="zh-CN"/>
              </w:rPr>
            </w:pPr>
            <w:r>
              <w:rPr>
                <w:rFonts w:hint="eastAsia" w:ascii="Times New Roman" w:hAnsi="Times New Roman" w:cs="Times New Roman"/>
                <w:color w:val="FF0000"/>
                <w:highlight w:val="none"/>
                <w:lang w:val="en-US" w:eastAsia="zh-CN"/>
              </w:rPr>
              <w:t>无组织</w:t>
            </w:r>
          </w:p>
        </w:tc>
        <w:tc>
          <w:tcPr>
            <w:tcW w:w="0" w:type="auto"/>
            <w:vAlign w:val="center"/>
          </w:tcPr>
          <w:p w14:paraId="7E30864A">
            <w:pPr>
              <w:pStyle w:val="48"/>
              <w:bidi w:val="0"/>
              <w:jc w:val="both"/>
              <w:rPr>
                <w:rFonts w:hint="default" w:ascii="Times New Roman" w:hAnsi="Times New Roman" w:eastAsia="宋体" w:cs="Times New Roman"/>
                <w:color w:val="FF0000"/>
                <w:highlight w:val="none"/>
                <w:lang w:val="en-US" w:eastAsia="zh-CN"/>
              </w:rPr>
            </w:pPr>
            <w:r>
              <w:rPr>
                <w:rFonts w:hint="eastAsia" w:ascii="Times New Roman" w:hAnsi="Times New Roman" w:cs="Times New Roman"/>
                <w:color w:val="FF0000"/>
                <w:highlight w:val="none"/>
                <w:lang w:val="en-US" w:eastAsia="zh-CN"/>
              </w:rPr>
              <w:t>颗粒物</w:t>
            </w:r>
          </w:p>
        </w:tc>
        <w:tc>
          <w:tcPr>
            <w:tcW w:w="0" w:type="auto"/>
            <w:vAlign w:val="center"/>
          </w:tcPr>
          <w:p w14:paraId="152E9053">
            <w:pPr>
              <w:pStyle w:val="48"/>
              <w:bidi w:val="0"/>
              <w:rPr>
                <w:rFonts w:hint="default" w:ascii="Times New Roman" w:hAnsi="Times New Roman" w:cs="Times New Roman"/>
                <w:color w:val="FF0000"/>
                <w:highlight w:val="none"/>
                <w:lang w:val="en-US" w:eastAsia="zh-CN"/>
              </w:rPr>
            </w:pPr>
            <w:r>
              <w:rPr>
                <w:rFonts w:hint="eastAsia" w:ascii="Times New Roman" w:hAnsi="Times New Roman" w:cs="Times New Roman"/>
                <w:color w:val="FF0000"/>
                <w:highlight w:val="none"/>
                <w:lang w:val="en-US" w:eastAsia="zh-CN"/>
              </w:rPr>
              <w:t>/</w:t>
            </w:r>
          </w:p>
        </w:tc>
        <w:tc>
          <w:tcPr>
            <w:tcW w:w="0" w:type="auto"/>
            <w:vAlign w:val="center"/>
          </w:tcPr>
          <w:p w14:paraId="74893BB3">
            <w:pPr>
              <w:pStyle w:val="48"/>
              <w:bidi w:val="0"/>
              <w:rPr>
                <w:rFonts w:hint="default" w:ascii="Times New Roman" w:hAnsi="Times New Roman" w:cs="Times New Roman"/>
                <w:color w:val="FF0000"/>
                <w:highlight w:val="none"/>
                <w:lang w:val="en-US" w:eastAsia="zh-CN"/>
              </w:rPr>
            </w:pPr>
            <w:r>
              <w:rPr>
                <w:rFonts w:hint="eastAsia" w:ascii="Times New Roman" w:hAnsi="Times New Roman" w:cs="Times New Roman"/>
                <w:color w:val="FF0000"/>
                <w:highlight w:val="none"/>
                <w:lang w:val="en-US" w:eastAsia="zh-CN"/>
              </w:rPr>
              <w:t>99.86</w:t>
            </w:r>
          </w:p>
        </w:tc>
        <w:tc>
          <w:tcPr>
            <w:tcW w:w="0" w:type="auto"/>
            <w:vAlign w:val="center"/>
          </w:tcPr>
          <w:p w14:paraId="05614B10">
            <w:pPr>
              <w:pStyle w:val="48"/>
              <w:bidi w:val="0"/>
              <w:rPr>
                <w:rFonts w:hint="default" w:ascii="Times New Roman" w:hAnsi="Times New Roman" w:cs="Times New Roman"/>
                <w:color w:val="FF0000"/>
                <w:highlight w:val="none"/>
                <w:lang w:val="en-US" w:eastAsia="zh-CN"/>
              </w:rPr>
            </w:pPr>
            <w:r>
              <w:rPr>
                <w:rFonts w:hint="eastAsia" w:ascii="Times New Roman" w:hAnsi="Times New Roman" w:cs="Times New Roman"/>
                <w:color w:val="FF0000"/>
                <w:highlight w:val="none"/>
                <w:lang w:val="en-US" w:eastAsia="zh-CN"/>
              </w:rPr>
              <w:t>封闭厂房内，作业时洒水</w:t>
            </w:r>
          </w:p>
        </w:tc>
        <w:tc>
          <w:tcPr>
            <w:tcW w:w="956" w:type="dxa"/>
            <w:vAlign w:val="center"/>
          </w:tcPr>
          <w:p w14:paraId="6E7454D2">
            <w:pPr>
              <w:pStyle w:val="48"/>
              <w:bidi w:val="0"/>
              <w:rPr>
                <w:rFonts w:hint="default" w:ascii="Times New Roman" w:hAnsi="Times New Roman" w:eastAsia="宋体" w:cs="Times New Roman"/>
                <w:color w:val="FF0000"/>
                <w:highlight w:val="none"/>
                <w:lang w:val="en-US" w:eastAsia="zh-CN"/>
              </w:rPr>
            </w:pPr>
            <w:r>
              <w:rPr>
                <w:rFonts w:hint="eastAsia" w:ascii="Times New Roman" w:hAnsi="Times New Roman" w:cs="Times New Roman"/>
                <w:color w:val="FF0000"/>
                <w:highlight w:val="none"/>
                <w:lang w:val="en-US" w:eastAsia="zh-CN"/>
              </w:rPr>
              <w:t>99.74%</w:t>
            </w:r>
          </w:p>
        </w:tc>
        <w:tc>
          <w:tcPr>
            <w:tcW w:w="0" w:type="auto"/>
            <w:vAlign w:val="center"/>
          </w:tcPr>
          <w:p w14:paraId="66259C66">
            <w:pPr>
              <w:pStyle w:val="48"/>
              <w:bidi w:val="0"/>
              <w:rPr>
                <w:rFonts w:hint="default" w:ascii="Times New Roman" w:hAnsi="Times New Roman" w:cs="Times New Roman"/>
                <w:color w:val="FF0000"/>
                <w:highlight w:val="none"/>
                <w:lang w:val="en-US" w:eastAsia="zh-CN"/>
              </w:rPr>
            </w:pPr>
            <w:r>
              <w:rPr>
                <w:rFonts w:hint="eastAsia" w:ascii="Times New Roman" w:hAnsi="Times New Roman" w:cs="Times New Roman"/>
                <w:color w:val="FF0000"/>
                <w:highlight w:val="none"/>
                <w:lang w:val="en-US" w:eastAsia="zh-CN"/>
              </w:rPr>
              <w:t>/</w:t>
            </w:r>
          </w:p>
        </w:tc>
        <w:tc>
          <w:tcPr>
            <w:tcW w:w="0" w:type="auto"/>
            <w:vAlign w:val="center"/>
          </w:tcPr>
          <w:p w14:paraId="3CE7CAFF">
            <w:pPr>
              <w:pStyle w:val="48"/>
              <w:bidi w:val="0"/>
              <w:rPr>
                <w:rFonts w:hint="default" w:ascii="Times New Roman" w:hAnsi="Times New Roman" w:cs="Times New Roman"/>
                <w:color w:val="FF0000"/>
                <w:highlight w:val="none"/>
                <w:lang w:val="en-US" w:eastAsia="zh-CN"/>
              </w:rPr>
            </w:pPr>
            <w:r>
              <w:rPr>
                <w:rFonts w:hint="eastAsia" w:ascii="Times New Roman" w:hAnsi="Times New Roman" w:cs="Times New Roman"/>
                <w:color w:val="FF0000"/>
                <w:highlight w:val="none"/>
                <w:lang w:val="en-US" w:eastAsia="zh-CN"/>
              </w:rPr>
              <w:t>0.26</w:t>
            </w:r>
          </w:p>
        </w:tc>
        <w:tc>
          <w:tcPr>
            <w:tcW w:w="0" w:type="auto"/>
            <w:vAlign w:val="center"/>
          </w:tcPr>
          <w:p w14:paraId="78969F08">
            <w:pPr>
              <w:pStyle w:val="48"/>
              <w:bidi w:val="0"/>
              <w:rPr>
                <w:rFonts w:hint="eastAsia" w:ascii="Times New Roman" w:hAnsi="Times New Roman" w:eastAsia="宋体" w:cs="Times New Roman"/>
                <w:color w:val="FF0000"/>
                <w:highlight w:val="none"/>
                <w:lang w:val="en-US" w:eastAsia="zh-CN"/>
              </w:rPr>
            </w:pPr>
            <w:r>
              <w:rPr>
                <w:rFonts w:hint="eastAsia" w:ascii="Times New Roman" w:hAnsi="Times New Roman" w:cs="Times New Roman"/>
                <w:color w:val="FF0000"/>
                <w:highlight w:val="none"/>
                <w:lang w:val="en-US" w:eastAsia="zh-CN"/>
              </w:rPr>
              <w:t>/</w:t>
            </w:r>
          </w:p>
        </w:tc>
        <w:tc>
          <w:tcPr>
            <w:tcW w:w="0" w:type="auto"/>
            <w:vAlign w:val="center"/>
          </w:tcPr>
          <w:p w14:paraId="1828FBB6">
            <w:pPr>
              <w:pStyle w:val="48"/>
              <w:bidi w:val="0"/>
              <w:rPr>
                <w:rFonts w:hint="eastAsia" w:ascii="Times New Roman" w:hAnsi="Times New Roman" w:eastAsia="宋体" w:cs="Times New Roman"/>
                <w:color w:val="FF0000"/>
                <w:highlight w:val="none"/>
                <w:lang w:val="en-US" w:eastAsia="zh-CN"/>
              </w:rPr>
            </w:pPr>
            <w:r>
              <w:rPr>
                <w:rFonts w:hint="eastAsia" w:ascii="Times New Roman" w:hAnsi="Times New Roman" w:cs="Times New Roman"/>
                <w:color w:val="FF0000"/>
                <w:highlight w:val="none"/>
                <w:lang w:val="en-US" w:eastAsia="zh-CN"/>
              </w:rPr>
              <w:t>/</w:t>
            </w:r>
          </w:p>
        </w:tc>
        <w:tc>
          <w:tcPr>
            <w:tcW w:w="0" w:type="auto"/>
            <w:vAlign w:val="center"/>
          </w:tcPr>
          <w:p w14:paraId="69B81794">
            <w:pPr>
              <w:pStyle w:val="48"/>
              <w:bidi w:val="0"/>
              <w:rPr>
                <w:rFonts w:hint="default" w:ascii="Times New Roman" w:hAnsi="Times New Roman" w:eastAsia="宋体" w:cs="Times New Roman"/>
                <w:color w:val="FF0000"/>
                <w:highlight w:val="none"/>
                <w:lang w:val="en-US" w:eastAsia="zh-CN"/>
              </w:rPr>
            </w:pPr>
            <w:r>
              <w:rPr>
                <w:rFonts w:hint="default" w:ascii="Times New Roman" w:hAnsi="Times New Roman" w:cs="Times New Roman"/>
                <w:color w:val="FF0000"/>
                <w:highlight w:val="none"/>
              </w:rPr>
              <w:t>1.0mg/m</w:t>
            </w:r>
            <w:r>
              <w:rPr>
                <w:rFonts w:hint="default" w:ascii="Times New Roman" w:hAnsi="Times New Roman" w:cs="Times New Roman"/>
                <w:color w:val="FF0000"/>
                <w:highlight w:val="none"/>
                <w:vertAlign w:val="superscript"/>
              </w:rPr>
              <w:t>3</w:t>
            </w:r>
          </w:p>
        </w:tc>
        <w:tc>
          <w:tcPr>
            <w:tcW w:w="0" w:type="auto"/>
            <w:vMerge w:val="continue"/>
            <w:vAlign w:val="center"/>
          </w:tcPr>
          <w:p w14:paraId="2B24FB12">
            <w:pPr>
              <w:pStyle w:val="48"/>
              <w:bidi w:val="0"/>
              <w:rPr>
                <w:rFonts w:hint="default" w:ascii="Times New Roman" w:hAnsi="Times New Roman" w:cs="Times New Roman"/>
                <w:color w:val="auto"/>
                <w:highlight w:val="none"/>
              </w:rPr>
            </w:pPr>
          </w:p>
        </w:tc>
      </w:tr>
      <w:tr w14:paraId="1D6B4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vMerge w:val="continue"/>
            <w:vAlign w:val="center"/>
          </w:tcPr>
          <w:p w14:paraId="61840427">
            <w:pPr>
              <w:pStyle w:val="48"/>
              <w:bidi w:val="0"/>
              <w:rPr>
                <w:rFonts w:hint="default" w:ascii="Times New Roman" w:hAnsi="Times New Roman" w:cs="Times New Roman"/>
                <w:color w:val="auto"/>
                <w:highlight w:val="none"/>
              </w:rPr>
            </w:pPr>
          </w:p>
        </w:tc>
        <w:tc>
          <w:tcPr>
            <w:tcW w:w="0" w:type="auto"/>
            <w:shd w:val="clear" w:color="auto" w:fill="auto"/>
            <w:vAlign w:val="center"/>
          </w:tcPr>
          <w:p w14:paraId="0871E18C">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车辆运输</w:t>
            </w:r>
          </w:p>
        </w:tc>
        <w:tc>
          <w:tcPr>
            <w:tcW w:w="0" w:type="auto"/>
            <w:shd w:val="clear" w:color="auto" w:fill="auto"/>
            <w:vAlign w:val="center"/>
          </w:tcPr>
          <w:p w14:paraId="060C3357">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无组织</w:t>
            </w:r>
          </w:p>
        </w:tc>
        <w:tc>
          <w:tcPr>
            <w:tcW w:w="0" w:type="auto"/>
            <w:shd w:val="clear" w:color="auto" w:fill="auto"/>
            <w:vAlign w:val="center"/>
          </w:tcPr>
          <w:p w14:paraId="0CE20363">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颗粒物</w:t>
            </w:r>
          </w:p>
        </w:tc>
        <w:tc>
          <w:tcPr>
            <w:tcW w:w="0" w:type="auto"/>
            <w:shd w:val="clear" w:color="auto" w:fill="auto"/>
            <w:vAlign w:val="center"/>
          </w:tcPr>
          <w:p w14:paraId="39146CDC">
            <w:pPr>
              <w:pStyle w:val="48"/>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0" w:type="auto"/>
            <w:shd w:val="clear" w:color="auto" w:fill="auto"/>
            <w:vAlign w:val="center"/>
          </w:tcPr>
          <w:p w14:paraId="47FBF6A5">
            <w:pPr>
              <w:pStyle w:val="48"/>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7.18t/a</w:t>
            </w:r>
          </w:p>
        </w:tc>
        <w:tc>
          <w:tcPr>
            <w:tcW w:w="0" w:type="auto"/>
            <w:shd w:val="clear" w:color="auto" w:fill="auto"/>
            <w:vAlign w:val="center"/>
          </w:tcPr>
          <w:p w14:paraId="686761D8">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洒水降尘，运输车辆加盖篷布，严禁超速、超载</w:t>
            </w:r>
          </w:p>
        </w:tc>
        <w:tc>
          <w:tcPr>
            <w:tcW w:w="0" w:type="auto"/>
            <w:shd w:val="clear" w:color="auto" w:fill="auto"/>
            <w:vAlign w:val="center"/>
          </w:tcPr>
          <w:p w14:paraId="03BE9299">
            <w:pPr>
              <w:pStyle w:val="48"/>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80%</w:t>
            </w:r>
          </w:p>
        </w:tc>
        <w:tc>
          <w:tcPr>
            <w:tcW w:w="0" w:type="auto"/>
            <w:shd w:val="clear" w:color="auto" w:fill="auto"/>
            <w:vAlign w:val="center"/>
          </w:tcPr>
          <w:p w14:paraId="7EAC7661">
            <w:pPr>
              <w:pStyle w:val="48"/>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val="en-US" w:eastAsia="zh-CN"/>
              </w:rPr>
              <w:t>/</w:t>
            </w:r>
          </w:p>
        </w:tc>
        <w:tc>
          <w:tcPr>
            <w:tcW w:w="0" w:type="auto"/>
            <w:shd w:val="clear" w:color="auto" w:fill="auto"/>
            <w:vAlign w:val="center"/>
          </w:tcPr>
          <w:p w14:paraId="714BBB90">
            <w:pPr>
              <w:pStyle w:val="48"/>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eastAsia="zh-CN"/>
              </w:rPr>
              <w:t>1.44</w:t>
            </w:r>
            <w:r>
              <w:rPr>
                <w:rFonts w:hint="default" w:ascii="Times New Roman" w:hAnsi="Times New Roman" w:cs="Times New Roman"/>
                <w:color w:val="auto"/>
                <w:highlight w:val="none"/>
                <w:lang w:val="en-US" w:eastAsia="zh-CN"/>
              </w:rPr>
              <w:t>t/a</w:t>
            </w:r>
          </w:p>
        </w:tc>
        <w:tc>
          <w:tcPr>
            <w:tcW w:w="0" w:type="auto"/>
            <w:shd w:val="clear" w:color="auto" w:fill="auto"/>
            <w:vAlign w:val="center"/>
          </w:tcPr>
          <w:p w14:paraId="7571DE76">
            <w:pPr>
              <w:pStyle w:val="48"/>
              <w:bidi w:val="0"/>
              <w:rPr>
                <w:rFonts w:hint="eastAsia"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0" w:type="auto"/>
            <w:shd w:val="clear" w:color="auto" w:fill="auto"/>
            <w:vAlign w:val="center"/>
          </w:tcPr>
          <w:p w14:paraId="308E8653">
            <w:pPr>
              <w:pStyle w:val="48"/>
              <w:bidi w:val="0"/>
              <w:rPr>
                <w:rFonts w:hint="eastAsia"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0" w:type="auto"/>
            <w:shd w:val="clear" w:color="auto" w:fill="auto"/>
            <w:vAlign w:val="center"/>
          </w:tcPr>
          <w:p w14:paraId="10B420B8">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1.0mg/m</w:t>
            </w:r>
            <w:r>
              <w:rPr>
                <w:rFonts w:hint="default" w:ascii="Times New Roman" w:hAnsi="Times New Roman" w:cs="Times New Roman"/>
                <w:color w:val="auto"/>
                <w:highlight w:val="none"/>
                <w:vertAlign w:val="superscript"/>
              </w:rPr>
              <w:t>3</w:t>
            </w:r>
          </w:p>
        </w:tc>
        <w:tc>
          <w:tcPr>
            <w:tcW w:w="0" w:type="auto"/>
            <w:vMerge w:val="continue"/>
            <w:vAlign w:val="center"/>
          </w:tcPr>
          <w:p w14:paraId="723BC5F9">
            <w:pPr>
              <w:pStyle w:val="48"/>
              <w:bidi w:val="0"/>
              <w:rPr>
                <w:rFonts w:hint="default" w:ascii="Times New Roman" w:hAnsi="Times New Roman" w:cs="Times New Roman"/>
                <w:color w:val="auto"/>
                <w:highlight w:val="none"/>
              </w:rPr>
            </w:pPr>
          </w:p>
        </w:tc>
      </w:tr>
      <w:tr w14:paraId="56EB4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vMerge w:val="continue"/>
            <w:vAlign w:val="center"/>
          </w:tcPr>
          <w:p w14:paraId="07C76C42">
            <w:pPr>
              <w:pStyle w:val="48"/>
              <w:bidi w:val="0"/>
              <w:rPr>
                <w:rFonts w:hint="default" w:ascii="Times New Roman" w:hAnsi="Times New Roman" w:cs="Times New Roman"/>
                <w:color w:val="auto"/>
                <w:highlight w:val="none"/>
              </w:rPr>
            </w:pPr>
          </w:p>
        </w:tc>
        <w:tc>
          <w:tcPr>
            <w:tcW w:w="0" w:type="auto"/>
            <w:shd w:val="clear" w:color="auto" w:fill="auto"/>
            <w:vAlign w:val="center"/>
          </w:tcPr>
          <w:p w14:paraId="1516BDC0">
            <w:pPr>
              <w:pStyle w:val="48"/>
              <w:bidi w:val="0"/>
              <w:rPr>
                <w:rFonts w:hint="eastAsia" w:ascii="Times New Roman" w:hAnsi="Times New Roman" w:eastAsia="宋体" w:cs="Times New Roman"/>
                <w:color w:val="FF0000"/>
                <w:highlight w:val="none"/>
                <w:lang w:val="en-US" w:eastAsia="zh-CN"/>
              </w:rPr>
            </w:pPr>
            <w:r>
              <w:rPr>
                <w:rFonts w:hint="eastAsia" w:ascii="Times New Roman" w:hAnsi="Times New Roman" w:cs="Times New Roman"/>
                <w:color w:val="FF0000"/>
                <w:highlight w:val="none"/>
                <w:lang w:val="en-US" w:eastAsia="zh-CN"/>
              </w:rPr>
              <w:t>筛分</w:t>
            </w:r>
          </w:p>
        </w:tc>
        <w:tc>
          <w:tcPr>
            <w:tcW w:w="0" w:type="auto"/>
            <w:shd w:val="clear" w:color="auto" w:fill="auto"/>
            <w:vAlign w:val="center"/>
          </w:tcPr>
          <w:p w14:paraId="67A25F55">
            <w:pPr>
              <w:pStyle w:val="48"/>
              <w:bidi w:val="0"/>
              <w:rPr>
                <w:rFonts w:hint="eastAsia" w:ascii="Times New Roman" w:hAnsi="Times New Roman" w:eastAsia="宋体" w:cs="Times New Roman"/>
                <w:color w:val="FF0000"/>
                <w:highlight w:val="none"/>
                <w:lang w:val="en-US" w:eastAsia="zh-CN"/>
              </w:rPr>
            </w:pPr>
            <w:r>
              <w:rPr>
                <w:rFonts w:hint="eastAsia" w:ascii="Times New Roman" w:hAnsi="Times New Roman" w:cs="Times New Roman"/>
                <w:color w:val="FF0000"/>
                <w:highlight w:val="none"/>
                <w:lang w:val="en-US" w:eastAsia="zh-CN"/>
              </w:rPr>
              <w:t>无组织</w:t>
            </w:r>
          </w:p>
        </w:tc>
        <w:tc>
          <w:tcPr>
            <w:tcW w:w="0" w:type="auto"/>
            <w:shd w:val="clear" w:color="auto" w:fill="auto"/>
            <w:vAlign w:val="center"/>
          </w:tcPr>
          <w:p w14:paraId="4ED45484">
            <w:pPr>
              <w:pStyle w:val="48"/>
              <w:bidi w:val="0"/>
              <w:rPr>
                <w:rFonts w:hint="eastAsia" w:ascii="Times New Roman" w:hAnsi="Times New Roman" w:eastAsia="宋体" w:cs="Times New Roman"/>
                <w:color w:val="FF0000"/>
                <w:highlight w:val="none"/>
                <w:lang w:val="en-US" w:eastAsia="zh-CN"/>
              </w:rPr>
            </w:pPr>
            <w:r>
              <w:rPr>
                <w:rFonts w:hint="eastAsia" w:ascii="Times New Roman" w:hAnsi="Times New Roman" w:cs="Times New Roman"/>
                <w:color w:val="FF0000"/>
                <w:highlight w:val="none"/>
                <w:lang w:val="en-US" w:eastAsia="zh-CN"/>
              </w:rPr>
              <w:t>颗粒物</w:t>
            </w:r>
          </w:p>
        </w:tc>
        <w:tc>
          <w:tcPr>
            <w:tcW w:w="0" w:type="auto"/>
            <w:shd w:val="clear" w:color="auto" w:fill="auto"/>
            <w:vAlign w:val="center"/>
          </w:tcPr>
          <w:p w14:paraId="7C321E31">
            <w:pPr>
              <w:pStyle w:val="48"/>
              <w:bidi w:val="0"/>
              <w:rPr>
                <w:rFonts w:hint="default" w:ascii="Times New Roman" w:hAnsi="Times New Roman" w:cs="Times New Roman"/>
                <w:color w:val="FF0000"/>
                <w:highlight w:val="none"/>
                <w:lang w:val="en-US" w:eastAsia="zh-CN"/>
              </w:rPr>
            </w:pPr>
            <w:r>
              <w:rPr>
                <w:rFonts w:hint="eastAsia" w:ascii="Times New Roman" w:hAnsi="Times New Roman" w:cs="Times New Roman"/>
                <w:color w:val="FF0000"/>
                <w:highlight w:val="none"/>
                <w:lang w:val="en-US" w:eastAsia="zh-CN"/>
              </w:rPr>
              <w:t>/</w:t>
            </w:r>
          </w:p>
        </w:tc>
        <w:tc>
          <w:tcPr>
            <w:tcW w:w="0" w:type="auto"/>
            <w:shd w:val="clear" w:color="auto" w:fill="auto"/>
            <w:vAlign w:val="center"/>
          </w:tcPr>
          <w:p w14:paraId="1E94FE14">
            <w:pPr>
              <w:pStyle w:val="48"/>
              <w:bidi w:val="0"/>
              <w:rPr>
                <w:rFonts w:hint="default" w:ascii="Times New Roman" w:hAnsi="Times New Roman" w:cs="Times New Roman"/>
                <w:color w:val="FF0000"/>
                <w:highlight w:val="none"/>
                <w:lang w:val="en-US" w:eastAsia="zh-CN"/>
              </w:rPr>
            </w:pPr>
            <w:r>
              <w:rPr>
                <w:rFonts w:hint="eastAsia" w:ascii="Times New Roman" w:hAnsi="Times New Roman" w:cs="Times New Roman"/>
                <w:color w:val="FF0000"/>
                <w:highlight w:val="none"/>
                <w:lang w:val="en-US" w:eastAsia="zh-CN"/>
              </w:rPr>
              <w:t>4</w:t>
            </w:r>
          </w:p>
        </w:tc>
        <w:tc>
          <w:tcPr>
            <w:tcW w:w="0" w:type="auto"/>
            <w:shd w:val="clear" w:color="auto" w:fill="auto"/>
            <w:vAlign w:val="center"/>
          </w:tcPr>
          <w:p w14:paraId="6EC1F394">
            <w:pPr>
              <w:pStyle w:val="48"/>
              <w:bidi w:val="0"/>
              <w:jc w:val="both"/>
              <w:rPr>
                <w:rFonts w:hint="default" w:ascii="Times New Roman" w:hAnsi="Times New Roman" w:eastAsia="宋体" w:cs="Times New Roman"/>
                <w:color w:val="FF0000"/>
                <w:highlight w:val="none"/>
                <w:lang w:val="en-US" w:eastAsia="zh-CN"/>
              </w:rPr>
            </w:pPr>
            <w:r>
              <w:rPr>
                <w:rFonts w:hint="eastAsia" w:ascii="Times New Roman" w:hAnsi="Times New Roman" w:cs="Times New Roman"/>
                <w:color w:val="FF0000"/>
                <w:highlight w:val="none"/>
                <w:lang w:val="en-US" w:eastAsia="zh-CN"/>
              </w:rPr>
              <w:t>厂房内</w:t>
            </w:r>
          </w:p>
        </w:tc>
        <w:tc>
          <w:tcPr>
            <w:tcW w:w="0" w:type="auto"/>
            <w:shd w:val="clear" w:color="auto" w:fill="auto"/>
            <w:vAlign w:val="center"/>
          </w:tcPr>
          <w:p w14:paraId="1A8782C3">
            <w:pPr>
              <w:pStyle w:val="48"/>
              <w:bidi w:val="0"/>
              <w:rPr>
                <w:rFonts w:hint="default" w:ascii="Times New Roman" w:hAnsi="Times New Roman" w:cs="Times New Roman"/>
                <w:color w:val="FF0000"/>
                <w:highlight w:val="none"/>
                <w:lang w:val="en-US" w:eastAsia="zh-CN"/>
              </w:rPr>
            </w:pPr>
            <w:r>
              <w:rPr>
                <w:rFonts w:hint="eastAsia" w:ascii="Times New Roman" w:hAnsi="Times New Roman" w:cs="Times New Roman"/>
                <w:color w:val="FF0000"/>
                <w:highlight w:val="none"/>
                <w:lang w:val="en-US" w:eastAsia="zh-CN"/>
              </w:rPr>
              <w:t>90</w:t>
            </w:r>
          </w:p>
        </w:tc>
        <w:tc>
          <w:tcPr>
            <w:tcW w:w="0" w:type="auto"/>
            <w:shd w:val="clear" w:color="auto" w:fill="auto"/>
            <w:vAlign w:val="center"/>
          </w:tcPr>
          <w:p w14:paraId="2CD92F63">
            <w:pPr>
              <w:pStyle w:val="48"/>
              <w:bidi w:val="0"/>
              <w:rPr>
                <w:rFonts w:hint="default" w:ascii="Times New Roman" w:hAnsi="Times New Roman" w:cs="Times New Roman"/>
                <w:color w:val="FF0000"/>
                <w:highlight w:val="none"/>
                <w:lang w:val="en-US" w:eastAsia="zh-CN"/>
              </w:rPr>
            </w:pPr>
          </w:p>
        </w:tc>
        <w:tc>
          <w:tcPr>
            <w:tcW w:w="0" w:type="auto"/>
            <w:shd w:val="clear" w:color="auto" w:fill="auto"/>
            <w:vAlign w:val="center"/>
          </w:tcPr>
          <w:p w14:paraId="4508F4B7">
            <w:pPr>
              <w:pStyle w:val="48"/>
              <w:bidi w:val="0"/>
              <w:rPr>
                <w:rFonts w:hint="default" w:ascii="Times New Roman" w:hAnsi="Times New Roman" w:cs="Times New Roman"/>
                <w:color w:val="FF0000"/>
                <w:highlight w:val="none"/>
                <w:lang w:val="en-US" w:eastAsia="zh-CN"/>
              </w:rPr>
            </w:pPr>
            <w:r>
              <w:rPr>
                <w:rFonts w:hint="eastAsia" w:ascii="Times New Roman" w:hAnsi="Times New Roman" w:cs="Times New Roman"/>
                <w:color w:val="FF0000"/>
                <w:highlight w:val="none"/>
                <w:lang w:val="en-US" w:eastAsia="zh-CN"/>
              </w:rPr>
              <w:t>0.4</w:t>
            </w:r>
          </w:p>
        </w:tc>
        <w:tc>
          <w:tcPr>
            <w:tcW w:w="0" w:type="auto"/>
            <w:shd w:val="clear" w:color="auto" w:fill="auto"/>
            <w:vAlign w:val="center"/>
          </w:tcPr>
          <w:p w14:paraId="52DEB72E">
            <w:pPr>
              <w:pStyle w:val="48"/>
              <w:bidi w:val="0"/>
              <w:rPr>
                <w:rFonts w:hint="eastAsia" w:ascii="Times New Roman" w:hAnsi="Times New Roman" w:eastAsia="宋体" w:cs="Times New Roman"/>
                <w:color w:val="FF0000"/>
                <w:highlight w:val="none"/>
                <w:lang w:val="en-US" w:eastAsia="zh-CN"/>
              </w:rPr>
            </w:pPr>
            <w:r>
              <w:rPr>
                <w:rFonts w:hint="eastAsia" w:ascii="Times New Roman" w:hAnsi="Times New Roman" w:cs="Times New Roman"/>
                <w:color w:val="FF0000"/>
                <w:highlight w:val="none"/>
                <w:lang w:val="en-US" w:eastAsia="zh-CN"/>
              </w:rPr>
              <w:t>/</w:t>
            </w:r>
          </w:p>
        </w:tc>
        <w:tc>
          <w:tcPr>
            <w:tcW w:w="0" w:type="auto"/>
            <w:shd w:val="clear" w:color="auto" w:fill="auto"/>
            <w:vAlign w:val="center"/>
          </w:tcPr>
          <w:p w14:paraId="4D88ED7C">
            <w:pPr>
              <w:pStyle w:val="48"/>
              <w:bidi w:val="0"/>
              <w:rPr>
                <w:rFonts w:hint="eastAsia" w:ascii="Times New Roman" w:hAnsi="Times New Roman" w:eastAsia="宋体" w:cs="Times New Roman"/>
                <w:color w:val="FF0000"/>
                <w:highlight w:val="none"/>
                <w:lang w:val="en-US" w:eastAsia="zh-CN"/>
              </w:rPr>
            </w:pPr>
            <w:r>
              <w:rPr>
                <w:rFonts w:hint="eastAsia" w:ascii="Times New Roman" w:hAnsi="Times New Roman" w:cs="Times New Roman"/>
                <w:color w:val="FF0000"/>
                <w:highlight w:val="none"/>
                <w:lang w:val="en-US" w:eastAsia="zh-CN"/>
              </w:rPr>
              <w:t>/</w:t>
            </w:r>
          </w:p>
        </w:tc>
        <w:tc>
          <w:tcPr>
            <w:tcW w:w="0" w:type="auto"/>
            <w:shd w:val="clear" w:color="auto" w:fill="auto"/>
            <w:vAlign w:val="center"/>
          </w:tcPr>
          <w:p w14:paraId="717AE73D">
            <w:pPr>
              <w:pStyle w:val="48"/>
              <w:bidi w:val="0"/>
              <w:rPr>
                <w:rFonts w:hint="eastAsia" w:ascii="Times New Roman" w:hAnsi="Times New Roman" w:eastAsia="宋体" w:cs="Times New Roman"/>
                <w:color w:val="FF0000"/>
                <w:highlight w:val="none"/>
                <w:lang w:eastAsia="zh-CN"/>
              </w:rPr>
            </w:pPr>
            <w:r>
              <w:rPr>
                <w:rFonts w:hint="default" w:ascii="Times New Roman" w:hAnsi="Times New Roman" w:cs="Times New Roman"/>
                <w:color w:val="FF0000"/>
                <w:highlight w:val="none"/>
              </w:rPr>
              <w:t>1.0mg/m</w:t>
            </w:r>
            <w:r>
              <w:rPr>
                <w:rFonts w:hint="default" w:ascii="Times New Roman" w:hAnsi="Times New Roman" w:cs="Times New Roman"/>
                <w:color w:val="FF0000"/>
                <w:highlight w:val="none"/>
                <w:vertAlign w:val="superscript"/>
              </w:rPr>
              <w:t>3</w:t>
            </w:r>
          </w:p>
        </w:tc>
        <w:tc>
          <w:tcPr>
            <w:tcW w:w="0" w:type="auto"/>
            <w:vMerge w:val="continue"/>
            <w:vAlign w:val="center"/>
          </w:tcPr>
          <w:p w14:paraId="2F958ED7">
            <w:pPr>
              <w:pStyle w:val="48"/>
              <w:bidi w:val="0"/>
              <w:rPr>
                <w:rFonts w:hint="default" w:ascii="Times New Roman" w:hAnsi="Times New Roman" w:cs="Times New Roman"/>
                <w:color w:val="auto"/>
                <w:highlight w:val="none"/>
              </w:rPr>
            </w:pPr>
          </w:p>
        </w:tc>
      </w:tr>
      <w:tr w14:paraId="315BA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vMerge w:val="continue"/>
            <w:vAlign w:val="center"/>
          </w:tcPr>
          <w:p w14:paraId="43DA37B4">
            <w:pPr>
              <w:pStyle w:val="48"/>
              <w:bidi w:val="0"/>
              <w:rPr>
                <w:rFonts w:hint="default" w:ascii="Times New Roman" w:hAnsi="Times New Roman" w:cs="Times New Roman"/>
                <w:color w:val="auto"/>
                <w:highlight w:val="none"/>
              </w:rPr>
            </w:pPr>
          </w:p>
        </w:tc>
        <w:tc>
          <w:tcPr>
            <w:tcW w:w="0" w:type="auto"/>
            <w:vAlign w:val="center"/>
          </w:tcPr>
          <w:p w14:paraId="4F1C7983">
            <w:pPr>
              <w:pStyle w:val="48"/>
              <w:bidi w:val="0"/>
              <w:rPr>
                <w:rFonts w:hint="default" w:ascii="Times New Roman" w:hAnsi="Times New Roman" w:cs="Times New Roman"/>
                <w:color w:val="00B050"/>
                <w:highlight w:val="none"/>
                <w:lang w:val="en-US" w:eastAsia="zh-CN"/>
              </w:rPr>
            </w:pPr>
            <w:r>
              <w:rPr>
                <w:rFonts w:hint="eastAsia" w:ascii="Times New Roman" w:hAnsi="Times New Roman" w:cs="Times New Roman"/>
                <w:color w:val="00B050"/>
                <w:highlight w:val="none"/>
                <w:lang w:val="en-US" w:eastAsia="zh-CN"/>
              </w:rPr>
              <w:t>食堂</w:t>
            </w:r>
          </w:p>
        </w:tc>
        <w:tc>
          <w:tcPr>
            <w:tcW w:w="0" w:type="auto"/>
            <w:vAlign w:val="center"/>
          </w:tcPr>
          <w:p w14:paraId="056ED67B">
            <w:pPr>
              <w:pStyle w:val="48"/>
              <w:bidi w:val="0"/>
              <w:rPr>
                <w:rFonts w:hint="default" w:ascii="Times New Roman" w:hAnsi="Times New Roman" w:cs="Times New Roman"/>
                <w:color w:val="00B050"/>
                <w:highlight w:val="none"/>
                <w:lang w:val="en-US" w:eastAsia="zh-CN"/>
              </w:rPr>
            </w:pPr>
            <w:r>
              <w:rPr>
                <w:rFonts w:hint="eastAsia" w:ascii="Times New Roman" w:hAnsi="Times New Roman" w:cs="Times New Roman"/>
                <w:color w:val="00B050"/>
                <w:highlight w:val="none"/>
                <w:lang w:val="en-US" w:eastAsia="zh-CN"/>
              </w:rPr>
              <w:t>无组织</w:t>
            </w:r>
          </w:p>
        </w:tc>
        <w:tc>
          <w:tcPr>
            <w:tcW w:w="0" w:type="auto"/>
            <w:vAlign w:val="center"/>
          </w:tcPr>
          <w:p w14:paraId="3AB72093">
            <w:pPr>
              <w:pStyle w:val="48"/>
              <w:bidi w:val="0"/>
              <w:rPr>
                <w:rFonts w:hint="default" w:ascii="Times New Roman" w:hAnsi="Times New Roman" w:cs="Times New Roman"/>
                <w:color w:val="00B050"/>
                <w:highlight w:val="none"/>
                <w:lang w:val="en-US" w:eastAsia="zh-CN"/>
              </w:rPr>
            </w:pPr>
            <w:r>
              <w:rPr>
                <w:rFonts w:hint="eastAsia" w:ascii="Times New Roman" w:hAnsi="Times New Roman" w:cs="Times New Roman"/>
                <w:color w:val="00B050"/>
                <w:highlight w:val="none"/>
                <w:lang w:val="en-US" w:eastAsia="zh-CN"/>
              </w:rPr>
              <w:t>油烟</w:t>
            </w:r>
          </w:p>
        </w:tc>
        <w:tc>
          <w:tcPr>
            <w:tcW w:w="0" w:type="auto"/>
            <w:vAlign w:val="center"/>
          </w:tcPr>
          <w:p w14:paraId="2F629090">
            <w:pPr>
              <w:pStyle w:val="48"/>
              <w:bidi w:val="0"/>
              <w:rPr>
                <w:rFonts w:hint="default" w:ascii="Times New Roman" w:hAnsi="Times New Roman" w:cs="Times New Roman"/>
                <w:color w:val="00B050"/>
                <w:highlight w:val="none"/>
                <w:lang w:val="en-US" w:eastAsia="zh-CN"/>
              </w:rPr>
            </w:pPr>
          </w:p>
        </w:tc>
        <w:tc>
          <w:tcPr>
            <w:tcW w:w="0" w:type="auto"/>
            <w:vAlign w:val="center"/>
          </w:tcPr>
          <w:p w14:paraId="2F1DE5E0">
            <w:pPr>
              <w:pStyle w:val="48"/>
              <w:bidi w:val="0"/>
              <w:rPr>
                <w:rFonts w:hint="default" w:ascii="Times New Roman" w:hAnsi="Times New Roman" w:cs="Times New Roman"/>
                <w:color w:val="00B050"/>
                <w:highlight w:val="none"/>
                <w:lang w:val="en-US" w:eastAsia="zh-CN"/>
              </w:rPr>
            </w:pPr>
            <w:r>
              <w:rPr>
                <w:rFonts w:hint="eastAsia" w:ascii="Times New Roman" w:hAnsi="Times New Roman" w:cs="Times New Roman"/>
                <w:color w:val="00B050"/>
                <w:highlight w:val="none"/>
                <w:lang w:val="en-US" w:eastAsia="zh-CN"/>
              </w:rPr>
              <w:t>5.433kg/a</w:t>
            </w:r>
          </w:p>
        </w:tc>
        <w:tc>
          <w:tcPr>
            <w:tcW w:w="0" w:type="auto"/>
            <w:vAlign w:val="center"/>
          </w:tcPr>
          <w:p w14:paraId="6D2C9144">
            <w:pPr>
              <w:pStyle w:val="48"/>
              <w:bidi w:val="0"/>
              <w:rPr>
                <w:rFonts w:hint="default" w:ascii="Times New Roman" w:hAnsi="Times New Roman" w:cs="Times New Roman"/>
                <w:color w:val="00B050"/>
                <w:highlight w:val="none"/>
                <w:lang w:val="en-US" w:eastAsia="zh-CN"/>
              </w:rPr>
            </w:pPr>
            <w:r>
              <w:rPr>
                <w:rFonts w:hint="eastAsia" w:ascii="Times New Roman" w:hAnsi="Times New Roman" w:cs="Times New Roman"/>
                <w:color w:val="00B050"/>
                <w:highlight w:val="none"/>
                <w:lang w:val="en-US" w:eastAsia="zh-CN"/>
              </w:rPr>
              <w:t>油烟净化器</w:t>
            </w:r>
          </w:p>
        </w:tc>
        <w:tc>
          <w:tcPr>
            <w:tcW w:w="0" w:type="auto"/>
            <w:vAlign w:val="center"/>
          </w:tcPr>
          <w:p w14:paraId="21449F1C">
            <w:pPr>
              <w:pStyle w:val="48"/>
              <w:bidi w:val="0"/>
              <w:rPr>
                <w:rFonts w:hint="default" w:ascii="Times New Roman" w:hAnsi="Times New Roman" w:cs="Times New Roman"/>
                <w:color w:val="00B050"/>
                <w:highlight w:val="none"/>
                <w:lang w:val="en-US" w:eastAsia="zh-CN"/>
              </w:rPr>
            </w:pPr>
            <w:r>
              <w:rPr>
                <w:rFonts w:hint="eastAsia" w:ascii="Times New Roman" w:hAnsi="Times New Roman" w:cs="Times New Roman"/>
                <w:color w:val="00B050"/>
                <w:highlight w:val="none"/>
                <w:lang w:val="en-US" w:eastAsia="zh-CN"/>
              </w:rPr>
              <w:t>75%</w:t>
            </w:r>
          </w:p>
        </w:tc>
        <w:tc>
          <w:tcPr>
            <w:tcW w:w="0" w:type="auto"/>
            <w:vAlign w:val="center"/>
          </w:tcPr>
          <w:p w14:paraId="7816A6C8">
            <w:pPr>
              <w:pStyle w:val="48"/>
              <w:bidi w:val="0"/>
              <w:rPr>
                <w:rFonts w:hint="default" w:ascii="Times New Roman" w:hAnsi="Times New Roman" w:cs="Times New Roman"/>
                <w:color w:val="00B050"/>
                <w:highlight w:val="none"/>
                <w:lang w:val="en-US" w:eastAsia="zh-CN"/>
              </w:rPr>
            </w:pPr>
            <w:r>
              <w:rPr>
                <w:rFonts w:hint="eastAsia" w:ascii="Times New Roman" w:hAnsi="Times New Roman" w:cs="Times New Roman"/>
                <w:color w:val="00B050"/>
                <w:highlight w:val="none"/>
                <w:lang w:val="en-US" w:eastAsia="zh-CN"/>
              </w:rPr>
              <w:t>0.9</w:t>
            </w:r>
          </w:p>
        </w:tc>
        <w:tc>
          <w:tcPr>
            <w:tcW w:w="0" w:type="auto"/>
            <w:vAlign w:val="center"/>
          </w:tcPr>
          <w:p w14:paraId="41AD5035">
            <w:pPr>
              <w:pStyle w:val="48"/>
              <w:bidi w:val="0"/>
              <w:rPr>
                <w:rFonts w:hint="default" w:ascii="Times New Roman" w:hAnsi="Times New Roman" w:cs="Times New Roman"/>
                <w:color w:val="00B050"/>
                <w:highlight w:val="none"/>
                <w:lang w:val="en-US" w:eastAsia="zh-CN"/>
              </w:rPr>
            </w:pPr>
            <w:r>
              <w:rPr>
                <w:rFonts w:hint="eastAsia" w:ascii="Times New Roman" w:hAnsi="Times New Roman" w:cs="Times New Roman"/>
                <w:color w:val="00B050"/>
                <w:highlight w:val="none"/>
                <w:lang w:val="en-US" w:eastAsia="zh-CN"/>
              </w:rPr>
              <w:t>1.358kg/a</w:t>
            </w:r>
          </w:p>
        </w:tc>
        <w:tc>
          <w:tcPr>
            <w:tcW w:w="0" w:type="auto"/>
            <w:vAlign w:val="center"/>
          </w:tcPr>
          <w:p w14:paraId="32A984AD">
            <w:pPr>
              <w:pStyle w:val="48"/>
              <w:bidi w:val="0"/>
              <w:rPr>
                <w:rFonts w:hint="default" w:ascii="Times New Roman" w:hAnsi="Times New Roman" w:cs="Times New Roman"/>
                <w:color w:val="00B050"/>
                <w:highlight w:val="none"/>
                <w:lang w:val="en-US" w:eastAsia="zh-CN"/>
              </w:rPr>
            </w:pPr>
          </w:p>
        </w:tc>
        <w:tc>
          <w:tcPr>
            <w:tcW w:w="0" w:type="auto"/>
            <w:vAlign w:val="center"/>
          </w:tcPr>
          <w:p w14:paraId="5B2E5BF4">
            <w:pPr>
              <w:pStyle w:val="48"/>
              <w:bidi w:val="0"/>
              <w:rPr>
                <w:rFonts w:hint="default" w:ascii="Times New Roman" w:hAnsi="Times New Roman" w:cs="Times New Roman"/>
                <w:color w:val="00B050"/>
                <w:highlight w:val="none"/>
                <w:lang w:val="en-US" w:eastAsia="zh-CN"/>
              </w:rPr>
            </w:pPr>
          </w:p>
        </w:tc>
        <w:tc>
          <w:tcPr>
            <w:tcW w:w="0" w:type="auto"/>
            <w:vAlign w:val="center"/>
          </w:tcPr>
          <w:p w14:paraId="2F82FEDE">
            <w:pPr>
              <w:pStyle w:val="48"/>
              <w:bidi w:val="0"/>
              <w:rPr>
                <w:rFonts w:hint="default" w:ascii="Times New Roman" w:hAnsi="Times New Roman" w:cs="Times New Roman"/>
                <w:color w:val="00B050"/>
                <w:highlight w:val="none"/>
                <w:lang w:val="en-US" w:eastAsia="zh-CN"/>
              </w:rPr>
            </w:pPr>
            <w:r>
              <w:rPr>
                <w:rFonts w:hint="eastAsia" w:ascii="Times New Roman" w:hAnsi="Times New Roman" w:cs="Times New Roman"/>
                <w:color w:val="00B050"/>
                <w:highlight w:val="none"/>
                <w:lang w:val="en-US" w:eastAsia="zh-CN"/>
              </w:rPr>
              <w:t>2</w:t>
            </w:r>
          </w:p>
        </w:tc>
        <w:tc>
          <w:tcPr>
            <w:tcW w:w="0" w:type="auto"/>
            <w:vAlign w:val="center"/>
          </w:tcPr>
          <w:p w14:paraId="5B6659ED">
            <w:pPr>
              <w:pStyle w:val="48"/>
              <w:bidi w:val="0"/>
              <w:rPr>
                <w:rFonts w:hint="default" w:ascii="Times New Roman" w:hAnsi="Times New Roman" w:cs="Times New Roman"/>
                <w:color w:val="00B050"/>
                <w:highlight w:val="none"/>
              </w:rPr>
            </w:pPr>
            <w:r>
              <w:rPr>
                <w:rFonts w:hint="default"/>
                <w:color w:val="00B050"/>
                <w:sz w:val="24"/>
                <w:szCs w:val="24"/>
                <w:highlight w:val="none"/>
                <w:lang w:val="en-US" w:eastAsia="zh-CN"/>
              </w:rPr>
              <w:t>《饮食业油烟</w:t>
            </w:r>
            <w:r>
              <w:rPr>
                <w:rFonts w:hint="default" w:ascii="Times New Roman" w:hAnsi="Times New Roman" w:eastAsia="宋体" w:cs="Times New Roman"/>
                <w:color w:val="00B050"/>
                <w:spacing w:val="0"/>
                <w:kern w:val="2"/>
                <w:sz w:val="24"/>
                <w:szCs w:val="24"/>
                <w:highlight w:val="none"/>
                <w:lang w:val="en-US" w:eastAsia="zh-CN" w:bidi="ar-SA"/>
              </w:rPr>
              <w:t>排放标准（试行）》（GB18483-2001）</w:t>
            </w:r>
          </w:p>
        </w:tc>
      </w:tr>
      <w:tr w14:paraId="73092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2D86717D">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废水</w:t>
            </w:r>
          </w:p>
        </w:tc>
        <w:tc>
          <w:tcPr>
            <w:tcW w:w="0" w:type="auto"/>
            <w:vMerge w:val="restart"/>
            <w:vAlign w:val="center"/>
          </w:tcPr>
          <w:p w14:paraId="1E846D69">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生活污</w:t>
            </w:r>
          </w:p>
          <w:p w14:paraId="5DA8F289">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水</w:t>
            </w:r>
          </w:p>
        </w:tc>
        <w:tc>
          <w:tcPr>
            <w:tcW w:w="0" w:type="auto"/>
            <w:vMerge w:val="restart"/>
            <w:vAlign w:val="center"/>
          </w:tcPr>
          <w:p w14:paraId="0778392A">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间断排放</w:t>
            </w:r>
          </w:p>
        </w:tc>
        <w:tc>
          <w:tcPr>
            <w:tcW w:w="0" w:type="auto"/>
            <w:vAlign w:val="center"/>
          </w:tcPr>
          <w:p w14:paraId="010072FE">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COD</w:t>
            </w:r>
          </w:p>
        </w:tc>
        <w:tc>
          <w:tcPr>
            <w:tcW w:w="0" w:type="auto"/>
            <w:vAlign w:val="center"/>
          </w:tcPr>
          <w:p w14:paraId="08F200DA">
            <w:pPr>
              <w:pStyle w:val="48"/>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320mg/L</w:t>
            </w:r>
          </w:p>
        </w:tc>
        <w:tc>
          <w:tcPr>
            <w:tcW w:w="0" w:type="auto"/>
            <w:vAlign w:val="center"/>
          </w:tcPr>
          <w:p w14:paraId="011027FE">
            <w:pPr>
              <w:pStyle w:val="48"/>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w:t>
            </w:r>
            <w:r>
              <w:rPr>
                <w:rFonts w:hint="default" w:ascii="Times New Roman" w:hAnsi="Times New Roman" w:cs="Times New Roman"/>
                <w:color w:val="auto"/>
                <w:highlight w:val="none"/>
                <w:lang w:val="en-US" w:eastAsia="zh-CN"/>
              </w:rPr>
              <w:t>246</w:t>
            </w:r>
            <w:r>
              <w:rPr>
                <w:rFonts w:hint="eastAsia" w:ascii="Times New Roman" w:hAnsi="Times New Roman" w:cs="Times New Roman"/>
                <w:color w:val="auto"/>
                <w:highlight w:val="none"/>
                <w:lang w:val="en-US" w:eastAsia="zh-CN"/>
              </w:rPr>
              <w:t>t/a</w:t>
            </w:r>
          </w:p>
        </w:tc>
        <w:tc>
          <w:tcPr>
            <w:tcW w:w="0" w:type="auto"/>
            <w:vMerge w:val="restart"/>
            <w:vAlign w:val="center"/>
          </w:tcPr>
          <w:p w14:paraId="3B0195CB">
            <w:pPr>
              <w:pStyle w:val="48"/>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地埋式一体化污水处理装置</w:t>
            </w:r>
          </w:p>
        </w:tc>
        <w:tc>
          <w:tcPr>
            <w:tcW w:w="0" w:type="auto"/>
            <w:vAlign w:val="center"/>
          </w:tcPr>
          <w:p w14:paraId="655C2BC5">
            <w:pPr>
              <w:pStyle w:val="48"/>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53%</w:t>
            </w:r>
          </w:p>
        </w:tc>
        <w:tc>
          <w:tcPr>
            <w:tcW w:w="0" w:type="auto"/>
            <w:vAlign w:val="center"/>
          </w:tcPr>
          <w:p w14:paraId="630AF980">
            <w:pPr>
              <w:pStyle w:val="48"/>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150</w:t>
            </w:r>
            <w:r>
              <w:rPr>
                <w:rFonts w:hint="default" w:ascii="Times New Roman" w:hAnsi="Times New Roman" w:eastAsia="宋体" w:cs="Times New Roman"/>
                <w:color w:val="auto"/>
                <w:highlight w:val="none"/>
                <w:lang w:val="en-US" w:eastAsia="zh-CN"/>
              </w:rPr>
              <w:t>mg/L</w:t>
            </w:r>
          </w:p>
        </w:tc>
        <w:tc>
          <w:tcPr>
            <w:tcW w:w="0" w:type="auto"/>
            <w:vAlign w:val="center"/>
          </w:tcPr>
          <w:p w14:paraId="1BAEF12D">
            <w:pPr>
              <w:pStyle w:val="48"/>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0.1</w:t>
            </w:r>
            <w:r>
              <w:rPr>
                <w:rFonts w:hint="default" w:ascii="Times New Roman" w:hAnsi="Times New Roman" w:cs="Times New Roman"/>
                <w:color w:val="auto"/>
                <w:highlight w:val="none"/>
                <w:lang w:val="en-US" w:eastAsia="zh-CN"/>
              </w:rPr>
              <w:t>15</w:t>
            </w:r>
            <w:r>
              <w:rPr>
                <w:rFonts w:hint="eastAsia" w:ascii="Times New Roman" w:hAnsi="Times New Roman" w:cs="Times New Roman"/>
                <w:color w:val="auto"/>
                <w:highlight w:val="none"/>
                <w:lang w:val="en-US" w:eastAsia="zh-CN"/>
              </w:rPr>
              <w:t>t/a</w:t>
            </w:r>
          </w:p>
        </w:tc>
        <w:tc>
          <w:tcPr>
            <w:tcW w:w="0" w:type="auto"/>
            <w:vMerge w:val="restart"/>
            <w:vAlign w:val="center"/>
          </w:tcPr>
          <w:p w14:paraId="024DB238">
            <w:pPr>
              <w:pStyle w:val="48"/>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0" w:type="auto"/>
            <w:vMerge w:val="restart"/>
            <w:vAlign w:val="center"/>
          </w:tcPr>
          <w:p w14:paraId="7D3F03FC">
            <w:pPr>
              <w:pStyle w:val="48"/>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0" w:type="auto"/>
            <w:vAlign w:val="center"/>
          </w:tcPr>
          <w:p w14:paraId="03745CCC">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200mg/L</w:t>
            </w:r>
          </w:p>
        </w:tc>
        <w:tc>
          <w:tcPr>
            <w:tcW w:w="0" w:type="auto"/>
            <w:vMerge w:val="restart"/>
            <w:vAlign w:val="center"/>
          </w:tcPr>
          <w:p w14:paraId="31FC0A0A">
            <w:pPr>
              <w:pStyle w:val="48"/>
              <w:spacing w:beforeLines="0" w:afterLines="0" w:line="240" w:lineRule="auto"/>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《农村生活污水处理排放 标准》（DB654275</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2019</w:t>
            </w:r>
          </w:p>
          <w:p w14:paraId="490F28A9">
            <w:pPr>
              <w:pStyle w:val="48"/>
              <w:bidi w:val="0"/>
              <w:rPr>
                <w:rFonts w:hint="default" w:ascii="Times New Roman" w:hAnsi="Times New Roman" w:cs="Times New Roman"/>
                <w:color w:val="auto"/>
                <w:highlight w:val="none"/>
              </w:rPr>
            </w:pPr>
            <w:r>
              <w:rPr>
                <w:rFonts w:hint="default" w:ascii="Times New Roman" w:hAnsi="Times New Roman" w:cs="Times New Roman"/>
                <w:color w:val="auto"/>
                <w:sz w:val="24"/>
                <w:szCs w:val="24"/>
                <w:highlight w:val="none"/>
              </w:rPr>
              <w:t>表2中的C级标准要求</w:t>
            </w:r>
          </w:p>
        </w:tc>
      </w:tr>
      <w:tr w14:paraId="2EBF5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7AAD47D9">
            <w:pPr>
              <w:pStyle w:val="48"/>
              <w:bidi w:val="0"/>
              <w:rPr>
                <w:rFonts w:hint="default" w:ascii="Times New Roman" w:hAnsi="Times New Roman" w:cs="Times New Roman"/>
                <w:color w:val="auto"/>
                <w:highlight w:val="none"/>
              </w:rPr>
            </w:pPr>
          </w:p>
        </w:tc>
        <w:tc>
          <w:tcPr>
            <w:tcW w:w="0" w:type="auto"/>
            <w:vMerge w:val="continue"/>
            <w:vAlign w:val="center"/>
          </w:tcPr>
          <w:p w14:paraId="58AE4405">
            <w:pPr>
              <w:pStyle w:val="48"/>
              <w:bidi w:val="0"/>
              <w:rPr>
                <w:rFonts w:hint="default" w:ascii="Times New Roman" w:hAnsi="Times New Roman" w:cs="Times New Roman"/>
                <w:color w:val="auto"/>
                <w:highlight w:val="none"/>
              </w:rPr>
            </w:pPr>
          </w:p>
        </w:tc>
        <w:tc>
          <w:tcPr>
            <w:tcW w:w="0" w:type="auto"/>
            <w:vMerge w:val="continue"/>
            <w:vAlign w:val="center"/>
          </w:tcPr>
          <w:p w14:paraId="68EC2E50">
            <w:pPr>
              <w:pStyle w:val="48"/>
              <w:bidi w:val="0"/>
              <w:rPr>
                <w:rFonts w:hint="default" w:ascii="Times New Roman" w:hAnsi="Times New Roman" w:cs="Times New Roman"/>
                <w:color w:val="auto"/>
                <w:highlight w:val="none"/>
              </w:rPr>
            </w:pPr>
          </w:p>
        </w:tc>
        <w:tc>
          <w:tcPr>
            <w:tcW w:w="0" w:type="auto"/>
            <w:vAlign w:val="center"/>
          </w:tcPr>
          <w:p w14:paraId="50EF8770">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BOD</w:t>
            </w:r>
            <w:r>
              <w:rPr>
                <w:rFonts w:hint="default" w:ascii="Times New Roman" w:hAnsi="Times New Roman" w:cs="Times New Roman"/>
                <w:color w:val="auto"/>
                <w:highlight w:val="none"/>
                <w:vertAlign w:val="subscript"/>
              </w:rPr>
              <w:t>5</w:t>
            </w:r>
          </w:p>
        </w:tc>
        <w:tc>
          <w:tcPr>
            <w:tcW w:w="0" w:type="auto"/>
            <w:vAlign w:val="center"/>
          </w:tcPr>
          <w:p w14:paraId="1BA070F9">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220mg/L</w:t>
            </w:r>
          </w:p>
        </w:tc>
        <w:tc>
          <w:tcPr>
            <w:tcW w:w="0" w:type="auto"/>
            <w:vAlign w:val="center"/>
          </w:tcPr>
          <w:p w14:paraId="6C493BF5">
            <w:pPr>
              <w:pStyle w:val="48"/>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w:t>
            </w:r>
            <w:r>
              <w:rPr>
                <w:rFonts w:hint="default" w:ascii="Times New Roman" w:hAnsi="Times New Roman" w:cs="Times New Roman"/>
                <w:color w:val="auto"/>
                <w:highlight w:val="none"/>
                <w:lang w:val="en-US" w:eastAsia="zh-CN"/>
              </w:rPr>
              <w:t>169</w:t>
            </w:r>
            <w:r>
              <w:rPr>
                <w:rFonts w:hint="eastAsia" w:ascii="Times New Roman" w:hAnsi="Times New Roman" w:cs="Times New Roman"/>
                <w:color w:val="auto"/>
                <w:highlight w:val="none"/>
                <w:lang w:val="en-US" w:eastAsia="zh-CN"/>
              </w:rPr>
              <w:t>t/a</w:t>
            </w:r>
          </w:p>
        </w:tc>
        <w:tc>
          <w:tcPr>
            <w:tcW w:w="0" w:type="auto"/>
            <w:vMerge w:val="continue"/>
            <w:vAlign w:val="center"/>
          </w:tcPr>
          <w:p w14:paraId="4BD73389">
            <w:pPr>
              <w:pStyle w:val="48"/>
              <w:bidi w:val="0"/>
              <w:rPr>
                <w:rFonts w:hint="default" w:ascii="Times New Roman" w:hAnsi="Times New Roman" w:cs="Times New Roman"/>
                <w:color w:val="auto"/>
                <w:highlight w:val="none"/>
              </w:rPr>
            </w:pPr>
          </w:p>
        </w:tc>
        <w:tc>
          <w:tcPr>
            <w:tcW w:w="0" w:type="auto"/>
            <w:vAlign w:val="center"/>
          </w:tcPr>
          <w:p w14:paraId="63BE9CDD">
            <w:pPr>
              <w:pStyle w:val="48"/>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86%</w:t>
            </w:r>
          </w:p>
        </w:tc>
        <w:tc>
          <w:tcPr>
            <w:tcW w:w="0" w:type="auto"/>
            <w:vAlign w:val="center"/>
          </w:tcPr>
          <w:p w14:paraId="5FB620AA">
            <w:pPr>
              <w:pStyle w:val="48"/>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30mg/L</w:t>
            </w:r>
          </w:p>
        </w:tc>
        <w:tc>
          <w:tcPr>
            <w:tcW w:w="0" w:type="auto"/>
            <w:vAlign w:val="center"/>
          </w:tcPr>
          <w:p w14:paraId="7029C32B">
            <w:pPr>
              <w:pStyle w:val="48"/>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w:t>
            </w:r>
            <w:r>
              <w:rPr>
                <w:rFonts w:hint="default" w:ascii="Times New Roman" w:hAnsi="Times New Roman" w:cs="Times New Roman"/>
                <w:color w:val="auto"/>
                <w:highlight w:val="none"/>
                <w:lang w:val="en-US" w:eastAsia="zh-CN"/>
              </w:rPr>
              <w:t>23</w:t>
            </w:r>
            <w:r>
              <w:rPr>
                <w:rFonts w:hint="eastAsia" w:ascii="Times New Roman" w:hAnsi="Times New Roman" w:cs="Times New Roman"/>
                <w:color w:val="auto"/>
                <w:highlight w:val="none"/>
                <w:lang w:val="en-US" w:eastAsia="zh-CN"/>
              </w:rPr>
              <w:t>t/a</w:t>
            </w:r>
          </w:p>
        </w:tc>
        <w:tc>
          <w:tcPr>
            <w:tcW w:w="0" w:type="auto"/>
            <w:vMerge w:val="continue"/>
            <w:vAlign w:val="center"/>
          </w:tcPr>
          <w:p w14:paraId="1A238341">
            <w:pPr>
              <w:pStyle w:val="48"/>
              <w:bidi w:val="0"/>
              <w:rPr>
                <w:rFonts w:hint="default" w:ascii="Times New Roman" w:hAnsi="Times New Roman" w:cs="Times New Roman"/>
                <w:color w:val="auto"/>
                <w:highlight w:val="none"/>
              </w:rPr>
            </w:pPr>
          </w:p>
        </w:tc>
        <w:tc>
          <w:tcPr>
            <w:tcW w:w="0" w:type="auto"/>
            <w:vMerge w:val="continue"/>
            <w:vAlign w:val="center"/>
          </w:tcPr>
          <w:p w14:paraId="6DFDD8D1">
            <w:pPr>
              <w:pStyle w:val="48"/>
              <w:bidi w:val="0"/>
              <w:rPr>
                <w:rFonts w:hint="default" w:ascii="Times New Roman" w:hAnsi="Times New Roman" w:cs="Times New Roman"/>
                <w:color w:val="auto"/>
                <w:highlight w:val="none"/>
              </w:rPr>
            </w:pPr>
          </w:p>
        </w:tc>
        <w:tc>
          <w:tcPr>
            <w:tcW w:w="0" w:type="auto"/>
            <w:vAlign w:val="center"/>
          </w:tcPr>
          <w:p w14:paraId="12A7F8ED">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0" w:type="auto"/>
            <w:vMerge w:val="continue"/>
            <w:vAlign w:val="center"/>
          </w:tcPr>
          <w:p w14:paraId="3FE933C6">
            <w:pPr>
              <w:pStyle w:val="48"/>
              <w:bidi w:val="0"/>
              <w:rPr>
                <w:rFonts w:hint="default" w:ascii="Times New Roman" w:hAnsi="Times New Roman" w:cs="Times New Roman"/>
                <w:color w:val="auto"/>
                <w:highlight w:val="none"/>
              </w:rPr>
            </w:pPr>
          </w:p>
        </w:tc>
      </w:tr>
      <w:tr w14:paraId="6E1C5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6AEB9EDC">
            <w:pPr>
              <w:pStyle w:val="48"/>
              <w:bidi w:val="0"/>
              <w:rPr>
                <w:rFonts w:hint="default" w:ascii="Times New Roman" w:hAnsi="Times New Roman" w:cs="Times New Roman"/>
                <w:color w:val="auto"/>
                <w:highlight w:val="none"/>
              </w:rPr>
            </w:pPr>
          </w:p>
        </w:tc>
        <w:tc>
          <w:tcPr>
            <w:tcW w:w="0" w:type="auto"/>
            <w:vMerge w:val="continue"/>
            <w:vAlign w:val="center"/>
          </w:tcPr>
          <w:p w14:paraId="1FDB102F">
            <w:pPr>
              <w:pStyle w:val="48"/>
              <w:bidi w:val="0"/>
              <w:rPr>
                <w:rFonts w:hint="default" w:ascii="Times New Roman" w:hAnsi="Times New Roman" w:cs="Times New Roman"/>
                <w:color w:val="auto"/>
                <w:highlight w:val="none"/>
              </w:rPr>
            </w:pPr>
          </w:p>
        </w:tc>
        <w:tc>
          <w:tcPr>
            <w:tcW w:w="0" w:type="auto"/>
            <w:vMerge w:val="continue"/>
            <w:vAlign w:val="center"/>
          </w:tcPr>
          <w:p w14:paraId="486FEDF0">
            <w:pPr>
              <w:pStyle w:val="48"/>
              <w:bidi w:val="0"/>
              <w:rPr>
                <w:rFonts w:hint="default" w:ascii="Times New Roman" w:hAnsi="Times New Roman" w:cs="Times New Roman"/>
                <w:color w:val="auto"/>
                <w:highlight w:val="none"/>
              </w:rPr>
            </w:pPr>
          </w:p>
        </w:tc>
        <w:tc>
          <w:tcPr>
            <w:tcW w:w="0" w:type="auto"/>
            <w:vAlign w:val="center"/>
          </w:tcPr>
          <w:p w14:paraId="0D54739E">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SS</w:t>
            </w:r>
          </w:p>
        </w:tc>
        <w:tc>
          <w:tcPr>
            <w:tcW w:w="0" w:type="auto"/>
            <w:vAlign w:val="center"/>
          </w:tcPr>
          <w:p w14:paraId="07CC8122">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350mg/L</w:t>
            </w:r>
          </w:p>
        </w:tc>
        <w:tc>
          <w:tcPr>
            <w:tcW w:w="0" w:type="auto"/>
            <w:vAlign w:val="center"/>
          </w:tcPr>
          <w:p w14:paraId="01432666">
            <w:pPr>
              <w:pStyle w:val="48"/>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0.2</w:t>
            </w:r>
            <w:r>
              <w:rPr>
                <w:rFonts w:hint="default" w:ascii="Times New Roman" w:hAnsi="Times New Roman" w:cs="Times New Roman"/>
                <w:color w:val="auto"/>
                <w:highlight w:val="none"/>
                <w:lang w:val="en-US" w:eastAsia="zh-CN"/>
              </w:rPr>
              <w:t>69</w:t>
            </w:r>
            <w:r>
              <w:rPr>
                <w:rFonts w:hint="eastAsia" w:ascii="Times New Roman" w:hAnsi="Times New Roman" w:cs="Times New Roman"/>
                <w:color w:val="auto"/>
                <w:highlight w:val="none"/>
                <w:lang w:val="en-US" w:eastAsia="zh-CN"/>
              </w:rPr>
              <w:t>t/a</w:t>
            </w:r>
          </w:p>
        </w:tc>
        <w:tc>
          <w:tcPr>
            <w:tcW w:w="0" w:type="auto"/>
            <w:vMerge w:val="continue"/>
            <w:vAlign w:val="center"/>
          </w:tcPr>
          <w:p w14:paraId="59E0C184">
            <w:pPr>
              <w:pStyle w:val="48"/>
              <w:bidi w:val="0"/>
              <w:rPr>
                <w:rFonts w:hint="default" w:ascii="Times New Roman" w:hAnsi="Times New Roman" w:cs="Times New Roman"/>
                <w:color w:val="auto"/>
                <w:highlight w:val="none"/>
              </w:rPr>
            </w:pPr>
          </w:p>
        </w:tc>
        <w:tc>
          <w:tcPr>
            <w:tcW w:w="0" w:type="auto"/>
            <w:vAlign w:val="center"/>
          </w:tcPr>
          <w:p w14:paraId="2EC7FF44">
            <w:pPr>
              <w:pStyle w:val="48"/>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57%</w:t>
            </w:r>
          </w:p>
        </w:tc>
        <w:tc>
          <w:tcPr>
            <w:tcW w:w="0" w:type="auto"/>
            <w:vAlign w:val="center"/>
          </w:tcPr>
          <w:p w14:paraId="66A7C6CD">
            <w:pPr>
              <w:pStyle w:val="48"/>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r>
              <w:rPr>
                <w:rFonts w:hint="default" w:ascii="Times New Roman" w:hAnsi="Times New Roman" w:cs="Times New Roman"/>
                <w:color w:val="auto"/>
                <w:highlight w:val="none"/>
                <w:lang w:val="en-US" w:eastAsia="zh-CN"/>
              </w:rPr>
              <w:t>50</w:t>
            </w:r>
            <w:r>
              <w:rPr>
                <w:rFonts w:hint="default" w:ascii="Times New Roman" w:hAnsi="Times New Roman" w:eastAsia="宋体" w:cs="Times New Roman"/>
                <w:color w:val="auto"/>
                <w:highlight w:val="none"/>
                <w:lang w:val="en-US" w:eastAsia="zh-CN"/>
              </w:rPr>
              <w:t>mg/L</w:t>
            </w:r>
          </w:p>
        </w:tc>
        <w:tc>
          <w:tcPr>
            <w:tcW w:w="0" w:type="auto"/>
            <w:vAlign w:val="center"/>
          </w:tcPr>
          <w:p w14:paraId="3C66F686">
            <w:pPr>
              <w:pStyle w:val="48"/>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w:t>
            </w:r>
            <w:r>
              <w:rPr>
                <w:rFonts w:hint="default" w:ascii="Times New Roman" w:hAnsi="Times New Roman" w:cs="Times New Roman"/>
                <w:color w:val="auto"/>
                <w:highlight w:val="none"/>
                <w:lang w:val="en-US" w:eastAsia="zh-CN"/>
              </w:rPr>
              <w:t>115</w:t>
            </w:r>
          </w:p>
        </w:tc>
        <w:tc>
          <w:tcPr>
            <w:tcW w:w="0" w:type="auto"/>
            <w:vMerge w:val="continue"/>
            <w:vAlign w:val="center"/>
          </w:tcPr>
          <w:p w14:paraId="496745CB">
            <w:pPr>
              <w:pStyle w:val="48"/>
              <w:bidi w:val="0"/>
              <w:rPr>
                <w:rFonts w:hint="default" w:ascii="Times New Roman" w:hAnsi="Times New Roman" w:cs="Times New Roman"/>
                <w:color w:val="auto"/>
                <w:highlight w:val="none"/>
              </w:rPr>
            </w:pPr>
          </w:p>
        </w:tc>
        <w:tc>
          <w:tcPr>
            <w:tcW w:w="0" w:type="auto"/>
            <w:vMerge w:val="continue"/>
            <w:vAlign w:val="center"/>
          </w:tcPr>
          <w:p w14:paraId="630D1987">
            <w:pPr>
              <w:pStyle w:val="48"/>
              <w:bidi w:val="0"/>
              <w:rPr>
                <w:rFonts w:hint="default" w:ascii="Times New Roman" w:hAnsi="Times New Roman" w:cs="Times New Roman"/>
                <w:color w:val="auto"/>
                <w:highlight w:val="none"/>
              </w:rPr>
            </w:pPr>
          </w:p>
        </w:tc>
        <w:tc>
          <w:tcPr>
            <w:tcW w:w="0" w:type="auto"/>
            <w:vAlign w:val="center"/>
          </w:tcPr>
          <w:p w14:paraId="48DA6749">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100mg/L</w:t>
            </w:r>
          </w:p>
        </w:tc>
        <w:tc>
          <w:tcPr>
            <w:tcW w:w="0" w:type="auto"/>
            <w:vMerge w:val="continue"/>
            <w:vAlign w:val="center"/>
          </w:tcPr>
          <w:p w14:paraId="630F7436">
            <w:pPr>
              <w:pStyle w:val="48"/>
              <w:bidi w:val="0"/>
              <w:rPr>
                <w:rFonts w:hint="default" w:ascii="Times New Roman" w:hAnsi="Times New Roman" w:cs="Times New Roman"/>
                <w:color w:val="auto"/>
                <w:highlight w:val="none"/>
              </w:rPr>
            </w:pPr>
          </w:p>
        </w:tc>
      </w:tr>
      <w:tr w14:paraId="6B6D5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68843EDC">
            <w:pPr>
              <w:pStyle w:val="48"/>
              <w:bidi w:val="0"/>
              <w:rPr>
                <w:rFonts w:hint="default" w:ascii="Times New Roman" w:hAnsi="Times New Roman" w:cs="Times New Roman"/>
                <w:color w:val="auto"/>
                <w:highlight w:val="none"/>
              </w:rPr>
            </w:pPr>
          </w:p>
        </w:tc>
        <w:tc>
          <w:tcPr>
            <w:tcW w:w="0" w:type="auto"/>
            <w:vMerge w:val="continue"/>
            <w:vAlign w:val="center"/>
          </w:tcPr>
          <w:p w14:paraId="5A774A58">
            <w:pPr>
              <w:pStyle w:val="48"/>
              <w:bidi w:val="0"/>
              <w:rPr>
                <w:rFonts w:hint="default" w:ascii="Times New Roman" w:hAnsi="Times New Roman" w:cs="Times New Roman"/>
                <w:color w:val="auto"/>
                <w:highlight w:val="none"/>
              </w:rPr>
            </w:pPr>
          </w:p>
        </w:tc>
        <w:tc>
          <w:tcPr>
            <w:tcW w:w="0" w:type="auto"/>
            <w:vMerge w:val="continue"/>
            <w:vAlign w:val="center"/>
          </w:tcPr>
          <w:p w14:paraId="0E9A5857">
            <w:pPr>
              <w:pStyle w:val="48"/>
              <w:bidi w:val="0"/>
              <w:rPr>
                <w:rFonts w:hint="default" w:ascii="Times New Roman" w:hAnsi="Times New Roman" w:cs="Times New Roman"/>
                <w:color w:val="auto"/>
                <w:highlight w:val="none"/>
              </w:rPr>
            </w:pPr>
          </w:p>
        </w:tc>
        <w:tc>
          <w:tcPr>
            <w:tcW w:w="0" w:type="auto"/>
            <w:vAlign w:val="center"/>
          </w:tcPr>
          <w:p w14:paraId="0699CB1C">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NH3-N</w:t>
            </w:r>
          </w:p>
        </w:tc>
        <w:tc>
          <w:tcPr>
            <w:tcW w:w="0" w:type="auto"/>
            <w:vAlign w:val="center"/>
          </w:tcPr>
          <w:p w14:paraId="57746F62">
            <w:pPr>
              <w:pStyle w:val="48"/>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30mg/L</w:t>
            </w:r>
          </w:p>
        </w:tc>
        <w:tc>
          <w:tcPr>
            <w:tcW w:w="0" w:type="auto"/>
            <w:vAlign w:val="center"/>
          </w:tcPr>
          <w:p w14:paraId="516B5C53">
            <w:pPr>
              <w:pStyle w:val="48"/>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w:t>
            </w:r>
            <w:r>
              <w:rPr>
                <w:rFonts w:hint="default" w:ascii="Times New Roman" w:hAnsi="Times New Roman" w:cs="Times New Roman"/>
                <w:color w:val="auto"/>
                <w:highlight w:val="none"/>
                <w:lang w:val="en-US" w:eastAsia="zh-CN"/>
              </w:rPr>
              <w:t>23</w:t>
            </w:r>
            <w:r>
              <w:rPr>
                <w:rFonts w:hint="eastAsia" w:ascii="Times New Roman" w:hAnsi="Times New Roman" w:cs="Times New Roman"/>
                <w:color w:val="auto"/>
                <w:highlight w:val="none"/>
                <w:lang w:val="en-US" w:eastAsia="zh-CN"/>
              </w:rPr>
              <w:t>t/a</w:t>
            </w:r>
          </w:p>
        </w:tc>
        <w:tc>
          <w:tcPr>
            <w:tcW w:w="0" w:type="auto"/>
            <w:vMerge w:val="continue"/>
            <w:vAlign w:val="center"/>
          </w:tcPr>
          <w:p w14:paraId="498A5BAF">
            <w:pPr>
              <w:pStyle w:val="48"/>
              <w:bidi w:val="0"/>
              <w:rPr>
                <w:rFonts w:hint="default" w:ascii="Times New Roman" w:hAnsi="Times New Roman" w:cs="Times New Roman"/>
                <w:color w:val="auto"/>
                <w:highlight w:val="none"/>
              </w:rPr>
            </w:pPr>
          </w:p>
        </w:tc>
        <w:tc>
          <w:tcPr>
            <w:tcW w:w="0" w:type="auto"/>
            <w:vAlign w:val="center"/>
          </w:tcPr>
          <w:p w14:paraId="08990413">
            <w:pPr>
              <w:pStyle w:val="48"/>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17%</w:t>
            </w:r>
          </w:p>
        </w:tc>
        <w:tc>
          <w:tcPr>
            <w:tcW w:w="0" w:type="auto"/>
            <w:vAlign w:val="center"/>
          </w:tcPr>
          <w:p w14:paraId="666AC156">
            <w:pPr>
              <w:pStyle w:val="48"/>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25mg/L</w:t>
            </w:r>
          </w:p>
        </w:tc>
        <w:tc>
          <w:tcPr>
            <w:tcW w:w="0" w:type="auto"/>
            <w:vAlign w:val="center"/>
          </w:tcPr>
          <w:p w14:paraId="58B99727">
            <w:pPr>
              <w:pStyle w:val="48"/>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0.01</w:t>
            </w:r>
            <w:r>
              <w:rPr>
                <w:rFonts w:hint="default" w:ascii="Times New Roman" w:hAnsi="Times New Roman" w:cs="Times New Roman"/>
                <w:color w:val="auto"/>
                <w:highlight w:val="none"/>
                <w:lang w:val="en-US" w:eastAsia="zh-CN"/>
              </w:rPr>
              <w:t>9</w:t>
            </w:r>
            <w:r>
              <w:rPr>
                <w:rFonts w:hint="eastAsia" w:ascii="Times New Roman" w:hAnsi="Times New Roman" w:cs="Times New Roman"/>
                <w:color w:val="auto"/>
                <w:highlight w:val="none"/>
                <w:lang w:val="en-US" w:eastAsia="zh-CN"/>
              </w:rPr>
              <w:t>t/a</w:t>
            </w:r>
          </w:p>
        </w:tc>
        <w:tc>
          <w:tcPr>
            <w:tcW w:w="0" w:type="auto"/>
            <w:vMerge w:val="continue"/>
            <w:vAlign w:val="center"/>
          </w:tcPr>
          <w:p w14:paraId="09C85776">
            <w:pPr>
              <w:pStyle w:val="48"/>
              <w:bidi w:val="0"/>
              <w:rPr>
                <w:rFonts w:hint="default" w:ascii="Times New Roman" w:hAnsi="Times New Roman" w:cs="Times New Roman"/>
                <w:color w:val="auto"/>
                <w:highlight w:val="none"/>
              </w:rPr>
            </w:pPr>
          </w:p>
        </w:tc>
        <w:tc>
          <w:tcPr>
            <w:tcW w:w="0" w:type="auto"/>
            <w:vMerge w:val="continue"/>
            <w:vAlign w:val="center"/>
          </w:tcPr>
          <w:p w14:paraId="6DF7F0D4">
            <w:pPr>
              <w:pStyle w:val="48"/>
              <w:bidi w:val="0"/>
              <w:rPr>
                <w:rFonts w:hint="default" w:ascii="Times New Roman" w:hAnsi="Times New Roman" w:cs="Times New Roman"/>
                <w:color w:val="auto"/>
                <w:highlight w:val="none"/>
              </w:rPr>
            </w:pPr>
          </w:p>
        </w:tc>
        <w:tc>
          <w:tcPr>
            <w:tcW w:w="0" w:type="auto"/>
            <w:vAlign w:val="center"/>
          </w:tcPr>
          <w:p w14:paraId="1E0385F4">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0" w:type="auto"/>
            <w:vMerge w:val="continue"/>
            <w:vAlign w:val="center"/>
          </w:tcPr>
          <w:p w14:paraId="3BFF8C9E">
            <w:pPr>
              <w:pStyle w:val="48"/>
              <w:bidi w:val="0"/>
              <w:rPr>
                <w:rFonts w:hint="default" w:ascii="Times New Roman" w:hAnsi="Times New Roman" w:cs="Times New Roman"/>
                <w:color w:val="auto"/>
                <w:highlight w:val="none"/>
              </w:rPr>
            </w:pPr>
          </w:p>
        </w:tc>
      </w:tr>
      <w:tr w14:paraId="5A16E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5A26E6D">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噪声</w:t>
            </w:r>
          </w:p>
        </w:tc>
        <w:tc>
          <w:tcPr>
            <w:tcW w:w="0" w:type="auto"/>
            <w:vAlign w:val="center"/>
          </w:tcPr>
          <w:p w14:paraId="0CB2CE9A">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设</w:t>
            </w:r>
            <w:r>
              <w:rPr>
                <w:rFonts w:hint="default" w:ascii="Times New Roman" w:hAnsi="Times New Roman" w:cs="Times New Roman"/>
                <w:color w:val="auto"/>
                <w:highlight w:val="none"/>
              </w:rPr>
              <w:t>备噪 声</w:t>
            </w:r>
          </w:p>
        </w:tc>
        <w:tc>
          <w:tcPr>
            <w:tcW w:w="0" w:type="auto"/>
            <w:vAlign w:val="center"/>
          </w:tcPr>
          <w:p w14:paraId="26129EB1">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间断排放</w:t>
            </w:r>
          </w:p>
        </w:tc>
        <w:tc>
          <w:tcPr>
            <w:tcW w:w="0" w:type="auto"/>
            <w:vAlign w:val="center"/>
          </w:tcPr>
          <w:p w14:paraId="2CD05506">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噪声</w:t>
            </w:r>
          </w:p>
        </w:tc>
        <w:tc>
          <w:tcPr>
            <w:tcW w:w="0" w:type="auto"/>
            <w:vAlign w:val="center"/>
          </w:tcPr>
          <w:p w14:paraId="5E5681D9">
            <w:pPr>
              <w:pStyle w:val="48"/>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0" w:type="auto"/>
            <w:vAlign w:val="center"/>
          </w:tcPr>
          <w:p w14:paraId="5E38C6A8">
            <w:pPr>
              <w:pStyle w:val="48"/>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0" w:type="auto"/>
            <w:vAlign w:val="center"/>
          </w:tcPr>
          <w:p w14:paraId="01A88099">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采用隔声减震、合理布局、绿化等措施</w:t>
            </w:r>
          </w:p>
        </w:tc>
        <w:tc>
          <w:tcPr>
            <w:tcW w:w="956" w:type="dxa"/>
            <w:vAlign w:val="center"/>
          </w:tcPr>
          <w:p w14:paraId="6D74B2DD">
            <w:pPr>
              <w:pStyle w:val="48"/>
              <w:bidi w:val="0"/>
              <w:ind w:left="0" w:leftChars="0"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433" w:type="dxa"/>
            <w:vAlign w:val="center"/>
          </w:tcPr>
          <w:p w14:paraId="1C610DF2">
            <w:pPr>
              <w:pStyle w:val="48"/>
              <w:bidi w:val="0"/>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0" w:type="auto"/>
            <w:vAlign w:val="center"/>
          </w:tcPr>
          <w:p w14:paraId="5BECD81C">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0" w:type="auto"/>
            <w:vAlign w:val="center"/>
          </w:tcPr>
          <w:p w14:paraId="5F805D20">
            <w:pPr>
              <w:pStyle w:val="48"/>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0" w:type="auto"/>
            <w:vAlign w:val="center"/>
          </w:tcPr>
          <w:p w14:paraId="3C8D3260">
            <w:pPr>
              <w:pStyle w:val="48"/>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0" w:type="auto"/>
            <w:vAlign w:val="center"/>
          </w:tcPr>
          <w:p w14:paraId="7E64AE42">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昼间 60dB（A）；夜间50dB（A）</w:t>
            </w:r>
          </w:p>
        </w:tc>
        <w:tc>
          <w:tcPr>
            <w:tcW w:w="0" w:type="auto"/>
            <w:vAlign w:val="center"/>
          </w:tcPr>
          <w:p w14:paraId="7428F478">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《工业企业厂界噪声排放标准》（GB12348-2008）中的</w:t>
            </w:r>
          </w:p>
          <w:p w14:paraId="09364298">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 类标准</w:t>
            </w:r>
          </w:p>
        </w:tc>
      </w:tr>
      <w:tr w14:paraId="0A6A7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3F79E1F7">
            <w:pPr>
              <w:pStyle w:val="48"/>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固体废物</w:t>
            </w:r>
          </w:p>
        </w:tc>
        <w:tc>
          <w:tcPr>
            <w:tcW w:w="0" w:type="auto"/>
            <w:vAlign w:val="center"/>
          </w:tcPr>
          <w:p w14:paraId="3C7928E5">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生活垃圾</w:t>
            </w:r>
          </w:p>
        </w:tc>
        <w:tc>
          <w:tcPr>
            <w:tcW w:w="0" w:type="auto"/>
            <w:vAlign w:val="center"/>
          </w:tcPr>
          <w:p w14:paraId="240F6B42">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间断排放</w:t>
            </w:r>
          </w:p>
        </w:tc>
        <w:tc>
          <w:tcPr>
            <w:tcW w:w="0" w:type="auto"/>
            <w:vAlign w:val="center"/>
          </w:tcPr>
          <w:p w14:paraId="43C9CC09">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生活垃圾</w:t>
            </w:r>
          </w:p>
        </w:tc>
        <w:tc>
          <w:tcPr>
            <w:tcW w:w="0" w:type="auto"/>
            <w:vAlign w:val="center"/>
          </w:tcPr>
          <w:p w14:paraId="1AFC24F2">
            <w:pPr>
              <w:pStyle w:val="48"/>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0" w:type="auto"/>
            <w:vAlign w:val="center"/>
          </w:tcPr>
          <w:p w14:paraId="64482574">
            <w:pPr>
              <w:pStyle w:val="48"/>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0" w:type="auto"/>
            <w:vAlign w:val="center"/>
          </w:tcPr>
          <w:p w14:paraId="01ED6823">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集中收集至厂区内垃圾箱，定期拉运至阜康市生活垃圾填埋场</w:t>
            </w:r>
          </w:p>
        </w:tc>
        <w:tc>
          <w:tcPr>
            <w:tcW w:w="956" w:type="dxa"/>
            <w:vAlign w:val="center"/>
          </w:tcPr>
          <w:p w14:paraId="46C2DA24">
            <w:pPr>
              <w:pStyle w:val="48"/>
              <w:bidi w:val="0"/>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433" w:type="dxa"/>
            <w:vAlign w:val="center"/>
          </w:tcPr>
          <w:p w14:paraId="1C1588F8">
            <w:pPr>
              <w:pStyle w:val="48"/>
              <w:bidi w:val="0"/>
              <w:ind w:left="0" w:leftChars="0" w:firstLine="0" w:firstLineChars="0"/>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eastAsia="zh-CN"/>
              </w:rPr>
              <w:t>/</w:t>
            </w:r>
          </w:p>
        </w:tc>
        <w:tc>
          <w:tcPr>
            <w:tcW w:w="0" w:type="auto"/>
            <w:vAlign w:val="center"/>
          </w:tcPr>
          <w:p w14:paraId="6EE49E59">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9.6</w:t>
            </w:r>
            <w:r>
              <w:rPr>
                <w:rFonts w:hint="default" w:ascii="Times New Roman" w:hAnsi="Times New Roman" w:cs="Times New Roman"/>
                <w:color w:val="auto"/>
                <w:highlight w:val="none"/>
                <w:lang w:val="en-US" w:eastAsia="zh-CN"/>
              </w:rPr>
              <w:t>t/a</w:t>
            </w:r>
          </w:p>
        </w:tc>
        <w:tc>
          <w:tcPr>
            <w:tcW w:w="0" w:type="auto"/>
            <w:vAlign w:val="center"/>
          </w:tcPr>
          <w:p w14:paraId="4F3F36CD">
            <w:pPr>
              <w:pStyle w:val="48"/>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0" w:type="auto"/>
            <w:vAlign w:val="center"/>
          </w:tcPr>
          <w:p w14:paraId="136CB03D">
            <w:pPr>
              <w:pStyle w:val="48"/>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0" w:type="auto"/>
            <w:vMerge w:val="restart"/>
            <w:vAlign w:val="center"/>
          </w:tcPr>
          <w:p w14:paraId="30A6BDCB">
            <w:pPr>
              <w:pStyle w:val="48"/>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合理处置</w:t>
            </w:r>
          </w:p>
        </w:tc>
        <w:tc>
          <w:tcPr>
            <w:tcW w:w="0" w:type="auto"/>
            <w:vAlign w:val="center"/>
          </w:tcPr>
          <w:p w14:paraId="2A436F40">
            <w:pPr>
              <w:pStyle w:val="48"/>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w:t>
            </w:r>
          </w:p>
        </w:tc>
      </w:tr>
      <w:tr w14:paraId="47E61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1AF750F2">
            <w:pPr>
              <w:pStyle w:val="48"/>
              <w:bidi w:val="0"/>
              <w:rPr>
                <w:rFonts w:hint="default" w:ascii="Times New Roman" w:hAnsi="Times New Roman" w:cs="Times New Roman"/>
                <w:color w:val="auto"/>
                <w:highlight w:val="none"/>
              </w:rPr>
            </w:pPr>
          </w:p>
        </w:tc>
        <w:tc>
          <w:tcPr>
            <w:tcW w:w="0" w:type="auto"/>
            <w:vAlign w:val="center"/>
          </w:tcPr>
          <w:p w14:paraId="0E0B6276">
            <w:pPr>
              <w:pStyle w:val="48"/>
              <w:bidi w:val="0"/>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筛分废料</w:t>
            </w:r>
          </w:p>
        </w:tc>
        <w:tc>
          <w:tcPr>
            <w:tcW w:w="0" w:type="auto"/>
            <w:vAlign w:val="center"/>
          </w:tcPr>
          <w:p w14:paraId="743B6C97">
            <w:pPr>
              <w:pStyle w:val="48"/>
              <w:bidi w:val="0"/>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不外排</w:t>
            </w:r>
          </w:p>
        </w:tc>
        <w:tc>
          <w:tcPr>
            <w:tcW w:w="0" w:type="auto"/>
            <w:vAlign w:val="center"/>
          </w:tcPr>
          <w:p w14:paraId="6B6740E0">
            <w:pPr>
              <w:pStyle w:val="48"/>
              <w:bidi w:val="0"/>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筛分废料</w:t>
            </w:r>
          </w:p>
        </w:tc>
        <w:tc>
          <w:tcPr>
            <w:tcW w:w="0" w:type="auto"/>
            <w:vAlign w:val="center"/>
          </w:tcPr>
          <w:p w14:paraId="03E84DC3">
            <w:pPr>
              <w:pStyle w:val="48"/>
              <w:bidi w:val="0"/>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0" w:type="auto"/>
            <w:vAlign w:val="center"/>
          </w:tcPr>
          <w:p w14:paraId="3DD9098B">
            <w:pPr>
              <w:pStyle w:val="48"/>
              <w:bidi w:val="0"/>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0" w:type="auto"/>
            <w:vAlign w:val="center"/>
          </w:tcPr>
          <w:p w14:paraId="0CDF58AA">
            <w:pPr>
              <w:pStyle w:val="48"/>
              <w:bidi w:val="0"/>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堆存至废料堆场，后期回填采坑</w:t>
            </w:r>
          </w:p>
        </w:tc>
        <w:tc>
          <w:tcPr>
            <w:tcW w:w="956" w:type="dxa"/>
            <w:vAlign w:val="center"/>
          </w:tcPr>
          <w:p w14:paraId="4AC8EEE9">
            <w:pPr>
              <w:pStyle w:val="48"/>
              <w:bidi w:val="0"/>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433" w:type="dxa"/>
            <w:vAlign w:val="center"/>
          </w:tcPr>
          <w:p w14:paraId="52410B61">
            <w:pPr>
              <w:pStyle w:val="48"/>
              <w:bidi w:val="0"/>
              <w:ind w:left="0" w:leftChars="0" w:firstLine="0" w:firstLineChars="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val="en-US" w:eastAsia="zh-CN"/>
              </w:rPr>
              <w:t>/</w:t>
            </w:r>
          </w:p>
        </w:tc>
        <w:tc>
          <w:tcPr>
            <w:tcW w:w="0" w:type="auto"/>
            <w:vAlign w:val="center"/>
          </w:tcPr>
          <w:p w14:paraId="19E994F4">
            <w:pPr>
              <w:pStyle w:val="48"/>
              <w:bidi w:val="0"/>
              <w:ind w:firstLine="0" w:firstLineChars="0"/>
              <w:rPr>
                <w:rFonts w:hint="default" w:ascii="Times New Roman" w:hAnsi="Times New Roman" w:cs="Times New Roman"/>
                <w:color w:val="auto"/>
                <w:highlight w:val="none"/>
                <w:lang w:eastAsia="zh-CN"/>
              </w:rPr>
            </w:pPr>
            <w:r>
              <w:rPr>
                <w:rFonts w:hint="default" w:ascii="Times New Roman" w:hAnsi="Times New Roman" w:cs="Times New Roman"/>
                <w:color w:val="auto"/>
                <w:sz w:val="24"/>
                <w:szCs w:val="24"/>
                <w:highlight w:val="none"/>
                <w:lang w:val="en-US" w:eastAsia="zh-CN"/>
              </w:rPr>
              <w:t>46万t</w:t>
            </w:r>
          </w:p>
        </w:tc>
        <w:tc>
          <w:tcPr>
            <w:tcW w:w="0" w:type="auto"/>
            <w:vAlign w:val="center"/>
          </w:tcPr>
          <w:p w14:paraId="526BF919">
            <w:pPr>
              <w:pStyle w:val="48"/>
              <w:bidi w:val="0"/>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0" w:type="auto"/>
            <w:vAlign w:val="center"/>
          </w:tcPr>
          <w:p w14:paraId="5891DD4A">
            <w:pPr>
              <w:pStyle w:val="48"/>
              <w:bidi w:val="0"/>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0" w:type="auto"/>
            <w:vMerge w:val="continue"/>
            <w:vAlign w:val="center"/>
          </w:tcPr>
          <w:p w14:paraId="67F52A97">
            <w:pPr>
              <w:pStyle w:val="48"/>
              <w:bidi w:val="0"/>
              <w:rPr>
                <w:rFonts w:hint="default" w:ascii="Times New Roman" w:hAnsi="Times New Roman" w:cs="Times New Roman"/>
                <w:color w:val="auto"/>
                <w:highlight w:val="none"/>
              </w:rPr>
            </w:pPr>
          </w:p>
        </w:tc>
        <w:tc>
          <w:tcPr>
            <w:tcW w:w="0" w:type="auto"/>
            <w:vMerge w:val="restart"/>
            <w:vAlign w:val="center"/>
          </w:tcPr>
          <w:p w14:paraId="64552A21">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《一般工业固体废物贮存和填埋污染控制标准》(GB18599-2020)</w:t>
            </w:r>
          </w:p>
        </w:tc>
      </w:tr>
      <w:tr w14:paraId="33934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74F1B8C3">
            <w:pPr>
              <w:pStyle w:val="48"/>
              <w:bidi w:val="0"/>
              <w:rPr>
                <w:rFonts w:hint="default" w:ascii="Times New Roman" w:hAnsi="Times New Roman" w:cs="Times New Roman"/>
                <w:color w:val="auto"/>
                <w:highlight w:val="none"/>
              </w:rPr>
            </w:pPr>
          </w:p>
        </w:tc>
        <w:tc>
          <w:tcPr>
            <w:tcW w:w="0" w:type="auto"/>
            <w:vAlign w:val="center"/>
          </w:tcPr>
          <w:p w14:paraId="09774646">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剥离表 土</w:t>
            </w:r>
          </w:p>
        </w:tc>
        <w:tc>
          <w:tcPr>
            <w:tcW w:w="0" w:type="auto"/>
            <w:vAlign w:val="center"/>
          </w:tcPr>
          <w:p w14:paraId="04E52A54">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不外排</w:t>
            </w:r>
          </w:p>
        </w:tc>
        <w:tc>
          <w:tcPr>
            <w:tcW w:w="0" w:type="auto"/>
            <w:vAlign w:val="center"/>
          </w:tcPr>
          <w:p w14:paraId="0E77D3ED">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剥离表土</w:t>
            </w:r>
          </w:p>
        </w:tc>
        <w:tc>
          <w:tcPr>
            <w:tcW w:w="0" w:type="auto"/>
            <w:vAlign w:val="center"/>
          </w:tcPr>
          <w:p w14:paraId="38384555">
            <w:pPr>
              <w:pStyle w:val="48"/>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0" w:type="auto"/>
            <w:vAlign w:val="center"/>
          </w:tcPr>
          <w:p w14:paraId="4AB36C4E">
            <w:pPr>
              <w:pStyle w:val="48"/>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0" w:type="auto"/>
            <w:vAlign w:val="center"/>
          </w:tcPr>
          <w:p w14:paraId="56D840A5">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堆存至表土堆场，洒水降尘</w:t>
            </w:r>
          </w:p>
        </w:tc>
        <w:tc>
          <w:tcPr>
            <w:tcW w:w="956" w:type="dxa"/>
            <w:vAlign w:val="center"/>
          </w:tcPr>
          <w:p w14:paraId="750493D4">
            <w:pPr>
              <w:pStyle w:val="48"/>
              <w:bidi w:val="0"/>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1433" w:type="dxa"/>
            <w:vAlign w:val="center"/>
          </w:tcPr>
          <w:p w14:paraId="04A5DD1A">
            <w:pPr>
              <w:pStyle w:val="48"/>
              <w:bidi w:val="0"/>
              <w:ind w:left="0" w:leftChars="0"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0" w:type="auto"/>
            <w:vAlign w:val="center"/>
          </w:tcPr>
          <w:p w14:paraId="14CBCD5D">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15.52万t</w:t>
            </w:r>
          </w:p>
        </w:tc>
        <w:tc>
          <w:tcPr>
            <w:tcW w:w="0" w:type="auto"/>
            <w:vAlign w:val="center"/>
          </w:tcPr>
          <w:p w14:paraId="361F5EE9">
            <w:pPr>
              <w:pStyle w:val="48"/>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0" w:type="auto"/>
            <w:vAlign w:val="center"/>
          </w:tcPr>
          <w:p w14:paraId="2892344B">
            <w:pPr>
              <w:pStyle w:val="48"/>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0" w:type="auto"/>
            <w:vMerge w:val="continue"/>
            <w:vAlign w:val="center"/>
          </w:tcPr>
          <w:p w14:paraId="335B6716">
            <w:pPr>
              <w:pStyle w:val="48"/>
              <w:bidi w:val="0"/>
              <w:rPr>
                <w:rFonts w:hint="default" w:ascii="Times New Roman" w:hAnsi="Times New Roman" w:cs="Times New Roman"/>
                <w:color w:val="auto"/>
                <w:highlight w:val="none"/>
              </w:rPr>
            </w:pPr>
          </w:p>
        </w:tc>
        <w:tc>
          <w:tcPr>
            <w:tcW w:w="0" w:type="auto"/>
            <w:vMerge w:val="continue"/>
            <w:vAlign w:val="center"/>
          </w:tcPr>
          <w:p w14:paraId="4E291581">
            <w:pPr>
              <w:pStyle w:val="48"/>
              <w:bidi w:val="0"/>
              <w:rPr>
                <w:rFonts w:hint="default" w:ascii="Times New Roman" w:hAnsi="Times New Roman" w:cs="Times New Roman"/>
                <w:color w:val="auto"/>
                <w:highlight w:val="none"/>
              </w:rPr>
            </w:pPr>
          </w:p>
        </w:tc>
      </w:tr>
      <w:tr w14:paraId="6C7CF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595C40C1">
            <w:pPr>
              <w:pStyle w:val="48"/>
              <w:bidi w:val="0"/>
              <w:rPr>
                <w:rFonts w:hint="default" w:ascii="Times New Roman" w:hAnsi="Times New Roman" w:cs="Times New Roman"/>
                <w:color w:val="auto"/>
                <w:highlight w:val="none"/>
              </w:rPr>
            </w:pPr>
          </w:p>
        </w:tc>
        <w:tc>
          <w:tcPr>
            <w:tcW w:w="0" w:type="auto"/>
            <w:vAlign w:val="center"/>
          </w:tcPr>
          <w:p w14:paraId="6F1E2CB3">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沉淀池</w:t>
            </w:r>
          </w:p>
        </w:tc>
        <w:tc>
          <w:tcPr>
            <w:tcW w:w="0" w:type="auto"/>
            <w:vAlign w:val="center"/>
          </w:tcPr>
          <w:p w14:paraId="6481F012">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不外排</w:t>
            </w:r>
          </w:p>
        </w:tc>
        <w:tc>
          <w:tcPr>
            <w:tcW w:w="0" w:type="auto"/>
            <w:vAlign w:val="center"/>
          </w:tcPr>
          <w:p w14:paraId="7FAC38A3">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沉渣</w:t>
            </w:r>
          </w:p>
        </w:tc>
        <w:tc>
          <w:tcPr>
            <w:tcW w:w="0" w:type="auto"/>
            <w:vAlign w:val="center"/>
          </w:tcPr>
          <w:p w14:paraId="06085F22">
            <w:pPr>
              <w:pStyle w:val="48"/>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0" w:type="auto"/>
            <w:vAlign w:val="center"/>
          </w:tcPr>
          <w:p w14:paraId="7670973B">
            <w:pPr>
              <w:pStyle w:val="48"/>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0" w:type="auto"/>
            <w:vAlign w:val="center"/>
          </w:tcPr>
          <w:p w14:paraId="67F8872D">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定期清运至废料堆场</w:t>
            </w:r>
          </w:p>
        </w:tc>
        <w:tc>
          <w:tcPr>
            <w:tcW w:w="956" w:type="dxa"/>
            <w:vAlign w:val="center"/>
          </w:tcPr>
          <w:p w14:paraId="6B7FF11F">
            <w:pPr>
              <w:pStyle w:val="48"/>
              <w:bidi w:val="0"/>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1433" w:type="dxa"/>
            <w:vAlign w:val="center"/>
          </w:tcPr>
          <w:p w14:paraId="14688E77">
            <w:pPr>
              <w:pStyle w:val="48"/>
              <w:bidi w:val="0"/>
              <w:ind w:left="0" w:leftChars="0" w:firstLine="0" w:firstLineChars="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val="en-US" w:eastAsia="zh-CN"/>
              </w:rPr>
              <w:t>/</w:t>
            </w:r>
          </w:p>
        </w:tc>
        <w:tc>
          <w:tcPr>
            <w:tcW w:w="0" w:type="auto"/>
            <w:vAlign w:val="center"/>
          </w:tcPr>
          <w:p w14:paraId="020F8234">
            <w:pPr>
              <w:pStyle w:val="48"/>
              <w:bidi w:val="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val="en-US" w:eastAsia="zh-CN"/>
              </w:rPr>
              <w:t>4</w:t>
            </w:r>
            <w:r>
              <w:rPr>
                <w:rFonts w:hint="eastAsia" w:ascii="Times New Roman" w:hAnsi="Times New Roman" w:cs="Times New Roman"/>
                <w:color w:val="auto"/>
                <w:highlight w:val="none"/>
                <w:lang w:val="en-US" w:eastAsia="zh-CN"/>
              </w:rPr>
              <w:t>t/a</w:t>
            </w:r>
          </w:p>
        </w:tc>
        <w:tc>
          <w:tcPr>
            <w:tcW w:w="0" w:type="auto"/>
            <w:vAlign w:val="center"/>
          </w:tcPr>
          <w:p w14:paraId="2419A1ED">
            <w:pPr>
              <w:pStyle w:val="48"/>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0" w:type="auto"/>
            <w:vAlign w:val="center"/>
          </w:tcPr>
          <w:p w14:paraId="4C10EB4E">
            <w:pPr>
              <w:pStyle w:val="48"/>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0" w:type="auto"/>
            <w:vMerge w:val="continue"/>
            <w:vAlign w:val="center"/>
          </w:tcPr>
          <w:p w14:paraId="6BE204F6">
            <w:pPr>
              <w:pStyle w:val="48"/>
              <w:bidi w:val="0"/>
              <w:rPr>
                <w:rFonts w:hint="default" w:ascii="Times New Roman" w:hAnsi="Times New Roman" w:cs="Times New Roman"/>
                <w:color w:val="auto"/>
                <w:highlight w:val="none"/>
              </w:rPr>
            </w:pPr>
          </w:p>
        </w:tc>
        <w:tc>
          <w:tcPr>
            <w:tcW w:w="0" w:type="auto"/>
            <w:vMerge w:val="continue"/>
            <w:vAlign w:val="center"/>
          </w:tcPr>
          <w:p w14:paraId="7AB63595">
            <w:pPr>
              <w:pStyle w:val="48"/>
              <w:bidi w:val="0"/>
              <w:rPr>
                <w:rFonts w:hint="default" w:ascii="Times New Roman" w:hAnsi="Times New Roman" w:cs="Times New Roman"/>
                <w:color w:val="auto"/>
                <w:highlight w:val="none"/>
              </w:rPr>
            </w:pPr>
          </w:p>
        </w:tc>
      </w:tr>
      <w:tr w14:paraId="41D27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2A17023F">
            <w:pPr>
              <w:pStyle w:val="48"/>
              <w:bidi w:val="0"/>
              <w:rPr>
                <w:rFonts w:hint="default" w:ascii="Times New Roman" w:hAnsi="Times New Roman" w:cs="Times New Roman"/>
                <w:color w:val="auto"/>
                <w:highlight w:val="none"/>
              </w:rPr>
            </w:pPr>
          </w:p>
        </w:tc>
        <w:tc>
          <w:tcPr>
            <w:tcW w:w="0" w:type="auto"/>
            <w:vAlign w:val="center"/>
          </w:tcPr>
          <w:p w14:paraId="487A9EF2">
            <w:pPr>
              <w:pStyle w:val="48"/>
              <w:bidi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设备</w:t>
            </w:r>
            <w:r>
              <w:rPr>
                <w:rFonts w:hint="default" w:ascii="Times New Roman" w:hAnsi="Times New Roman" w:cs="Times New Roman"/>
                <w:color w:val="auto"/>
                <w:highlight w:val="none"/>
                <w:lang w:val="en-US" w:eastAsia="zh-CN"/>
              </w:rPr>
              <w:t>机修</w:t>
            </w:r>
          </w:p>
        </w:tc>
        <w:tc>
          <w:tcPr>
            <w:tcW w:w="0" w:type="auto"/>
            <w:vAlign w:val="center"/>
          </w:tcPr>
          <w:p w14:paraId="0198F046">
            <w:pPr>
              <w:pStyle w:val="48"/>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不外排</w:t>
            </w:r>
          </w:p>
        </w:tc>
        <w:tc>
          <w:tcPr>
            <w:tcW w:w="0" w:type="auto"/>
            <w:vAlign w:val="center"/>
          </w:tcPr>
          <w:p w14:paraId="607D70BA">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废矿物油及包装桶</w:t>
            </w:r>
          </w:p>
        </w:tc>
        <w:tc>
          <w:tcPr>
            <w:tcW w:w="0" w:type="auto"/>
            <w:vAlign w:val="center"/>
          </w:tcPr>
          <w:p w14:paraId="3CE25F2C">
            <w:pPr>
              <w:pStyle w:val="48"/>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0" w:type="auto"/>
            <w:vAlign w:val="center"/>
          </w:tcPr>
          <w:p w14:paraId="4E32ADAB">
            <w:pPr>
              <w:pStyle w:val="48"/>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0" w:type="auto"/>
            <w:vAlign w:val="center"/>
          </w:tcPr>
          <w:p w14:paraId="00D4F69C">
            <w:pPr>
              <w:pStyle w:val="48"/>
              <w:bidi w:val="0"/>
              <w:jc w:val="both"/>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危废贮存点暂存</w:t>
            </w:r>
          </w:p>
        </w:tc>
        <w:tc>
          <w:tcPr>
            <w:tcW w:w="956" w:type="dxa"/>
            <w:vAlign w:val="center"/>
          </w:tcPr>
          <w:p w14:paraId="3075B8F3">
            <w:pPr>
              <w:pStyle w:val="48"/>
              <w:bidi w:val="0"/>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1433" w:type="dxa"/>
            <w:vAlign w:val="center"/>
          </w:tcPr>
          <w:p w14:paraId="0B45B55A">
            <w:pPr>
              <w:pStyle w:val="48"/>
              <w:bidi w:val="0"/>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0" w:type="auto"/>
            <w:vAlign w:val="center"/>
          </w:tcPr>
          <w:p w14:paraId="58F91D19">
            <w:pPr>
              <w:pStyle w:val="4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0.5t</w:t>
            </w:r>
          </w:p>
          <w:p w14:paraId="459F366C">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/a</w:t>
            </w:r>
          </w:p>
        </w:tc>
        <w:tc>
          <w:tcPr>
            <w:tcW w:w="0" w:type="auto"/>
            <w:vAlign w:val="center"/>
          </w:tcPr>
          <w:p w14:paraId="63C1FACD">
            <w:pPr>
              <w:pStyle w:val="48"/>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0" w:type="auto"/>
            <w:vAlign w:val="center"/>
          </w:tcPr>
          <w:p w14:paraId="33923E46">
            <w:pPr>
              <w:pStyle w:val="48"/>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0" w:type="auto"/>
            <w:vAlign w:val="center"/>
          </w:tcPr>
          <w:p w14:paraId="796FE8FB">
            <w:pPr>
              <w:pStyle w:val="48"/>
              <w:bidi w:val="0"/>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eastAsia="zh-CN"/>
              </w:rPr>
              <w:t>危废贮存点暂存，委托有资质单位进行处置</w:t>
            </w:r>
          </w:p>
        </w:tc>
        <w:tc>
          <w:tcPr>
            <w:tcW w:w="0" w:type="auto"/>
            <w:vAlign w:val="center"/>
          </w:tcPr>
          <w:p w14:paraId="752D3818">
            <w:pPr>
              <w:pStyle w:val="48"/>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《危险废物贮存污染控制标准》（GB18597-2023）</w:t>
            </w:r>
          </w:p>
        </w:tc>
      </w:tr>
      <w:tr w14:paraId="648C3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6C0BC68">
            <w:pPr>
              <w:pStyle w:val="48"/>
              <w:bidi w:val="0"/>
              <w:rPr>
                <w:rFonts w:hint="eastAsia" w:ascii="Times New Roman" w:hAnsi="Times New Roman" w:eastAsia="宋体" w:cs="Times New Roman"/>
                <w:color w:val="00B050"/>
                <w:highlight w:val="none"/>
                <w:lang w:val="en-US" w:eastAsia="zh-CN"/>
              </w:rPr>
            </w:pPr>
            <w:r>
              <w:rPr>
                <w:rFonts w:hint="eastAsia" w:ascii="Times New Roman" w:hAnsi="Times New Roman" w:cs="Times New Roman"/>
                <w:color w:val="00B050"/>
                <w:highlight w:val="none"/>
                <w:lang w:val="en-US" w:eastAsia="zh-CN"/>
              </w:rPr>
              <w:t>环境风险</w:t>
            </w:r>
          </w:p>
        </w:tc>
        <w:tc>
          <w:tcPr>
            <w:tcW w:w="15198" w:type="dxa"/>
            <w:gridSpan w:val="13"/>
            <w:vAlign w:val="center"/>
          </w:tcPr>
          <w:p w14:paraId="286E4A9C">
            <w:pPr>
              <w:keepNext w:val="0"/>
              <w:keepLines w:val="0"/>
              <w:pageBreakBefore w:val="0"/>
              <w:widowControl w:val="0"/>
              <w:kinsoku/>
              <w:wordWrap/>
              <w:overflowPunct/>
              <w:topLinePunct w:val="0"/>
              <w:bidi w:val="0"/>
              <w:adjustRightInd/>
              <w:snapToGrid/>
              <w:spacing w:line="300" w:lineRule="exact"/>
              <w:textAlignment w:val="auto"/>
              <w:rPr>
                <w:rFonts w:hint="default" w:ascii="Times New Roman" w:hAnsi="Times New Roman" w:cs="Times New Roman"/>
                <w:color w:val="00B050"/>
                <w:highlight w:val="none"/>
                <w:lang w:eastAsia="zh-CN"/>
              </w:rPr>
            </w:pPr>
            <w:r>
              <w:rPr>
                <w:rFonts w:hint="eastAsia" w:ascii="Times New Roman" w:hAnsi="Times New Roman" w:eastAsia="宋体" w:cs="Times New Roman"/>
                <w:color w:val="auto"/>
                <w:highlight w:val="none"/>
                <w:lang w:val="en-US" w:eastAsia="zh-CN"/>
              </w:rPr>
              <w:t>严格落实《报告表》提出的各项环境风险防范措施。</w:t>
            </w:r>
            <w:r>
              <w:rPr>
                <w:rFonts w:hint="default" w:ascii="Times New Roman" w:hAnsi="Times New Roman" w:eastAsia="宋体" w:cs="Times New Roman"/>
                <w:color w:val="auto"/>
                <w:highlight w:val="none"/>
                <w:lang w:val="en-US" w:eastAsia="zh-CN"/>
              </w:rPr>
              <w:t>选用合适的储存容器和设施储存</w:t>
            </w:r>
            <w:r>
              <w:rPr>
                <w:rFonts w:hint="eastAsia" w:ascii="Times New Roman" w:hAnsi="Times New Roman" w:eastAsia="宋体" w:cs="Times New Roman"/>
                <w:color w:val="auto"/>
                <w:highlight w:val="none"/>
                <w:lang w:val="en-US" w:eastAsia="zh-CN"/>
              </w:rPr>
              <w:t>废矿物油</w:t>
            </w:r>
            <w:r>
              <w:rPr>
                <w:rFonts w:hint="default" w:ascii="Times New Roman" w:hAnsi="Times New Roman" w:eastAsia="宋体" w:cs="Times New Roman"/>
                <w:color w:val="auto"/>
                <w:highlight w:val="none"/>
                <w:lang w:val="en-US" w:eastAsia="zh-CN"/>
              </w:rPr>
              <w:t>；定期检查</w:t>
            </w:r>
            <w:r>
              <w:rPr>
                <w:rFonts w:hint="eastAsia" w:ascii="Times New Roman" w:hAnsi="Times New Roman" w:eastAsia="宋体" w:cs="Times New Roman"/>
                <w:color w:val="auto"/>
                <w:highlight w:val="none"/>
                <w:lang w:val="en-US" w:eastAsia="zh-CN"/>
              </w:rPr>
              <w:t>烘干</w:t>
            </w:r>
            <w:r>
              <w:rPr>
                <w:rFonts w:hint="default" w:ascii="Times New Roman" w:hAnsi="Times New Roman" w:eastAsia="宋体" w:cs="Times New Roman"/>
                <w:color w:val="auto"/>
                <w:highlight w:val="none"/>
                <w:lang w:val="en-US" w:eastAsia="zh-CN"/>
              </w:rPr>
              <w:t>系统；维护热风循环系统，确保其密封性良好，无泄漏现象；开采境界外</w:t>
            </w:r>
            <w:r>
              <w:rPr>
                <w:rFonts w:hint="eastAsia" w:ascii="Times New Roman" w:hAnsi="Times New Roman" w:eastAsia="宋体" w:cs="Times New Roman"/>
                <w:color w:val="auto"/>
                <w:highlight w:val="none"/>
                <w:lang w:val="en-US" w:eastAsia="zh-CN"/>
              </w:rPr>
              <w:t>、堆场周边</w:t>
            </w:r>
            <w:r>
              <w:rPr>
                <w:rFonts w:hint="default" w:ascii="Times New Roman" w:hAnsi="Times New Roman" w:eastAsia="宋体" w:cs="Times New Roman"/>
                <w:color w:val="auto"/>
                <w:highlight w:val="none"/>
                <w:lang w:val="en-US" w:eastAsia="zh-CN"/>
              </w:rPr>
              <w:t>修建截水沟；定期或不定期对废料堆场的截排水沟进行检查，确保废料堆场安全运行；项目矿区运营期满后，废料堆场暂存废料需全部用于采坑回填，并对废料堆场地进行平整、覆土和生态恢复。</w:t>
            </w:r>
            <w:r>
              <w:rPr>
                <w:rFonts w:hint="eastAsia" w:ascii="Times New Roman" w:hAnsi="Times New Roman" w:eastAsia="宋体" w:cs="Times New Roman"/>
                <w:color w:val="auto"/>
                <w:highlight w:val="none"/>
                <w:lang w:val="en-US" w:eastAsia="zh-CN"/>
              </w:rPr>
              <w:t>合理布局危废贮存点，全面防渗，配备必要的安全设施，加强设备检查，加强对员工安全培训。做好环境应急预案编制、评估和备案等工作，并加强应急演练。</w:t>
            </w:r>
          </w:p>
        </w:tc>
      </w:tr>
    </w:tbl>
    <w:p w14:paraId="4200ADDC">
      <w:pPr>
        <w:pStyle w:val="45"/>
        <w:bidi w:val="0"/>
        <w:rPr>
          <w:rFonts w:hint="default" w:ascii="Times New Roman" w:hAnsi="Times New Roman" w:cs="Times New Roman"/>
          <w:color w:val="FF0000"/>
          <w:highlight w:val="none"/>
        </w:rPr>
      </w:pPr>
    </w:p>
    <w:p w14:paraId="60F4A64A">
      <w:pPr>
        <w:spacing w:beforeLines="0" w:afterLines="0"/>
        <w:rPr>
          <w:rFonts w:hint="default" w:ascii="Times New Roman" w:hAnsi="Times New Roman" w:cs="Times New Roman"/>
          <w:color w:val="auto"/>
          <w:sz w:val="24"/>
          <w:szCs w:val="24"/>
          <w:highlight w:val="none"/>
        </w:rPr>
        <w:sectPr>
          <w:headerReference r:id="rId7" w:type="default"/>
          <w:pgSz w:w="16840" w:h="11910" w:orient="landscape"/>
          <w:pgMar w:top="1599" w:right="567" w:bottom="278" w:left="567" w:header="1393" w:footer="0" w:gutter="0"/>
          <w:pgBorders>
            <w:top w:val="none" w:sz="0" w:space="0"/>
            <w:left w:val="none" w:sz="0" w:space="0"/>
            <w:bottom w:val="none" w:sz="0" w:space="0"/>
            <w:right w:val="none" w:sz="0" w:space="0"/>
          </w:pgBorders>
          <w:lnNumType w:countBy="0" w:distance="360"/>
          <w:cols w:space="0" w:num="1"/>
          <w:rtlGutter w:val="0"/>
          <w:docGrid w:linePitch="0" w:charSpace="0"/>
        </w:sectPr>
      </w:pPr>
    </w:p>
    <w:p w14:paraId="77B3C673">
      <w:pPr>
        <w:pStyle w:val="2"/>
        <w:bidi w:val="0"/>
        <w:rPr>
          <w:rFonts w:hint="default"/>
        </w:rPr>
      </w:pPr>
      <w:bookmarkStart w:id="767" w:name="9环境影响评价结论与建议"/>
      <w:bookmarkEnd w:id="767"/>
      <w:bookmarkStart w:id="768" w:name="bookmark46"/>
      <w:bookmarkEnd w:id="768"/>
      <w:bookmarkStart w:id="769" w:name="_Toc10338"/>
      <w:bookmarkStart w:id="770" w:name="_Toc20412"/>
      <w:r>
        <w:rPr>
          <w:rFonts w:hint="default"/>
        </w:rPr>
        <w:t>环境影响评价结论与建议</w:t>
      </w:r>
      <w:bookmarkEnd w:id="769"/>
      <w:bookmarkEnd w:id="770"/>
    </w:p>
    <w:p w14:paraId="1308603B">
      <w:pPr>
        <w:pStyle w:val="3"/>
        <w:bidi w:val="0"/>
        <w:rPr>
          <w:rFonts w:hint="default"/>
        </w:rPr>
      </w:pPr>
      <w:bookmarkStart w:id="771" w:name="9.1环境影响评价结论"/>
      <w:bookmarkEnd w:id="771"/>
      <w:bookmarkStart w:id="772" w:name="bookmark47"/>
      <w:bookmarkEnd w:id="772"/>
      <w:bookmarkStart w:id="773" w:name="_Toc15173"/>
      <w:bookmarkStart w:id="774" w:name="_Toc4240"/>
      <w:r>
        <w:rPr>
          <w:rFonts w:hint="default"/>
        </w:rPr>
        <w:t>环境影响评价结论</w:t>
      </w:r>
      <w:bookmarkEnd w:id="773"/>
      <w:bookmarkEnd w:id="774"/>
    </w:p>
    <w:p w14:paraId="66E46CD7">
      <w:pPr>
        <w:pStyle w:val="4"/>
        <w:bidi w:val="0"/>
        <w:rPr>
          <w:rFonts w:hint="default"/>
        </w:rPr>
      </w:pPr>
      <w:bookmarkStart w:id="775" w:name="9.1.1建设项目概况"/>
      <w:bookmarkEnd w:id="775"/>
      <w:r>
        <w:rPr>
          <w:rFonts w:hint="default"/>
        </w:rPr>
        <w:t>建设项目概况</w:t>
      </w:r>
    </w:p>
    <w:p w14:paraId="6F552460">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（1）项目名称：</w:t>
      </w:r>
      <w:r>
        <w:rPr>
          <w:rFonts w:hint="eastAsia" w:cs="Times New Roman"/>
          <w:color w:val="auto"/>
          <w:sz w:val="24"/>
          <w:szCs w:val="24"/>
          <w:highlight w:val="none"/>
          <w:lang w:eastAsia="zh-CN"/>
        </w:rPr>
        <w:t>新疆采虹矿业投资有限公司新疆阜康市北部沙漠天然石英砂矿（压裂用）项目</w:t>
      </w:r>
    </w:p>
    <w:p w14:paraId="64F86E6C">
      <w:pPr>
        <w:spacing w:beforeLines="0" w:afterLines="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rPr>
        <w:t>（2）建设单位：</w:t>
      </w:r>
      <w:r>
        <w:rPr>
          <w:rFonts w:hint="default" w:ascii="Times New Roman" w:hAnsi="Times New Roman" w:cs="Times New Roman"/>
          <w:color w:val="auto"/>
          <w:sz w:val="24"/>
          <w:szCs w:val="24"/>
          <w:highlight w:val="none"/>
          <w:lang w:eastAsia="zh-CN"/>
        </w:rPr>
        <w:t>新疆采虹矿业投资有限公司</w:t>
      </w:r>
    </w:p>
    <w:p w14:paraId="07E611EC">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（3）建设性质：新建</w:t>
      </w:r>
    </w:p>
    <w:p w14:paraId="49A32F07">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（4）建设地点：</w:t>
      </w:r>
      <w:r>
        <w:rPr>
          <w:rFonts w:hint="eastAsia" w:cs="Times New Roman"/>
          <w:color w:val="auto"/>
          <w:sz w:val="24"/>
          <w:szCs w:val="24"/>
          <w:highlight w:val="none"/>
          <w:lang w:eastAsia="zh-CN"/>
        </w:rPr>
        <w:t>新疆阜康市北部沙漠天然石英砂矿（压裂用）项目</w:t>
      </w:r>
      <w:r>
        <w:rPr>
          <w:rFonts w:hint="default" w:ascii="Times New Roman" w:hAnsi="Times New Roman" w:cs="Times New Roman"/>
          <w:color w:val="auto"/>
          <w:sz w:val="24"/>
          <w:szCs w:val="24"/>
          <w:highlight w:val="none"/>
        </w:rPr>
        <w:t>位于阜康市</w:t>
      </w:r>
      <w:r>
        <w:rPr>
          <w:rFonts w:hint="default" w:ascii="Times New Roman" w:hAnsi="Times New Roman" w:cs="Times New Roman"/>
          <w:color w:val="auto"/>
          <w:sz w:val="24"/>
          <w:szCs w:val="24"/>
          <w:highlight w:val="none"/>
          <w:lang w:val="en-US" w:eastAsia="zh-CN"/>
        </w:rPr>
        <w:t>20</w:t>
      </w:r>
      <w:r>
        <w:rPr>
          <w:rFonts w:hint="default" w:ascii="Times New Roman" w:hAnsi="Times New Roman" w:cs="Times New Roman"/>
          <w:color w:val="auto"/>
          <w:sz w:val="24"/>
          <w:szCs w:val="24"/>
          <w:highlight w:val="none"/>
        </w:rPr>
        <w:t>°方位，直线距离</w:t>
      </w:r>
      <w:r>
        <w:rPr>
          <w:rFonts w:hint="default" w:ascii="Times New Roman" w:hAnsi="Times New Roman" w:cs="Times New Roman"/>
          <w:color w:val="auto"/>
          <w:sz w:val="24"/>
          <w:szCs w:val="24"/>
          <w:highlight w:val="none"/>
          <w:lang w:val="en-US" w:eastAsia="zh-CN"/>
        </w:rPr>
        <w:t>60</w:t>
      </w:r>
      <w:r>
        <w:rPr>
          <w:rFonts w:hint="default" w:ascii="Times New Roman" w:hAnsi="Times New Roman" w:cs="Times New Roman"/>
          <w:color w:val="auto"/>
          <w:sz w:val="24"/>
          <w:szCs w:val="24"/>
          <w:highlight w:val="none"/>
        </w:rPr>
        <w:t>km处。</w:t>
      </w:r>
      <w:r>
        <w:rPr>
          <w:rFonts w:hint="eastAsia" w:cs="Times New Roman"/>
          <w:color w:val="auto"/>
          <w:sz w:val="24"/>
          <w:szCs w:val="24"/>
          <w:highlight w:val="none"/>
          <w:lang w:val="en-US" w:eastAsia="zh-CN"/>
        </w:rPr>
        <w:t>项目区东南西北侧均为天然牧草地，矿区有自然形成的简易便道穿过，</w:t>
      </w:r>
      <w:r>
        <w:rPr>
          <w:rFonts w:hint="default" w:ascii="Times New Roman" w:hAnsi="Times New Roman" w:cs="Times New Roman"/>
          <w:color w:val="auto"/>
          <w:sz w:val="24"/>
          <w:szCs w:val="24"/>
          <w:highlight w:val="none"/>
        </w:rPr>
        <w:t>矿区中心地理坐标：</w:t>
      </w:r>
      <w:r>
        <w:rPr>
          <w:rFonts w:hint="default" w:ascii="Times New Roman" w:hAnsi="Times New Roman" w:cs="Times New Roman"/>
          <w:color w:val="auto"/>
          <w:kern w:val="2"/>
          <w:sz w:val="24"/>
          <w:szCs w:val="22"/>
          <w:highlight w:val="none"/>
          <w:lang w:val="en-US" w:eastAsia="zh-CN" w:bidi="ar-SA"/>
        </w:rPr>
        <w:t>东经88°17′45″，北纬44°42′00″。</w:t>
      </w:r>
      <w:r>
        <w:rPr>
          <w:rFonts w:hint="default" w:ascii="Times New Roman" w:hAnsi="Times New Roman" w:cs="Times New Roman"/>
          <w:color w:val="auto"/>
          <w:sz w:val="24"/>
          <w:szCs w:val="24"/>
          <w:highlight w:val="none"/>
        </w:rPr>
        <w:t>行政区划隶属于昌吉州阜康市管辖。</w:t>
      </w:r>
    </w:p>
    <w:p w14:paraId="633EC720">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（5）矿区面积：划定矿区范围面积</w:t>
      </w:r>
      <w:r>
        <w:rPr>
          <w:rFonts w:hint="default" w:ascii="Times New Roman" w:hAnsi="Times New Roman" w:cs="Times New Roman"/>
          <w:color w:val="auto"/>
          <w:sz w:val="24"/>
          <w:szCs w:val="24"/>
          <w:highlight w:val="none"/>
          <w:lang w:eastAsia="zh-CN"/>
        </w:rPr>
        <w:t>1.0366km</w:t>
      </w:r>
      <w:r>
        <w:rPr>
          <w:rFonts w:hint="default" w:ascii="Times New Roman" w:hAnsi="Times New Roman" w:cs="Times New Roman"/>
          <w:color w:val="auto"/>
          <w:sz w:val="24"/>
          <w:szCs w:val="24"/>
          <w:highlight w:val="none"/>
          <w:vertAlign w:val="superscript"/>
          <w:lang w:eastAsia="zh-CN"/>
        </w:rPr>
        <w:t>2</w:t>
      </w:r>
      <w:r>
        <w:rPr>
          <w:rFonts w:hint="default" w:ascii="Times New Roman" w:hAnsi="Times New Roman" w:cs="Times New Roman"/>
          <w:color w:val="auto"/>
          <w:sz w:val="24"/>
          <w:szCs w:val="24"/>
          <w:highlight w:val="none"/>
        </w:rPr>
        <w:t>。</w:t>
      </w:r>
    </w:p>
    <w:p w14:paraId="054AD238">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（6）项目规模：开采规模为</w:t>
      </w:r>
      <w:r>
        <w:rPr>
          <w:rFonts w:hint="default" w:ascii="Times New Roman" w:hAnsi="Times New Roman" w:cs="Times New Roman"/>
          <w:color w:val="auto"/>
          <w:sz w:val="24"/>
          <w:szCs w:val="24"/>
          <w:highlight w:val="none"/>
          <w:lang w:eastAsia="zh-CN"/>
        </w:rPr>
        <w:t>80</w:t>
      </w:r>
      <w:r>
        <w:rPr>
          <w:rFonts w:hint="default" w:ascii="Times New Roman" w:hAnsi="Times New Roman" w:cs="Times New Roman"/>
          <w:color w:val="auto"/>
          <w:sz w:val="24"/>
          <w:szCs w:val="24"/>
          <w:highlight w:val="none"/>
        </w:rPr>
        <w:t>万t/a天然石英砂。</w:t>
      </w:r>
    </w:p>
    <w:p w14:paraId="08BEE7E4">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（7）服务年限：矿山服务年限为</w:t>
      </w:r>
      <w:r>
        <w:rPr>
          <w:rFonts w:hint="default" w:ascii="Times New Roman" w:hAnsi="Times New Roman" w:cs="Times New Roman"/>
          <w:color w:val="auto"/>
          <w:sz w:val="24"/>
          <w:szCs w:val="24"/>
          <w:highlight w:val="none"/>
          <w:lang w:eastAsia="zh-CN"/>
        </w:rPr>
        <w:t>18.69</w:t>
      </w:r>
      <w:r>
        <w:rPr>
          <w:rFonts w:hint="default" w:ascii="Times New Roman" w:hAnsi="Times New Roman" w:cs="Times New Roman"/>
          <w:color w:val="auto"/>
          <w:sz w:val="24"/>
          <w:szCs w:val="24"/>
          <w:highlight w:val="none"/>
        </w:rPr>
        <w:t>0年（</w:t>
      </w:r>
      <w:r>
        <w:rPr>
          <w:rFonts w:hint="default" w:ascii="Times New Roman" w:hAnsi="Times New Roman" w:cs="Times New Roman"/>
          <w:color w:val="auto"/>
          <w:sz w:val="24"/>
          <w:szCs w:val="24"/>
          <w:highlight w:val="none"/>
          <w:lang w:val="en-US" w:eastAsia="zh-CN"/>
        </w:rPr>
        <w:t>18</w:t>
      </w:r>
      <w:r>
        <w:rPr>
          <w:rFonts w:hint="default" w:ascii="Times New Roman" w:hAnsi="Times New Roman" w:cs="Times New Roman"/>
          <w:color w:val="auto"/>
          <w:sz w:val="24"/>
          <w:szCs w:val="24"/>
          <w:highlight w:val="none"/>
        </w:rPr>
        <w:t>年</w:t>
      </w:r>
      <w:r>
        <w:rPr>
          <w:rFonts w:hint="default" w:ascii="Times New Roman" w:hAnsi="Times New Roman" w:cs="Times New Roman"/>
          <w:color w:val="auto"/>
          <w:sz w:val="24"/>
          <w:szCs w:val="24"/>
          <w:highlight w:val="none"/>
          <w:lang w:val="en-US" w:eastAsia="zh-CN"/>
        </w:rPr>
        <w:t>8</w:t>
      </w:r>
      <w:r>
        <w:rPr>
          <w:rFonts w:hint="default" w:ascii="Times New Roman" w:hAnsi="Times New Roman" w:cs="Times New Roman"/>
          <w:color w:val="auto"/>
          <w:sz w:val="24"/>
          <w:szCs w:val="24"/>
          <w:highlight w:val="none"/>
        </w:rPr>
        <w:t>个月）。</w:t>
      </w:r>
    </w:p>
    <w:p w14:paraId="7889899B">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（8）开采方式及开拓方案：矿山采用山坡</w:t>
      </w:r>
      <w:r>
        <w:rPr>
          <w:rFonts w:hint="default" w:ascii="Times New Roman" w:hAnsi="Times New Roman" w:cs="Times New Roman"/>
          <w:color w:val="auto"/>
          <w:sz w:val="24"/>
          <w:szCs w:val="24"/>
          <w:highlight w:val="none"/>
          <w:lang w:eastAsia="zh-CN"/>
        </w:rPr>
        <w:t>山坡式露天</w:t>
      </w:r>
      <w:r>
        <w:rPr>
          <w:rFonts w:hint="default" w:ascii="Times New Roman" w:hAnsi="Times New Roman" w:cs="Times New Roman"/>
          <w:color w:val="auto"/>
          <w:sz w:val="24"/>
          <w:szCs w:val="24"/>
          <w:highlight w:val="none"/>
        </w:rPr>
        <w:t>开采方式，开拓方案为公路开拓汽车运输。</w:t>
      </w:r>
    </w:p>
    <w:p w14:paraId="4FFA6575">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（9）采矿方法：自上而下水平分层、台阶式采矿方法。</w:t>
      </w:r>
    </w:p>
    <w:p w14:paraId="0D9870D2">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（10）项目投资：矿山总投资</w:t>
      </w:r>
      <w:r>
        <w:rPr>
          <w:rFonts w:hint="default" w:ascii="Times New Roman" w:hAnsi="Times New Roman" w:cs="Times New Roman"/>
          <w:color w:val="auto"/>
          <w:sz w:val="24"/>
          <w:szCs w:val="24"/>
          <w:highlight w:val="none"/>
          <w:lang w:eastAsia="zh-CN"/>
        </w:rPr>
        <w:t>6681.82</w:t>
      </w:r>
      <w:r>
        <w:rPr>
          <w:rFonts w:hint="default" w:ascii="Times New Roman" w:hAnsi="Times New Roman" w:cs="Times New Roman"/>
          <w:color w:val="auto"/>
          <w:sz w:val="24"/>
          <w:szCs w:val="24"/>
          <w:highlight w:val="none"/>
        </w:rPr>
        <w:t>万元，全部由企业自筹解决。</w:t>
      </w:r>
    </w:p>
    <w:p w14:paraId="08289E35">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（11）项目劳动定员及工作制度：项目劳动定员为</w:t>
      </w:r>
      <w:r>
        <w:rPr>
          <w:rFonts w:hint="default" w:ascii="Times New Roman" w:hAnsi="Times New Roman" w:cs="Times New Roman"/>
          <w:color w:val="auto"/>
          <w:sz w:val="24"/>
          <w:szCs w:val="24"/>
          <w:highlight w:val="none"/>
          <w:lang w:val="en-US" w:eastAsia="zh-CN"/>
        </w:rPr>
        <w:t>32</w:t>
      </w:r>
      <w:r>
        <w:rPr>
          <w:rFonts w:hint="default" w:ascii="Times New Roman" w:hAnsi="Times New Roman" w:cs="Times New Roman"/>
          <w:color w:val="auto"/>
          <w:sz w:val="24"/>
          <w:szCs w:val="24"/>
          <w:highlight w:val="none"/>
        </w:rPr>
        <w:t>人，年工作</w:t>
      </w:r>
      <w:r>
        <w:rPr>
          <w:rFonts w:hint="default" w:ascii="Times New Roman" w:hAnsi="Times New Roman" w:cs="Times New Roman"/>
          <w:color w:val="auto"/>
          <w:sz w:val="24"/>
          <w:szCs w:val="24"/>
          <w:highlight w:val="none"/>
          <w:lang w:eastAsia="zh-CN"/>
        </w:rPr>
        <w:t>300天</w:t>
      </w:r>
      <w:r>
        <w:rPr>
          <w:rFonts w:hint="default" w:ascii="Times New Roman" w:hAnsi="Times New Roman" w:cs="Times New Roman"/>
          <w:color w:val="auto"/>
          <w:sz w:val="24"/>
          <w:szCs w:val="24"/>
          <w:highlight w:val="none"/>
        </w:rPr>
        <w:t>，每天</w:t>
      </w:r>
      <w:r>
        <w:rPr>
          <w:rFonts w:hint="default"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班，每班8小时</w:t>
      </w:r>
      <w:r>
        <w:rPr>
          <w:rFonts w:hint="default" w:ascii="Times New Roman" w:hAnsi="Times New Roman" w:cs="Times New Roman"/>
          <w:color w:val="auto"/>
          <w:sz w:val="24"/>
          <w:szCs w:val="24"/>
          <w:highlight w:val="none"/>
          <w:lang w:eastAsia="zh-CN"/>
        </w:rPr>
        <w:t>。</w:t>
      </w:r>
    </w:p>
    <w:p w14:paraId="1712C6C0">
      <w:pPr>
        <w:pStyle w:val="4"/>
        <w:bidi w:val="0"/>
        <w:rPr>
          <w:rFonts w:hint="default"/>
        </w:rPr>
      </w:pPr>
      <w:bookmarkStart w:id="776" w:name="9.1.2环境质量现状"/>
      <w:bookmarkEnd w:id="776"/>
      <w:r>
        <w:rPr>
          <w:rFonts w:hint="default"/>
        </w:rPr>
        <w:t>环境质量现状</w:t>
      </w:r>
    </w:p>
    <w:p w14:paraId="094C9A34">
      <w:pPr>
        <w:numPr>
          <w:ilvl w:val="0"/>
          <w:numId w:val="52"/>
        </w:numPr>
        <w:spacing w:beforeLines="0" w:afterLines="0"/>
        <w:ind w:left="0" w:leftChars="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空气环境质量现状</w:t>
      </w:r>
    </w:p>
    <w:p w14:paraId="4E8009B7">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本项目所在区域SO</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color w:val="auto"/>
          <w:sz w:val="24"/>
          <w:szCs w:val="24"/>
          <w:highlight w:val="none"/>
        </w:rPr>
        <w:t>、NO</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color w:val="auto"/>
          <w:sz w:val="24"/>
          <w:szCs w:val="24"/>
          <w:highlight w:val="none"/>
        </w:rPr>
        <w:t>年平均、CO第95百分位数24h平均、O</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第90百分位数日最大8小时平均浓度均满足《环境空气质量标准》（GB3095-2012）的二级标准要求；PM</w:t>
      </w:r>
      <w:r>
        <w:rPr>
          <w:rFonts w:hint="default" w:ascii="Times New Roman" w:hAnsi="Times New Roman" w:cs="Times New Roman"/>
          <w:color w:val="auto"/>
          <w:sz w:val="24"/>
          <w:szCs w:val="24"/>
          <w:highlight w:val="none"/>
          <w:vertAlign w:val="subscript"/>
        </w:rPr>
        <w:t>10</w:t>
      </w:r>
      <w:r>
        <w:rPr>
          <w:rFonts w:hint="default" w:ascii="Times New Roman" w:hAnsi="Times New Roman" w:cs="Times New Roman"/>
          <w:color w:val="auto"/>
          <w:sz w:val="24"/>
          <w:szCs w:val="24"/>
          <w:highlight w:val="none"/>
        </w:rPr>
        <w:t>、PM</w:t>
      </w:r>
      <w:r>
        <w:rPr>
          <w:rFonts w:hint="default" w:ascii="Times New Roman" w:hAnsi="Times New Roman" w:cs="Times New Roman"/>
          <w:color w:val="auto"/>
          <w:sz w:val="24"/>
          <w:szCs w:val="24"/>
          <w:highlight w:val="none"/>
          <w:vertAlign w:val="subscript"/>
        </w:rPr>
        <w:t>2.5</w:t>
      </w:r>
      <w:r>
        <w:rPr>
          <w:rFonts w:hint="default" w:ascii="Times New Roman" w:hAnsi="Times New Roman" w:cs="Times New Roman"/>
          <w:color w:val="auto"/>
          <w:sz w:val="24"/>
          <w:szCs w:val="24"/>
          <w:highlight w:val="none"/>
        </w:rPr>
        <w:t>年平均浓度均超过《环境空气质量标准》（GB3095-2012）的二级标准要求，本项目所在区域为不达标区域。评价范围内</w:t>
      </w:r>
      <w:r>
        <w:rPr>
          <w:rFonts w:hint="default" w:ascii="Times New Roman" w:hAnsi="Times New Roman" w:cs="Times New Roman"/>
          <w:color w:val="auto"/>
          <w:highlight w:val="none"/>
        </w:rPr>
        <w:t>补充监测TSP未出现超标情况，符合《环境空气质量标准》（GB3095-2012）二级标准要求。</w:t>
      </w:r>
    </w:p>
    <w:p w14:paraId="789D3F78">
      <w:pPr>
        <w:numPr>
          <w:ilvl w:val="0"/>
          <w:numId w:val="52"/>
        </w:numPr>
        <w:spacing w:beforeLines="0" w:afterLines="0"/>
        <w:ind w:left="0" w:leftChars="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水环境质量现状</w:t>
      </w:r>
    </w:p>
    <w:p w14:paraId="6F5E5DF4">
      <w:pPr>
        <w:numPr>
          <w:ilvl w:val="0"/>
          <w:numId w:val="0"/>
        </w:numPr>
        <w:spacing w:beforeLines="0" w:afterLines="0"/>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项目区气候干旱，周边无地表水分布，地下水埋深较大。根据导则要求，本项目地表水评价等级为三级B；根据《环境影响评价技术导则 地下水环境》（HJ610-2016）附录A，本项目属IV类项目；故本项目未开展地下水及地表水环境质量现状监测工作。</w:t>
      </w:r>
    </w:p>
    <w:p w14:paraId="46B2C99A">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（3）声环境质量现状</w:t>
      </w:r>
    </w:p>
    <w:p w14:paraId="0F69F122">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根据监测结果，矿区</w:t>
      </w:r>
      <w:r>
        <w:rPr>
          <w:rFonts w:hint="default" w:ascii="Times New Roman" w:hAnsi="Times New Roman" w:cs="Times New Roman"/>
          <w:color w:val="auto"/>
          <w:sz w:val="24"/>
          <w:szCs w:val="24"/>
          <w:highlight w:val="none"/>
        </w:rPr>
        <w:t>四周声环境质量满足《声环境质量标准》（GB3096-2008）2类区标准要求，项目区声环境质量状况良好。</w:t>
      </w:r>
    </w:p>
    <w:p w14:paraId="4252E67D">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（4）土壤环境质量现状</w:t>
      </w:r>
    </w:p>
    <w:p w14:paraId="56496ADC">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本次环评期间在项目区内布设1个表层样点，在项目区外布设2个表层样点。根据监测结果，1#点各监测因子监测结果均低于《土壤环境质量 建设用地土壤污染风险管控标准（试行）》（GB36600-2018）第二类用地筛选值；2#、3#点各监测因子监测结果均低于《土壤环境质量 农用地土壤污染风险管控标准（试行）》（GB15618-2018）中 农用地土壤污染风险筛选值，区域土壤环境质量现状良好。</w:t>
      </w:r>
    </w:p>
    <w:p w14:paraId="2DAF344F">
      <w:pPr>
        <w:pStyle w:val="4"/>
        <w:bidi w:val="0"/>
        <w:rPr>
          <w:rFonts w:hint="default"/>
        </w:rPr>
      </w:pPr>
      <w:bookmarkStart w:id="777" w:name="9.1.3环境影响分析"/>
      <w:bookmarkEnd w:id="777"/>
      <w:r>
        <w:rPr>
          <w:rFonts w:hint="default"/>
        </w:rPr>
        <w:t>环境影响分析</w:t>
      </w:r>
    </w:p>
    <w:p w14:paraId="6C9A3DFE">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（1）大气环境影响评价</w:t>
      </w:r>
    </w:p>
    <w:p w14:paraId="12A4C662">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本项目大气污染环节主要为</w:t>
      </w:r>
      <w:r>
        <w:rPr>
          <w:rFonts w:hint="default" w:ascii="Times New Roman" w:hAnsi="Times New Roman" w:cs="Times New Roman"/>
          <w:color w:val="auto"/>
          <w:sz w:val="24"/>
          <w:szCs w:val="24"/>
          <w:highlight w:val="none"/>
        </w:rPr>
        <w:t>开采</w:t>
      </w:r>
      <w:r>
        <w:rPr>
          <w:rFonts w:hint="default" w:ascii="Times New Roman" w:hAnsi="Times New Roman" w:cs="Times New Roman"/>
          <w:color w:val="auto"/>
          <w:sz w:val="24"/>
          <w:szCs w:val="24"/>
          <w:highlight w:val="none"/>
          <w:lang w:val="en-US" w:eastAsia="zh-CN"/>
        </w:rPr>
        <w:t>扬尘、运输扬尘、堆场扬尘等</w:t>
      </w:r>
      <w:r>
        <w:rPr>
          <w:rFonts w:hint="default" w:ascii="Times New Roman" w:hAnsi="Times New Roman" w:cs="Times New Roman"/>
          <w:color w:val="auto"/>
          <w:sz w:val="24"/>
          <w:szCs w:val="24"/>
          <w:highlight w:val="none"/>
        </w:rPr>
        <w:t>以无组织粉尘污染为主，</w:t>
      </w:r>
      <w:r>
        <w:rPr>
          <w:rFonts w:hint="default" w:ascii="Times New Roman" w:hAnsi="Times New Roman" w:cs="Times New Roman"/>
          <w:color w:val="auto"/>
          <w:sz w:val="24"/>
          <w:szCs w:val="24"/>
          <w:highlight w:val="none"/>
          <w:lang w:val="en-US" w:eastAsia="zh-CN"/>
        </w:rPr>
        <w:t>其次为工业广场矿石筛分环节以及烘干环节产生的废气排放，筛分环节采取集气罩+布袋除尘器+15m高排气筒排放，</w:t>
      </w:r>
      <w:r>
        <w:rPr>
          <w:rFonts w:hint="default" w:ascii="Times New Roman" w:hAnsi="Times New Roman" w:cs="Times New Roman"/>
          <w:color w:val="00B050"/>
          <w:sz w:val="24"/>
          <w:szCs w:val="24"/>
          <w:highlight w:val="none"/>
          <w:lang w:val="en-US" w:eastAsia="zh-CN"/>
        </w:rPr>
        <w:t>烘干废气采取布袋除尘器+15m排气筒排放</w:t>
      </w:r>
      <w:r>
        <w:rPr>
          <w:rFonts w:hint="default" w:ascii="Times New Roman" w:hAnsi="Times New Roman" w:cs="Times New Roman"/>
          <w:color w:val="00B050"/>
          <w:sz w:val="24"/>
          <w:szCs w:val="24"/>
          <w:highlight w:val="none"/>
        </w:rPr>
        <w:t>。</w:t>
      </w:r>
    </w:p>
    <w:p w14:paraId="4D685D65">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经预测，在采取本评价要求的</w:t>
      </w:r>
      <w:r>
        <w:rPr>
          <w:rFonts w:hint="default" w:ascii="Times New Roman" w:hAnsi="Times New Roman" w:cs="Times New Roman"/>
          <w:color w:val="auto"/>
          <w:sz w:val="24"/>
          <w:szCs w:val="24"/>
          <w:highlight w:val="none"/>
          <w:lang w:val="en-US" w:eastAsia="zh-CN"/>
        </w:rPr>
        <w:t>环保</w:t>
      </w:r>
      <w:r>
        <w:rPr>
          <w:rFonts w:hint="default" w:ascii="Times New Roman" w:hAnsi="Times New Roman" w:cs="Times New Roman"/>
          <w:color w:val="auto"/>
          <w:sz w:val="24"/>
          <w:szCs w:val="24"/>
          <w:highlight w:val="none"/>
        </w:rPr>
        <w:t>措施后，本项目</w:t>
      </w:r>
      <w:r>
        <w:rPr>
          <w:rFonts w:hint="default" w:ascii="Times New Roman" w:hAnsi="Times New Roman" w:cs="Times New Roman"/>
          <w:color w:val="auto"/>
          <w:sz w:val="24"/>
          <w:szCs w:val="24"/>
          <w:highlight w:val="none"/>
          <w:lang w:val="en-US" w:eastAsia="zh-CN"/>
        </w:rPr>
        <w:t>TSP最大落地浓度占标率</w:t>
      </w:r>
      <w:r>
        <w:rPr>
          <w:rFonts w:hint="default" w:ascii="Times New Roman" w:hAnsi="Times New Roman" w:cs="Times New Roman"/>
          <w:color w:val="auto"/>
          <w:sz w:val="24"/>
          <w:szCs w:val="24"/>
          <w:highlight w:val="none"/>
        </w:rPr>
        <w:t>均小于10%，</w:t>
      </w:r>
      <w:r>
        <w:rPr>
          <w:rFonts w:hint="default" w:ascii="Times New Roman" w:hAnsi="Times New Roman" w:cs="Times New Roman"/>
          <w:color w:val="auto"/>
          <w:sz w:val="24"/>
          <w:szCs w:val="24"/>
          <w:highlight w:val="none"/>
          <w:lang w:val="en-US" w:eastAsia="zh-CN"/>
        </w:rPr>
        <w:t>说明废气排放对环境空气质量影响较小，</w:t>
      </w:r>
      <w:r>
        <w:rPr>
          <w:rFonts w:hint="default" w:ascii="Times New Roman" w:hAnsi="Times New Roman" w:cs="Times New Roman"/>
          <w:color w:val="auto"/>
          <w:sz w:val="24"/>
          <w:szCs w:val="24"/>
          <w:highlight w:val="none"/>
        </w:rPr>
        <w:t>环境影响可接受。</w:t>
      </w:r>
    </w:p>
    <w:p w14:paraId="12A734FE">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水环境影响评价</w:t>
      </w:r>
    </w:p>
    <w:p w14:paraId="4983CA6C">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项目运营期间矿石冲洗废水经沉淀</w:t>
      </w:r>
      <w:r>
        <w:rPr>
          <w:rFonts w:hint="default" w:ascii="Times New Roman" w:hAnsi="Times New Roman" w:cs="Times New Roman"/>
          <w:color w:val="auto"/>
          <w:sz w:val="24"/>
          <w:szCs w:val="24"/>
          <w:highlight w:val="none"/>
          <w:lang w:val="en-US" w:eastAsia="zh-CN"/>
        </w:rPr>
        <w:t>池沉淀</w:t>
      </w:r>
      <w:r>
        <w:rPr>
          <w:rFonts w:hint="default" w:ascii="Times New Roman" w:hAnsi="Times New Roman" w:cs="Times New Roman"/>
          <w:color w:val="auto"/>
          <w:sz w:val="24"/>
          <w:szCs w:val="24"/>
          <w:highlight w:val="none"/>
        </w:rPr>
        <w:t>后循环利用，不排放；职工生活污水经</w:t>
      </w:r>
      <w:r>
        <w:rPr>
          <w:rFonts w:hint="default" w:ascii="Times New Roman" w:hAnsi="Times New Roman" w:cs="Times New Roman"/>
          <w:color w:val="auto"/>
          <w:sz w:val="24"/>
          <w:szCs w:val="24"/>
          <w:highlight w:val="none"/>
          <w:lang w:val="en-US" w:eastAsia="zh-CN"/>
        </w:rPr>
        <w:t>地埋式</w:t>
      </w:r>
      <w:r>
        <w:rPr>
          <w:rFonts w:hint="default" w:ascii="Times New Roman" w:hAnsi="Times New Roman" w:cs="Times New Roman"/>
          <w:color w:val="auto"/>
          <w:sz w:val="24"/>
          <w:szCs w:val="24"/>
          <w:highlight w:val="none"/>
        </w:rPr>
        <w:t>一体化污水处理设施处理后用于</w:t>
      </w:r>
      <w:r>
        <w:rPr>
          <w:rFonts w:hint="eastAsia" w:cs="Times New Roman"/>
          <w:color w:val="auto"/>
          <w:sz w:val="24"/>
          <w:szCs w:val="24"/>
          <w:highlight w:val="none"/>
          <w:lang w:val="en-US" w:eastAsia="zh-CN"/>
        </w:rPr>
        <w:t>矿区洒水</w:t>
      </w:r>
      <w:r>
        <w:rPr>
          <w:rFonts w:hint="default" w:ascii="Times New Roman" w:hAnsi="Times New Roman" w:cs="Times New Roman"/>
          <w:color w:val="auto"/>
          <w:sz w:val="24"/>
          <w:szCs w:val="24"/>
          <w:highlight w:val="none"/>
          <w:lang w:val="en-US" w:eastAsia="zh-CN"/>
        </w:rPr>
        <w:t>降尘</w:t>
      </w:r>
      <w:r>
        <w:rPr>
          <w:rFonts w:hint="default" w:ascii="Times New Roman" w:hAnsi="Times New Roman" w:cs="Times New Roman"/>
          <w:color w:val="auto"/>
          <w:sz w:val="24"/>
          <w:szCs w:val="24"/>
          <w:highlight w:val="none"/>
        </w:rPr>
        <w:t>。采取有效的治理措施后，生活污水经处理后都得到了有效的利用，控制污染的同时节约了水资源，对区域环境不利影响很小。</w:t>
      </w:r>
    </w:p>
    <w:p w14:paraId="6515F388">
      <w:pPr>
        <w:numPr>
          <w:ilvl w:val="0"/>
          <w:numId w:val="0"/>
        </w:numPr>
        <w:spacing w:beforeLines="0" w:afterLines="0"/>
        <w:ind w:leftChars="200" w:firstLine="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声环境影响评价</w:t>
      </w:r>
    </w:p>
    <w:p w14:paraId="67C9E607">
      <w:pPr>
        <w:numPr>
          <w:ilvl w:val="0"/>
          <w:numId w:val="0"/>
        </w:numPr>
        <w:spacing w:beforeLines="0" w:afterLines="0"/>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本项目主要噪声源有挖掘机等矿山设备产生的噪声，根据资料类比分析，机械设备噪声源强一</w:t>
      </w:r>
      <w:r>
        <w:rPr>
          <w:rFonts w:hint="default" w:ascii="Times New Roman" w:hAnsi="Times New Roman" w:cs="Times New Roman"/>
          <w:color w:val="0070C0"/>
          <w:sz w:val="24"/>
          <w:szCs w:val="24"/>
          <w:highlight w:val="none"/>
        </w:rPr>
        <w:t>般在</w:t>
      </w:r>
      <w:r>
        <w:rPr>
          <w:rFonts w:hint="eastAsia" w:cs="Times New Roman"/>
          <w:color w:val="0070C0"/>
          <w:sz w:val="24"/>
          <w:szCs w:val="24"/>
          <w:highlight w:val="none"/>
          <w:lang w:val="en-US" w:eastAsia="zh-CN"/>
        </w:rPr>
        <w:t>75-100</w:t>
      </w:r>
      <w:r>
        <w:rPr>
          <w:rFonts w:hint="default" w:ascii="Times New Roman" w:hAnsi="Times New Roman" w:cs="Times New Roman"/>
          <w:color w:val="0070C0"/>
          <w:sz w:val="24"/>
          <w:szCs w:val="24"/>
          <w:highlight w:val="none"/>
        </w:rPr>
        <w:t>dB（A）之间</w:t>
      </w:r>
      <w:r>
        <w:rPr>
          <w:rFonts w:hint="default" w:ascii="Times New Roman" w:hAnsi="Times New Roman" w:cs="Times New Roman"/>
          <w:color w:val="auto"/>
          <w:sz w:val="24"/>
          <w:szCs w:val="24"/>
          <w:highlight w:val="none"/>
        </w:rPr>
        <w:t>。经预测，满足《工业企业厂界环境噪声排放标准》GB12348-2008的2类区的要求，项目噪声对周边环境影响不大。</w:t>
      </w:r>
    </w:p>
    <w:p w14:paraId="17449B23">
      <w:pPr>
        <w:numPr>
          <w:ilvl w:val="0"/>
          <w:numId w:val="49"/>
        </w:numPr>
        <w:spacing w:beforeLines="0" w:afterLines="0"/>
        <w:ind w:left="0" w:leftChars="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固废对环境影响评价</w:t>
      </w:r>
    </w:p>
    <w:p w14:paraId="0BB4AF05">
      <w:pPr>
        <w:bidi w:val="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本项目产生的固体废物主要为筛分过程中产生的筛分</w:t>
      </w:r>
      <w:r>
        <w:rPr>
          <w:rFonts w:hint="eastAsia" w:cs="Times New Roman"/>
          <w:color w:val="auto"/>
          <w:szCs w:val="24"/>
          <w:highlight w:val="none"/>
          <w:lang w:val="en-US" w:eastAsia="zh-CN"/>
        </w:rPr>
        <w:t>废土</w:t>
      </w:r>
      <w:r>
        <w:rPr>
          <w:rFonts w:hint="default" w:ascii="Times New Roman" w:hAnsi="Times New Roman" w:eastAsia="宋体" w:cs="Times New Roman"/>
          <w:color w:val="auto"/>
          <w:szCs w:val="24"/>
          <w:highlight w:val="none"/>
        </w:rPr>
        <w:t>废料、剥离表土</w:t>
      </w:r>
      <w:r>
        <w:rPr>
          <w:rFonts w:hint="default" w:ascii="Times New Roman" w:hAnsi="Times New Roman" w:eastAsia="宋体" w:cs="Times New Roman"/>
          <w:color w:val="auto"/>
          <w:szCs w:val="24"/>
          <w:highlight w:val="none"/>
          <w:lang w:eastAsia="zh-CN"/>
        </w:rPr>
        <w:t>、</w:t>
      </w:r>
      <w:r>
        <w:rPr>
          <w:rFonts w:hint="eastAsia" w:ascii="Times New Roman" w:hAnsi="Times New Roman" w:eastAsia="宋体" w:cs="Times New Roman"/>
          <w:color w:val="auto"/>
          <w:szCs w:val="24"/>
          <w:highlight w:val="none"/>
          <w:lang w:val="en-US" w:eastAsia="zh-CN"/>
        </w:rPr>
        <w:t>设备</w:t>
      </w:r>
      <w:r>
        <w:rPr>
          <w:rFonts w:hint="default" w:ascii="Times New Roman" w:hAnsi="Times New Roman" w:eastAsia="宋体" w:cs="Times New Roman"/>
          <w:color w:val="auto"/>
          <w:szCs w:val="24"/>
          <w:highlight w:val="none"/>
          <w:lang w:val="en-US" w:eastAsia="zh-CN"/>
        </w:rPr>
        <w:t>机修产生的废矿物油以及职工</w:t>
      </w:r>
      <w:r>
        <w:rPr>
          <w:rFonts w:hint="default" w:ascii="Times New Roman" w:hAnsi="Times New Roman" w:eastAsia="宋体" w:cs="Times New Roman"/>
          <w:color w:val="auto"/>
          <w:szCs w:val="24"/>
          <w:highlight w:val="none"/>
        </w:rPr>
        <w:t>生活垃圾。</w:t>
      </w:r>
    </w:p>
    <w:p w14:paraId="38433D47">
      <w:pPr>
        <w:bidi w:val="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本项目</w:t>
      </w:r>
      <w:r>
        <w:rPr>
          <w:rFonts w:hint="default" w:ascii="Times New Roman" w:hAnsi="Times New Roman" w:eastAsia="宋体" w:cs="Times New Roman"/>
          <w:color w:val="auto"/>
          <w:szCs w:val="24"/>
          <w:highlight w:val="none"/>
          <w:lang w:val="en-US" w:eastAsia="zh-CN"/>
        </w:rPr>
        <w:t>不具备内排时产生的</w:t>
      </w:r>
      <w:r>
        <w:rPr>
          <w:rFonts w:hint="default" w:ascii="Times New Roman" w:hAnsi="Times New Roman" w:eastAsia="宋体" w:cs="Times New Roman"/>
          <w:color w:val="auto"/>
          <w:szCs w:val="24"/>
          <w:highlight w:val="none"/>
        </w:rPr>
        <w:t>筛分</w:t>
      </w:r>
      <w:r>
        <w:rPr>
          <w:rFonts w:hint="default" w:ascii="Times New Roman" w:hAnsi="Times New Roman" w:eastAsia="宋体" w:cs="Times New Roman"/>
          <w:color w:val="auto"/>
          <w:szCs w:val="24"/>
          <w:highlight w:val="none"/>
          <w:lang w:val="en-US" w:eastAsia="zh-CN"/>
        </w:rPr>
        <w:t>废土</w:t>
      </w:r>
      <w:r>
        <w:rPr>
          <w:rFonts w:hint="default" w:ascii="Times New Roman" w:hAnsi="Times New Roman" w:eastAsia="宋体" w:cs="Times New Roman"/>
          <w:color w:val="auto"/>
          <w:szCs w:val="24"/>
          <w:highlight w:val="none"/>
        </w:rPr>
        <w:t>废料堆放于</w:t>
      </w:r>
      <w:r>
        <w:rPr>
          <w:rFonts w:hint="default" w:ascii="Times New Roman" w:hAnsi="Times New Roman" w:eastAsia="宋体" w:cs="Times New Roman"/>
          <w:color w:val="auto"/>
          <w:szCs w:val="24"/>
          <w:highlight w:val="none"/>
          <w:lang w:val="en-US" w:eastAsia="zh-CN"/>
        </w:rPr>
        <w:t>排土场</w:t>
      </w:r>
      <w:r>
        <w:rPr>
          <w:rFonts w:hint="default" w:ascii="Times New Roman" w:hAnsi="Times New Roman" w:eastAsia="宋体" w:cs="Times New Roman"/>
          <w:color w:val="auto"/>
          <w:szCs w:val="24"/>
          <w:highlight w:val="none"/>
        </w:rPr>
        <w:t>，</w:t>
      </w:r>
      <w:r>
        <w:rPr>
          <w:rFonts w:hint="default" w:ascii="Times New Roman" w:hAnsi="Times New Roman" w:eastAsia="宋体" w:cs="Times New Roman"/>
          <w:color w:val="auto"/>
          <w:szCs w:val="24"/>
          <w:highlight w:val="none"/>
          <w:lang w:val="en-US" w:eastAsia="zh-CN"/>
        </w:rPr>
        <w:t>剥离表土堆放于表土场，</w:t>
      </w:r>
      <w:r>
        <w:rPr>
          <w:rFonts w:hint="default" w:ascii="Times New Roman" w:hAnsi="Times New Roman" w:eastAsia="宋体" w:cs="Times New Roman"/>
          <w:color w:val="auto"/>
          <w:szCs w:val="24"/>
          <w:highlight w:val="none"/>
        </w:rPr>
        <w:t>后期全部回填采坑，不外排。</w:t>
      </w:r>
      <w:r>
        <w:rPr>
          <w:rFonts w:hint="default" w:ascii="Times New Roman" w:hAnsi="Times New Roman" w:eastAsia="宋体" w:cs="Times New Roman"/>
          <w:color w:val="auto"/>
          <w:szCs w:val="24"/>
          <w:highlight w:val="none"/>
          <w:lang w:eastAsia="zh-CN"/>
        </w:rPr>
        <w:t>沉淀池</w:t>
      </w:r>
      <w:r>
        <w:rPr>
          <w:rFonts w:hint="default" w:ascii="Times New Roman" w:hAnsi="Times New Roman" w:eastAsia="宋体" w:cs="Times New Roman"/>
          <w:color w:val="auto"/>
          <w:szCs w:val="24"/>
          <w:highlight w:val="none"/>
        </w:rPr>
        <w:t>沉渣定期清运至</w:t>
      </w:r>
      <w:r>
        <w:rPr>
          <w:rFonts w:hint="eastAsia" w:cs="Times New Roman"/>
          <w:color w:val="auto"/>
          <w:szCs w:val="24"/>
          <w:highlight w:val="none"/>
          <w:lang w:val="en-US" w:eastAsia="zh-CN"/>
        </w:rPr>
        <w:t>排土场</w:t>
      </w:r>
      <w:r>
        <w:rPr>
          <w:rFonts w:hint="default" w:ascii="Times New Roman" w:hAnsi="Times New Roman" w:eastAsia="宋体" w:cs="Times New Roman"/>
          <w:color w:val="auto"/>
          <w:szCs w:val="24"/>
          <w:highlight w:val="none"/>
          <w:lang w:eastAsia="zh-CN"/>
        </w:rPr>
        <w:t>，</w:t>
      </w:r>
      <w:r>
        <w:rPr>
          <w:rFonts w:hint="default" w:ascii="Times New Roman" w:hAnsi="Times New Roman" w:eastAsia="宋体" w:cs="Times New Roman"/>
          <w:color w:val="auto"/>
          <w:szCs w:val="24"/>
          <w:highlight w:val="none"/>
          <w:lang w:val="en-US" w:eastAsia="zh-CN"/>
        </w:rPr>
        <w:t>后期回填至采坑</w:t>
      </w:r>
      <w:r>
        <w:rPr>
          <w:rFonts w:hint="default" w:ascii="Times New Roman" w:hAnsi="Times New Roman" w:eastAsia="宋体" w:cs="Times New Roman"/>
          <w:color w:val="auto"/>
          <w:szCs w:val="24"/>
          <w:highlight w:val="none"/>
          <w:lang w:eastAsia="zh-CN"/>
        </w:rPr>
        <w:t>；</w:t>
      </w:r>
      <w:r>
        <w:rPr>
          <w:rFonts w:hint="default" w:ascii="Times New Roman" w:hAnsi="Times New Roman" w:eastAsia="宋体" w:cs="Times New Roman"/>
          <w:color w:val="auto"/>
          <w:szCs w:val="24"/>
          <w:highlight w:val="none"/>
          <w:lang w:val="en-US" w:eastAsia="zh-CN"/>
        </w:rPr>
        <w:t>机修产生的废矿物油及包装桶在危废贮存点贮存，委托有资质的单位代为处置；</w:t>
      </w:r>
      <w:r>
        <w:rPr>
          <w:rFonts w:hint="default" w:ascii="Times New Roman" w:hAnsi="Times New Roman" w:eastAsia="宋体" w:cs="Times New Roman"/>
          <w:color w:val="auto"/>
          <w:szCs w:val="24"/>
          <w:highlight w:val="none"/>
        </w:rPr>
        <w:t>生活垃圾在矿区内设垃圾箱集中收集，定期拉运至阜康市生活垃圾填埋场填埋处理</w:t>
      </w:r>
      <w:r>
        <w:rPr>
          <w:rFonts w:hint="default" w:ascii="Times New Roman" w:hAnsi="Times New Roman" w:eastAsia="宋体" w:cs="Times New Roman"/>
          <w:color w:val="auto"/>
          <w:szCs w:val="24"/>
          <w:highlight w:val="none"/>
          <w:lang w:eastAsia="zh-CN"/>
        </w:rPr>
        <w:t>；</w:t>
      </w:r>
      <w:r>
        <w:rPr>
          <w:rFonts w:hint="default" w:ascii="Times New Roman" w:hAnsi="Times New Roman" w:eastAsia="宋体" w:cs="Times New Roman"/>
          <w:color w:val="auto"/>
          <w:szCs w:val="24"/>
          <w:highlight w:val="none"/>
          <w:lang w:val="en-US" w:eastAsia="zh-CN"/>
        </w:rPr>
        <w:t>通过以上措施固废能得到合理处置，</w:t>
      </w:r>
      <w:r>
        <w:rPr>
          <w:rFonts w:hint="default" w:ascii="Times New Roman" w:hAnsi="Times New Roman" w:eastAsia="宋体" w:cs="Times New Roman"/>
          <w:color w:val="auto"/>
          <w:szCs w:val="24"/>
          <w:highlight w:val="none"/>
        </w:rPr>
        <w:t>故不会对周边环境产生不良影响。</w:t>
      </w:r>
    </w:p>
    <w:p w14:paraId="3D0E79DE">
      <w:pPr>
        <w:numPr>
          <w:ilvl w:val="0"/>
          <w:numId w:val="49"/>
        </w:numPr>
        <w:spacing w:beforeLines="0" w:afterLines="0"/>
        <w:ind w:left="0" w:leftChars="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生态环境影响评价</w:t>
      </w:r>
    </w:p>
    <w:p w14:paraId="32D2748F">
      <w:pPr>
        <w:bidi w:val="0"/>
        <w:rPr>
          <w:rFonts w:hint="default" w:ascii="Times New Roman" w:hAnsi="Times New Roman" w:cs="Times New Roman"/>
          <w:color w:val="auto"/>
          <w:highlight w:val="none"/>
        </w:rPr>
      </w:pPr>
      <w:r>
        <w:rPr>
          <w:rFonts w:hint="default" w:ascii="Times New Roman" w:hAnsi="Times New Roman" w:cs="Times New Roman"/>
          <w:color w:val="auto"/>
          <w:szCs w:val="24"/>
          <w:highlight w:val="none"/>
        </w:rPr>
        <w:t>本工程的建设，使区域内自然</w:t>
      </w:r>
      <w:r>
        <w:rPr>
          <w:rFonts w:hint="default" w:ascii="Times New Roman" w:hAnsi="Times New Roman" w:cs="Times New Roman"/>
          <w:color w:val="auto"/>
          <w:szCs w:val="24"/>
          <w:highlight w:val="none"/>
          <w:lang w:val="en-US" w:eastAsia="zh-CN"/>
        </w:rPr>
        <w:t>景观程度</w:t>
      </w:r>
      <w:r>
        <w:rPr>
          <w:rFonts w:hint="default" w:ascii="Times New Roman" w:hAnsi="Times New Roman" w:cs="Times New Roman"/>
          <w:color w:val="auto"/>
          <w:szCs w:val="24"/>
          <w:highlight w:val="none"/>
        </w:rPr>
        <w:t>降低，人文影响程度增强，土地利用类型中天然牧草地转化为工矿用地。工程建设对区域内生态体系稳定性影响的主要途径是</w:t>
      </w:r>
      <w:r>
        <w:rPr>
          <w:rFonts w:hint="default" w:ascii="Times New Roman" w:hAnsi="Times New Roman" w:cs="Times New Roman"/>
          <w:color w:val="auto"/>
          <w:szCs w:val="24"/>
          <w:highlight w:val="none"/>
          <w:lang w:val="en-US" w:eastAsia="zh-CN"/>
        </w:rPr>
        <w:t>占地影响，</w:t>
      </w:r>
      <w:r>
        <w:rPr>
          <w:rFonts w:hint="default" w:ascii="Times New Roman" w:hAnsi="Times New Roman" w:cs="Times New Roman"/>
          <w:color w:val="auto"/>
          <w:szCs w:val="24"/>
          <w:highlight w:val="none"/>
        </w:rPr>
        <w:t>地表</w:t>
      </w:r>
      <w:r>
        <w:rPr>
          <w:rFonts w:hint="default" w:ascii="Times New Roman" w:hAnsi="Times New Roman" w:cs="Times New Roman"/>
          <w:color w:val="auto"/>
          <w:szCs w:val="24"/>
          <w:highlight w:val="none"/>
          <w:lang w:val="en-US" w:eastAsia="zh-CN"/>
        </w:rPr>
        <w:t>植被的破坏，土壤的</w:t>
      </w:r>
      <w:r>
        <w:rPr>
          <w:rFonts w:hint="default" w:ascii="Times New Roman" w:hAnsi="Times New Roman" w:cs="Times New Roman"/>
          <w:color w:val="auto"/>
          <w:szCs w:val="24"/>
          <w:highlight w:val="none"/>
        </w:rPr>
        <w:t>扰动，</w:t>
      </w:r>
      <w:r>
        <w:rPr>
          <w:rFonts w:hint="default" w:ascii="Times New Roman" w:hAnsi="Times New Roman" w:cs="Times New Roman"/>
          <w:color w:val="auto"/>
          <w:szCs w:val="24"/>
          <w:highlight w:val="none"/>
          <w:lang w:val="en-US" w:eastAsia="zh-CN"/>
        </w:rPr>
        <w:t>以及以上活动增加的水土流失影响</w:t>
      </w:r>
      <w:r>
        <w:rPr>
          <w:rFonts w:hint="default" w:ascii="Times New Roman" w:hAnsi="Times New Roman" w:cs="Times New Roman"/>
          <w:color w:val="auto"/>
          <w:szCs w:val="24"/>
          <w:highlight w:val="none"/>
        </w:rPr>
        <w:t>。</w:t>
      </w:r>
      <w:r>
        <w:rPr>
          <w:rFonts w:hint="default" w:ascii="Times New Roman" w:hAnsi="Times New Roman" w:cs="Times New Roman"/>
          <w:color w:val="auto"/>
          <w:szCs w:val="24"/>
          <w:highlight w:val="none"/>
          <w:lang w:val="en-US" w:eastAsia="zh-CN"/>
        </w:rPr>
        <w:t>本环评要求</w:t>
      </w:r>
      <w:r>
        <w:rPr>
          <w:rFonts w:hint="default" w:ascii="Times New Roman" w:hAnsi="Times New Roman" w:cs="Times New Roman"/>
          <w:color w:val="auto"/>
          <w:szCs w:val="24"/>
          <w:highlight w:val="none"/>
        </w:rPr>
        <w:t>建设单位</w:t>
      </w:r>
      <w:r>
        <w:rPr>
          <w:rFonts w:hint="default" w:ascii="Times New Roman" w:hAnsi="Times New Roman" w:cs="Times New Roman"/>
          <w:color w:val="auto"/>
          <w:szCs w:val="24"/>
          <w:highlight w:val="none"/>
          <w:lang w:val="en-US" w:eastAsia="zh-CN"/>
        </w:rPr>
        <w:t>严格按照划定的矿区范围</w:t>
      </w:r>
      <w:r>
        <w:rPr>
          <w:rFonts w:hint="default" w:ascii="Times New Roman" w:hAnsi="Times New Roman" w:cs="Times New Roman"/>
          <w:color w:val="auto"/>
          <w:highlight w:val="none"/>
          <w:lang w:val="en-US" w:eastAsia="zh-CN"/>
        </w:rPr>
        <w:t>进行开采，减少占地，</w:t>
      </w:r>
      <w:r>
        <w:rPr>
          <w:rFonts w:hint="default" w:ascii="Times New Roman" w:hAnsi="Times New Roman" w:cs="Times New Roman"/>
          <w:color w:val="auto"/>
          <w:highlight w:val="none"/>
        </w:rPr>
        <w:t>加强管理，控制人员及车辆越界活动，</w:t>
      </w:r>
      <w:r>
        <w:rPr>
          <w:rFonts w:hint="default" w:ascii="Times New Roman" w:hAnsi="Times New Roman" w:cs="Times New Roman"/>
          <w:color w:val="auto"/>
          <w:highlight w:val="none"/>
          <w:lang w:val="en-US" w:eastAsia="zh-CN"/>
        </w:rPr>
        <w:t>严禁在</w:t>
      </w:r>
      <w:r>
        <w:rPr>
          <w:rFonts w:hint="default" w:ascii="Times New Roman" w:hAnsi="Times New Roman" w:cs="Times New Roman"/>
          <w:color w:val="auto"/>
          <w:highlight w:val="none"/>
        </w:rPr>
        <w:t>西侧新疆阜康市彩南国家沙化土地封禁保护区</w:t>
      </w:r>
      <w:r>
        <w:rPr>
          <w:rFonts w:hint="default" w:ascii="Times New Roman" w:hAnsi="Times New Roman" w:cs="Times New Roman"/>
          <w:color w:val="auto"/>
          <w:highlight w:val="none"/>
          <w:lang w:val="en-US" w:eastAsia="zh-CN"/>
        </w:rPr>
        <w:t>内进行采矿活动，严禁破坏封禁保护区内植被。</w:t>
      </w:r>
      <w:r>
        <w:rPr>
          <w:rFonts w:hint="default" w:ascii="Times New Roman" w:hAnsi="Times New Roman" w:cs="Times New Roman"/>
          <w:color w:val="auto"/>
          <w:highlight w:val="none"/>
        </w:rPr>
        <w:t>闭矿期在通过拆除地面构筑物、土地平整、生态恢复等措施后生态环境可以得到大幅度改善。整体来看本项目对生态环境的影响能够控制在可接收范围之内。</w:t>
      </w:r>
    </w:p>
    <w:p w14:paraId="234C0136">
      <w:pPr>
        <w:numPr>
          <w:ilvl w:val="0"/>
          <w:numId w:val="49"/>
        </w:numPr>
        <w:spacing w:beforeLines="0" w:afterLines="0"/>
        <w:ind w:left="0" w:leftChars="0" w:firstLine="480" w:firstLineChars="200"/>
        <w:rPr>
          <w:rFonts w:hint="default" w:ascii="Times New Roman" w:hAnsi="Times New Roman" w:cs="Times New Roman"/>
          <w:color w:val="auto"/>
          <w:highlight w:val="none"/>
        </w:rPr>
      </w:pPr>
      <w:r>
        <w:rPr>
          <w:rFonts w:hint="default" w:ascii="Times New Roman" w:hAnsi="Times New Roman" w:eastAsia="宋体" w:cs="Times New Roman"/>
          <w:color w:val="auto"/>
          <w:sz w:val="24"/>
          <w:szCs w:val="24"/>
          <w:highlight w:val="none"/>
        </w:rPr>
        <w:t>环境风险分析</w:t>
      </w:r>
    </w:p>
    <w:p w14:paraId="094BEEAE">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本工程发生事故的类型主要为</w:t>
      </w:r>
      <w:r>
        <w:rPr>
          <w:rFonts w:hint="eastAsia" w:cs="Times New Roman"/>
          <w:color w:val="auto"/>
          <w:highlight w:val="none"/>
          <w:lang w:val="en-US" w:eastAsia="zh-CN"/>
        </w:rPr>
        <w:t>废矿物油</w:t>
      </w:r>
      <w:r>
        <w:rPr>
          <w:rFonts w:hint="default" w:ascii="Times New Roman" w:hAnsi="Times New Roman" w:cs="Times New Roman"/>
          <w:color w:val="auto"/>
          <w:highlight w:val="none"/>
          <w:lang w:val="en-US" w:eastAsia="zh-CN"/>
        </w:rPr>
        <w:t>泄漏以及导致的火灾引发的伴生/次生污染物对环境的影响，本工程发生环境风险事故影响范围主要为矿区及邻近矿区的工作人员，影响范围不大，本工程在设计过程中充分考虑了防爆、防火措施及设施，同时设计及施工过程将严格按照国家及行业有关标准、规范进行。</w:t>
      </w:r>
    </w:p>
    <w:p w14:paraId="5CAA5627">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工程发生事故后的影响范围主要在矿区内部，在严格落实设计及隐患治理中的各项环境风险防范措施、强化和完善环境风险应急预案并持续改进、加强管理和培训教育、严格执行各种规章制度的前提下，能尽量避免上述事故的发生，可以将环境风险水平降低到一个较小的水平之内。在落实本报告书中提出的环境保护措施的前提下，因地制宜地进行环境优化，本工程的环境风险在采取上述措施并加强管理及风险防范措施得当的情况下，项目风险是可以接受的。</w:t>
      </w:r>
    </w:p>
    <w:p w14:paraId="2EBD081E">
      <w:pPr>
        <w:pStyle w:val="4"/>
        <w:bidi w:val="0"/>
        <w:rPr>
          <w:rFonts w:hint="default"/>
        </w:rPr>
      </w:pPr>
      <w:bookmarkStart w:id="778" w:name="9.1.4污染防治措施及可行性分析"/>
      <w:bookmarkEnd w:id="778"/>
      <w:r>
        <w:rPr>
          <w:rFonts w:hint="default"/>
        </w:rPr>
        <w:t>污染防治措施及可行性分析</w:t>
      </w:r>
    </w:p>
    <w:p w14:paraId="7FD64618">
      <w:pPr>
        <w:numPr>
          <w:ilvl w:val="0"/>
          <w:numId w:val="53"/>
        </w:num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废气污染防治措施</w:t>
      </w:r>
    </w:p>
    <w:p w14:paraId="29FBDC82">
      <w:pPr>
        <w:bidi w:val="0"/>
        <w:rPr>
          <w:rFonts w:hint="default" w:ascii="Times New Roman" w:hAnsi="Times New Roman" w:cs="Times New Roman"/>
          <w:color w:val="auto"/>
          <w:highlight w:val="none"/>
          <w:lang w:val="en-US"/>
        </w:rPr>
      </w:pPr>
      <w:r>
        <w:rPr>
          <w:rFonts w:hint="default" w:ascii="Times New Roman" w:hAnsi="Times New Roman" w:cs="Times New Roman"/>
          <w:b/>
          <w:bCs/>
          <w:color w:val="auto"/>
          <w:highlight w:val="none"/>
          <w:lang w:val="en-US" w:eastAsia="zh-CN"/>
        </w:rPr>
        <w:t>有组织废气控制措施：</w:t>
      </w:r>
      <w:r>
        <w:rPr>
          <w:rFonts w:hint="default" w:ascii="Times New Roman" w:hAnsi="Times New Roman" w:cs="Times New Roman"/>
          <w:color w:val="auto"/>
          <w:highlight w:val="none"/>
        </w:rPr>
        <w:t>①筛分粉尘采用“集气罩+布袋除尘器”除尘，处理后经15m排气筒排放；②</w:t>
      </w:r>
      <w:r>
        <w:rPr>
          <w:rFonts w:hint="default" w:ascii="Times New Roman" w:hAnsi="Times New Roman" w:cs="Times New Roman"/>
          <w:color w:val="auto"/>
          <w:highlight w:val="none"/>
          <w:lang w:val="en-US" w:eastAsia="zh-CN"/>
        </w:rPr>
        <w:t>烘干废气</w:t>
      </w:r>
      <w:r>
        <w:rPr>
          <w:rFonts w:hint="eastAsia" w:cs="Times New Roman"/>
          <w:color w:val="auto"/>
          <w:highlight w:val="none"/>
          <w:lang w:eastAsia="zh-CN"/>
        </w:rPr>
        <w:t>：</w:t>
      </w:r>
      <w:r>
        <w:rPr>
          <w:rFonts w:hint="default" w:ascii="Times New Roman" w:hAnsi="Times New Roman" w:cs="Times New Roman"/>
          <w:color w:val="auto"/>
          <w:highlight w:val="none"/>
          <w:lang w:val="en-US" w:eastAsia="zh-CN"/>
        </w:rPr>
        <w:t>经过布袋除尘器处理后由15m高排气筒排放。</w:t>
      </w:r>
    </w:p>
    <w:p w14:paraId="06E2F2EF">
      <w:pPr>
        <w:bidi w:val="0"/>
        <w:rPr>
          <w:rFonts w:hint="default" w:ascii="Times New Roman" w:hAnsi="Times New Roman" w:cs="Times New Roman"/>
          <w:color w:val="auto"/>
          <w:highlight w:val="none"/>
          <w:lang w:val="en-US" w:eastAsia="zh-CN"/>
        </w:rPr>
      </w:pPr>
      <w:r>
        <w:rPr>
          <w:rFonts w:hint="default" w:ascii="Times New Roman" w:hAnsi="Times New Roman" w:cs="Times New Roman"/>
          <w:b/>
          <w:bCs/>
          <w:color w:val="auto"/>
          <w:highlight w:val="none"/>
          <w:lang w:val="en-US" w:eastAsia="zh-CN"/>
        </w:rPr>
        <w:t>无组织废气控制措施：</w:t>
      </w:r>
      <w:r>
        <w:rPr>
          <w:rFonts w:hint="default" w:ascii="Times New Roman" w:hAnsi="Times New Roman" w:eastAsia="宋体" w:cs="Times New Roman"/>
          <w:color w:val="auto"/>
          <w:szCs w:val="24"/>
          <w:highlight w:val="none"/>
        </w:rPr>
        <w:t>①露天采</w:t>
      </w:r>
      <w:r>
        <w:rPr>
          <w:rFonts w:hint="default" w:ascii="Times New Roman" w:hAnsi="Times New Roman" w:eastAsia="宋体" w:cs="Times New Roman"/>
          <w:color w:val="auto"/>
          <w:szCs w:val="24"/>
          <w:highlight w:val="none"/>
          <w:lang w:val="en-US" w:eastAsia="zh-CN"/>
        </w:rPr>
        <w:t>场禁止在大风天气作业，</w:t>
      </w:r>
      <w:r>
        <w:rPr>
          <w:rFonts w:hint="default" w:ascii="Times New Roman" w:hAnsi="Times New Roman" w:eastAsia="宋体" w:cs="Times New Roman"/>
          <w:color w:val="auto"/>
          <w:szCs w:val="24"/>
          <w:highlight w:val="none"/>
        </w:rPr>
        <w:t>采</w:t>
      </w:r>
      <w:r>
        <w:rPr>
          <w:rFonts w:hint="eastAsia" w:cs="Times New Roman"/>
          <w:color w:val="auto"/>
          <w:szCs w:val="24"/>
          <w:highlight w:val="none"/>
          <w:lang w:val="en-US" w:eastAsia="zh-CN"/>
        </w:rPr>
        <w:t>场</w:t>
      </w:r>
      <w:r>
        <w:rPr>
          <w:rFonts w:hint="default" w:ascii="Times New Roman" w:hAnsi="Times New Roman" w:eastAsia="宋体" w:cs="Times New Roman"/>
          <w:color w:val="auto"/>
          <w:szCs w:val="24"/>
          <w:highlight w:val="none"/>
        </w:rPr>
        <w:t>扬尘配套采用移动式雾炮机降尘、分区分片开采等措施处理；②运输扬尘采取苫布遮盖密闭运输；控制运输车辆行驶速度及装载量，减少物料转运环节，缩短物料运输距离，严禁在大风及暴雨天气进行物料采装、运输等措施；③</w:t>
      </w:r>
      <w:r>
        <w:rPr>
          <w:rFonts w:hint="default" w:ascii="Times New Roman" w:hAnsi="Times New Roman" w:eastAsia="宋体" w:cs="Times New Roman"/>
          <w:color w:val="auto"/>
          <w:szCs w:val="24"/>
          <w:highlight w:val="none"/>
          <w:lang w:val="en-US" w:eastAsia="zh-CN"/>
        </w:rPr>
        <w:t>排土场、表土</w:t>
      </w:r>
      <w:r>
        <w:rPr>
          <w:rFonts w:hint="default" w:ascii="Times New Roman" w:hAnsi="Times New Roman" w:eastAsia="宋体" w:cs="Times New Roman"/>
          <w:color w:val="auto"/>
          <w:szCs w:val="24"/>
          <w:highlight w:val="none"/>
        </w:rPr>
        <w:t>堆场扬尘采取定期洒水，采用</w:t>
      </w:r>
      <w:r>
        <w:rPr>
          <w:rFonts w:hint="default" w:ascii="Times New Roman" w:hAnsi="Times New Roman" w:eastAsia="宋体" w:cs="Times New Roman"/>
          <w:color w:val="auto"/>
          <w:szCs w:val="24"/>
          <w:highlight w:val="none"/>
          <w:lang w:eastAsia="zh-CN"/>
        </w:rPr>
        <w:t>篷布</w:t>
      </w:r>
      <w:r>
        <w:rPr>
          <w:rFonts w:hint="default" w:ascii="Times New Roman" w:hAnsi="Times New Roman" w:eastAsia="宋体" w:cs="Times New Roman"/>
          <w:color w:val="auto"/>
          <w:szCs w:val="24"/>
          <w:highlight w:val="none"/>
        </w:rPr>
        <w:t>遮盖等。</w:t>
      </w:r>
      <w:r>
        <w:rPr>
          <w:rFonts w:hint="eastAsia" w:ascii="Times New Roman" w:hAnsi="Times New Roman" w:eastAsia="宋体" w:cs="Times New Roman"/>
          <w:color w:val="auto"/>
          <w:szCs w:val="24"/>
          <w:highlight w:val="none"/>
          <w:lang w:val="en-US" w:eastAsia="zh-CN"/>
        </w:rPr>
        <w:t>④物料转运连廊采取全封闭。⑤原料堆场采取全封闭设置。</w:t>
      </w:r>
      <w:r>
        <w:rPr>
          <w:rFonts w:hint="eastAsia" w:ascii="Times New Roman" w:hAnsi="Times New Roman" w:eastAsia="宋体" w:cs="Times New Roman"/>
          <w:color w:val="auto"/>
          <w:szCs w:val="24"/>
          <w:highlight w:val="none"/>
          <w:lang w:val="en-US" w:eastAsia="zh-CN"/>
        </w:rPr>
        <w:fldChar w:fldCharType="begin"/>
      </w:r>
      <w:r>
        <w:rPr>
          <w:rFonts w:hint="eastAsia" w:ascii="Times New Roman" w:hAnsi="Times New Roman" w:eastAsia="宋体" w:cs="Times New Roman"/>
          <w:color w:val="auto"/>
          <w:szCs w:val="24"/>
          <w:highlight w:val="none"/>
          <w:lang w:val="en-US" w:eastAsia="zh-CN"/>
        </w:rPr>
        <w:instrText xml:space="preserve"> = 6 \* GB3 \* MERGEFORMAT </w:instrText>
      </w:r>
      <w:r>
        <w:rPr>
          <w:rFonts w:hint="eastAsia" w:ascii="Times New Roman" w:hAnsi="Times New Roman" w:eastAsia="宋体" w:cs="Times New Roman"/>
          <w:color w:val="auto"/>
          <w:szCs w:val="24"/>
          <w:highlight w:val="none"/>
          <w:lang w:val="en-US" w:eastAsia="zh-CN"/>
        </w:rPr>
        <w:fldChar w:fldCharType="separate"/>
      </w:r>
      <w:r>
        <w:rPr>
          <w:rFonts w:hint="default" w:ascii="Times New Roman" w:hAnsi="Times New Roman" w:eastAsia="宋体" w:cs="Times New Roman"/>
          <w:color w:val="auto"/>
          <w:szCs w:val="24"/>
          <w:highlight w:val="none"/>
          <w:lang w:val="en-US" w:eastAsia="zh-CN"/>
        </w:rPr>
        <w:t>⑥</w:t>
      </w:r>
      <w:r>
        <w:rPr>
          <w:rFonts w:hint="eastAsia" w:ascii="Times New Roman" w:hAnsi="Times New Roman" w:eastAsia="宋体" w:cs="Times New Roman"/>
          <w:color w:val="auto"/>
          <w:szCs w:val="24"/>
          <w:highlight w:val="none"/>
          <w:lang w:val="en-US" w:eastAsia="zh-CN"/>
        </w:rPr>
        <w:fldChar w:fldCharType="end"/>
      </w:r>
      <w:r>
        <w:rPr>
          <w:rFonts w:hint="eastAsia" w:ascii="Times New Roman" w:hAnsi="Times New Roman" w:eastAsia="宋体" w:cs="Times New Roman"/>
          <w:color w:val="auto"/>
          <w:szCs w:val="24"/>
          <w:highlight w:val="none"/>
          <w:lang w:val="en-US" w:eastAsia="zh-CN"/>
        </w:rPr>
        <w:t>堂油烟通过油烟净化器处理后由专用烟道引至屋顶排放。</w:t>
      </w:r>
      <w:r>
        <w:rPr>
          <w:rFonts w:hint="eastAsia" w:ascii="Times New Roman" w:hAnsi="Times New Roman" w:eastAsia="宋体" w:cs="Times New Roman"/>
          <w:color w:val="auto"/>
          <w:highlight w:val="none"/>
          <w:lang w:val="en-US" w:eastAsia="zh-CN"/>
        </w:rPr>
        <w:fldChar w:fldCharType="begin"/>
      </w:r>
      <w:r>
        <w:rPr>
          <w:rFonts w:hint="eastAsia" w:ascii="Times New Roman" w:hAnsi="Times New Roman" w:eastAsia="宋体" w:cs="Times New Roman"/>
          <w:color w:val="auto"/>
          <w:highlight w:val="none"/>
          <w:lang w:val="en-US" w:eastAsia="zh-CN"/>
        </w:rPr>
        <w:instrText xml:space="preserve"> = 7 \* GB3 \* MERGEFORMAT </w:instrText>
      </w:r>
      <w:r>
        <w:rPr>
          <w:rFonts w:hint="eastAsia" w:ascii="Times New Roman" w:hAnsi="Times New Roman" w:eastAsia="宋体" w:cs="Times New Roman"/>
          <w:color w:val="auto"/>
          <w:highlight w:val="none"/>
          <w:lang w:val="en-US" w:eastAsia="zh-CN"/>
        </w:rPr>
        <w:fldChar w:fldCharType="separate"/>
      </w:r>
      <w:r>
        <w:rPr>
          <w:color w:val="auto"/>
        </w:rPr>
        <w:t>⑦</w:t>
      </w:r>
      <w:r>
        <w:rPr>
          <w:rFonts w:hint="eastAsia" w:ascii="Times New Roman" w:hAnsi="Times New Roman" w:eastAsia="宋体" w:cs="Times New Roman"/>
          <w:color w:val="auto"/>
          <w:highlight w:val="none"/>
          <w:lang w:val="en-US" w:eastAsia="zh-CN"/>
        </w:rPr>
        <w:fldChar w:fldCharType="end"/>
      </w:r>
      <w:r>
        <w:rPr>
          <w:rFonts w:hint="eastAsia" w:ascii="Times New Roman" w:hAnsi="Times New Roman" w:eastAsia="宋体" w:cs="Times New Roman"/>
          <w:color w:val="auto"/>
          <w:highlight w:val="none"/>
          <w:lang w:val="en-US" w:eastAsia="zh-CN"/>
        </w:rPr>
        <w:t>车辆使用标准柴油，加强机械、车辆维护保养，优先使用清洁能源或新能源货车，非道路移动机械，入场前须完成编码登记。</w:t>
      </w:r>
    </w:p>
    <w:p w14:paraId="29EC555F">
      <w:pPr>
        <w:spacing w:beforeLines="0" w:afterLines="0"/>
        <w:rPr>
          <w:rFonts w:hint="eastAsia" w:ascii="Times New Roman" w:hAnsi="Times New Roman" w:eastAsia="宋体" w:cs="Times New Roman"/>
          <w:color w:val="00B050"/>
          <w:sz w:val="24"/>
          <w:szCs w:val="24"/>
          <w:highlight w:val="none"/>
          <w:lang w:val="en-US" w:eastAsia="zh-CN"/>
        </w:rPr>
      </w:pPr>
      <w:r>
        <w:rPr>
          <w:rFonts w:hint="default" w:ascii="Times New Roman" w:hAnsi="Times New Roman" w:cs="Times New Roman"/>
          <w:color w:val="auto"/>
          <w:sz w:val="24"/>
          <w:szCs w:val="24"/>
          <w:highlight w:val="none"/>
          <w:lang w:val="en-US" w:eastAsia="zh-CN"/>
        </w:rPr>
        <w:t>筛分</w:t>
      </w:r>
      <w:r>
        <w:rPr>
          <w:rFonts w:hint="default" w:ascii="Times New Roman" w:hAnsi="Times New Roman" w:cs="Times New Roman"/>
          <w:color w:val="auto"/>
          <w:sz w:val="24"/>
          <w:szCs w:val="24"/>
          <w:highlight w:val="none"/>
        </w:rPr>
        <w:t>有组织废气</w:t>
      </w:r>
      <w:r>
        <w:rPr>
          <w:rFonts w:hint="default" w:ascii="Times New Roman" w:hAnsi="Times New Roman" w:cs="Times New Roman"/>
          <w:color w:val="auto"/>
          <w:sz w:val="24"/>
          <w:szCs w:val="24"/>
          <w:highlight w:val="none"/>
          <w:lang w:val="en-US" w:eastAsia="zh-CN"/>
        </w:rPr>
        <w:t>经过处理后排放浓度及排放速率</w:t>
      </w:r>
      <w:r>
        <w:rPr>
          <w:rFonts w:hint="default" w:ascii="Times New Roman" w:hAnsi="Times New Roman" w:cs="Times New Roman"/>
          <w:color w:val="auto"/>
          <w:sz w:val="24"/>
          <w:szCs w:val="24"/>
          <w:highlight w:val="none"/>
        </w:rPr>
        <w:t>满足《大气污染物综合排放标准》（GB 6297-1996）表2新污染源大气污染物排放限值中</w:t>
      </w:r>
      <w:r>
        <w:rPr>
          <w:rFonts w:hint="default" w:ascii="Times New Roman" w:hAnsi="Times New Roman" w:cs="Times New Roman"/>
          <w:color w:val="auto"/>
          <w:sz w:val="24"/>
          <w:szCs w:val="24"/>
          <w:highlight w:val="none"/>
          <w:lang w:val="en-US" w:eastAsia="zh-CN"/>
        </w:rPr>
        <w:t>排放浓度120mg/m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，排放速率3.5kg/h的要求</w:t>
      </w:r>
      <w:r>
        <w:rPr>
          <w:rFonts w:hint="default" w:ascii="Times New Roman" w:hAnsi="Times New Roman" w:cs="Times New Roman"/>
          <w:color w:val="auto"/>
          <w:sz w:val="24"/>
          <w:szCs w:val="24"/>
          <w:highlight w:val="none"/>
        </w:rPr>
        <w:t>，最大限度地减少对区域大气环境的影响，污染防治措施可行</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00B050"/>
          <w:sz w:val="24"/>
          <w:szCs w:val="24"/>
          <w:highlight w:val="none"/>
          <w:lang w:val="en-US" w:eastAsia="zh-CN"/>
        </w:rPr>
        <w:t>烘干废气中</w:t>
      </w:r>
      <w:r>
        <w:rPr>
          <w:rFonts w:hint="default" w:ascii="Times New Roman" w:hAnsi="Times New Roman" w:cs="Times New Roman"/>
          <w:snapToGrid w:val="0"/>
          <w:color w:val="00B050"/>
          <w:sz w:val="24"/>
          <w:szCs w:val="24"/>
          <w:highlight w:val="none"/>
        </w:rPr>
        <w:t>颗粒物有组织排放浓度满足</w:t>
      </w:r>
      <w:r>
        <w:rPr>
          <w:rFonts w:hint="default" w:ascii="Times New Roman" w:hAnsi="Times New Roman" w:cs="Times New Roman"/>
          <w:color w:val="00B050"/>
          <w:sz w:val="24"/>
          <w:szCs w:val="24"/>
          <w:highlight w:val="none"/>
        </w:rPr>
        <w:t>《</w:t>
      </w:r>
      <w:r>
        <w:rPr>
          <w:rFonts w:hint="default" w:ascii="Times New Roman" w:hAnsi="Times New Roman" w:cs="Times New Roman"/>
          <w:color w:val="00B050"/>
          <w:sz w:val="24"/>
          <w:szCs w:val="24"/>
          <w:highlight w:val="none"/>
          <w:lang w:val="en-US" w:eastAsia="zh-CN"/>
        </w:rPr>
        <w:t>新疆维吾尔自治区工业炉窑大气污染综合治理实施方案</w:t>
      </w:r>
      <w:r>
        <w:rPr>
          <w:rFonts w:hint="default" w:ascii="Times New Roman" w:hAnsi="Times New Roman" w:cs="Times New Roman"/>
          <w:color w:val="00B050"/>
          <w:sz w:val="24"/>
          <w:szCs w:val="24"/>
          <w:highlight w:val="none"/>
        </w:rPr>
        <w:t>》</w:t>
      </w:r>
      <w:r>
        <w:rPr>
          <w:rFonts w:hint="default" w:ascii="Times New Roman" w:hAnsi="Times New Roman" w:cs="Times New Roman"/>
          <w:snapToGrid w:val="0"/>
          <w:color w:val="00B050"/>
          <w:sz w:val="24"/>
          <w:szCs w:val="24"/>
          <w:highlight w:val="none"/>
        </w:rPr>
        <w:t>的通知：“重点区域原则上颗粒物排放限值分别不高于30毫克/立方米”</w:t>
      </w:r>
      <w:r>
        <w:rPr>
          <w:rFonts w:hint="eastAsia" w:cs="Times New Roman"/>
          <w:snapToGrid w:val="0"/>
          <w:color w:val="00B050"/>
          <w:sz w:val="24"/>
          <w:szCs w:val="24"/>
          <w:highlight w:val="none"/>
          <w:lang w:eastAsia="zh-CN"/>
        </w:rPr>
        <w:t>。</w:t>
      </w:r>
    </w:p>
    <w:p w14:paraId="38120053">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采场扬尘、堆场扬尘、运输扬尘采取措施后颗粒物厂界排放浓度可满足</w:t>
      </w:r>
      <w:r>
        <w:rPr>
          <w:rFonts w:hint="default" w:ascii="Times New Roman" w:hAnsi="Times New Roman" w:cs="Times New Roman"/>
          <w:color w:val="auto"/>
          <w:sz w:val="24"/>
          <w:szCs w:val="24"/>
          <w:highlight w:val="none"/>
        </w:rPr>
        <w:t>《大气污染综合排放标准》（GB16297-1996）无组织粉尘监控浓度1.0mg/m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lang w:val="en-US" w:eastAsia="zh-CN"/>
        </w:rPr>
        <w:t>的要求</w:t>
      </w:r>
      <w:r>
        <w:rPr>
          <w:rFonts w:hint="default" w:ascii="Times New Roman" w:hAnsi="Times New Roman" w:cs="Times New Roman"/>
          <w:color w:val="auto"/>
          <w:sz w:val="24"/>
          <w:szCs w:val="24"/>
          <w:highlight w:val="none"/>
          <w:lang w:eastAsia="zh-CN"/>
        </w:rPr>
        <w:t>。</w:t>
      </w:r>
    </w:p>
    <w:p w14:paraId="4E14ABDC">
      <w:pPr>
        <w:numPr>
          <w:ilvl w:val="0"/>
          <w:numId w:val="53"/>
        </w:numPr>
        <w:spacing w:beforeLines="0" w:afterLines="0"/>
        <w:ind w:left="0" w:leftChars="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废水污染防治措施</w:t>
      </w:r>
    </w:p>
    <w:p w14:paraId="73B7BDE5">
      <w:pPr>
        <w:numPr>
          <w:ilvl w:val="0"/>
          <w:numId w:val="0"/>
        </w:numPr>
        <w:spacing w:beforeLines="0" w:afterLines="0"/>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矿区生产废水经沉淀</w:t>
      </w:r>
      <w:r>
        <w:rPr>
          <w:rFonts w:hint="eastAsia" w:cs="Times New Roman"/>
          <w:color w:val="auto"/>
          <w:sz w:val="24"/>
          <w:szCs w:val="24"/>
          <w:highlight w:val="none"/>
          <w:lang w:val="en-US" w:eastAsia="zh-CN"/>
        </w:rPr>
        <w:t>池</w:t>
      </w:r>
      <w:r>
        <w:rPr>
          <w:rFonts w:hint="default" w:ascii="Times New Roman" w:hAnsi="Times New Roman" w:cs="Times New Roman"/>
          <w:color w:val="auto"/>
          <w:sz w:val="24"/>
          <w:szCs w:val="24"/>
          <w:highlight w:val="none"/>
          <w:lang w:val="en-US" w:eastAsia="zh-CN"/>
        </w:rPr>
        <w:t>沉淀</w:t>
      </w:r>
      <w:r>
        <w:rPr>
          <w:rFonts w:hint="default" w:ascii="Times New Roman" w:hAnsi="Times New Roman" w:cs="Times New Roman"/>
          <w:color w:val="auto"/>
          <w:sz w:val="24"/>
          <w:szCs w:val="24"/>
          <w:highlight w:val="none"/>
        </w:rPr>
        <w:t>后循环利用，不外排。生活污水经</w:t>
      </w:r>
      <w:r>
        <w:rPr>
          <w:rFonts w:hint="default" w:ascii="Times New Roman" w:hAnsi="Times New Roman" w:cs="Times New Roman"/>
          <w:color w:val="auto"/>
          <w:sz w:val="24"/>
          <w:szCs w:val="24"/>
          <w:highlight w:val="none"/>
          <w:lang w:val="en-US" w:eastAsia="zh-CN"/>
        </w:rPr>
        <w:t>地埋式</w:t>
      </w:r>
      <w:r>
        <w:rPr>
          <w:rFonts w:hint="default" w:ascii="Times New Roman" w:hAnsi="Times New Roman" w:cs="Times New Roman"/>
          <w:color w:val="auto"/>
          <w:sz w:val="24"/>
          <w:szCs w:val="24"/>
          <w:highlight w:val="none"/>
        </w:rPr>
        <w:t>一体化污水处理设施处理后可达到《农村生活污水处理排放标准》（DB65 4275</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2019）表2中的C级标准要求后回用于矿区</w:t>
      </w:r>
      <w:r>
        <w:rPr>
          <w:rFonts w:hint="default" w:ascii="Times New Roman" w:hAnsi="Times New Roman" w:cs="Times New Roman"/>
          <w:color w:val="auto"/>
          <w:sz w:val="24"/>
          <w:szCs w:val="24"/>
          <w:highlight w:val="none"/>
          <w:lang w:val="en-US" w:eastAsia="zh-CN"/>
        </w:rPr>
        <w:t>降尘绿化使用</w:t>
      </w:r>
      <w:r>
        <w:rPr>
          <w:rFonts w:hint="default" w:ascii="Times New Roman" w:hAnsi="Times New Roman" w:cs="Times New Roman"/>
          <w:color w:val="auto"/>
          <w:sz w:val="24"/>
          <w:szCs w:val="24"/>
          <w:highlight w:val="none"/>
        </w:rPr>
        <w:t>，措施可行。</w:t>
      </w:r>
    </w:p>
    <w:p w14:paraId="5E23FCBA">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（3）噪声污染防治措施</w:t>
      </w:r>
    </w:p>
    <w:p w14:paraId="028A43BE">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首先</w:t>
      </w:r>
      <w:r>
        <w:rPr>
          <w:rFonts w:hint="default" w:ascii="Times New Roman" w:hAnsi="Times New Roman" w:cs="Times New Roman"/>
          <w:color w:val="auto"/>
          <w:sz w:val="24"/>
          <w:szCs w:val="24"/>
          <w:highlight w:val="none"/>
        </w:rPr>
        <w:t>选用噪声较低的设备</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其次</w:t>
      </w:r>
      <w:r>
        <w:rPr>
          <w:rFonts w:hint="default" w:ascii="Times New Roman" w:hAnsi="Times New Roman" w:cs="Times New Roman"/>
          <w:color w:val="auto"/>
          <w:sz w:val="24"/>
          <w:szCs w:val="24"/>
          <w:highlight w:val="none"/>
        </w:rPr>
        <w:t>采取减震、隔声措施等，措施成熟可行。</w:t>
      </w:r>
    </w:p>
    <w:p w14:paraId="2C079FA9">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（4）固体废物污染防治措施</w:t>
      </w:r>
    </w:p>
    <w:p w14:paraId="05A474CB">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矿山开采剥离的表土在表土堆场遮盖单独保存，</w:t>
      </w:r>
      <w:r>
        <w:rPr>
          <w:rFonts w:hint="default" w:ascii="Times New Roman" w:hAnsi="Times New Roman" w:cs="Times New Roman"/>
          <w:color w:val="auto"/>
          <w:sz w:val="24"/>
          <w:szCs w:val="24"/>
          <w:highlight w:val="none"/>
        </w:rPr>
        <w:t>矿区建立</w:t>
      </w:r>
      <w:r>
        <w:rPr>
          <w:rFonts w:hint="default" w:ascii="Times New Roman" w:hAnsi="Times New Roman" w:cs="Times New Roman"/>
          <w:color w:val="auto"/>
          <w:sz w:val="24"/>
          <w:szCs w:val="24"/>
          <w:highlight w:val="none"/>
          <w:lang w:val="en-US" w:eastAsia="zh-CN"/>
        </w:rPr>
        <w:t>排土场</w:t>
      </w:r>
      <w:r>
        <w:rPr>
          <w:rFonts w:hint="eastAsia"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堆放筛分过程产生的</w:t>
      </w:r>
      <w:r>
        <w:rPr>
          <w:rFonts w:hint="default" w:ascii="Times New Roman" w:hAnsi="Times New Roman" w:cs="Times New Roman"/>
          <w:color w:val="auto"/>
          <w:sz w:val="24"/>
          <w:szCs w:val="24"/>
          <w:highlight w:val="none"/>
          <w:lang w:val="en-US" w:eastAsia="zh-CN"/>
        </w:rPr>
        <w:t>废土</w:t>
      </w:r>
      <w:r>
        <w:rPr>
          <w:rFonts w:hint="default" w:ascii="Times New Roman" w:hAnsi="Times New Roman" w:cs="Times New Roman"/>
          <w:color w:val="auto"/>
          <w:sz w:val="24"/>
          <w:szCs w:val="24"/>
          <w:highlight w:val="none"/>
        </w:rPr>
        <w:t>废料，</w:t>
      </w:r>
      <w:r>
        <w:rPr>
          <w:rFonts w:hint="default" w:ascii="Times New Roman" w:hAnsi="Times New Roman" w:cs="Times New Roman"/>
          <w:color w:val="auto"/>
          <w:sz w:val="24"/>
          <w:szCs w:val="24"/>
          <w:highlight w:val="none"/>
          <w:lang w:eastAsia="zh-CN"/>
        </w:rPr>
        <w:t>沉淀池</w:t>
      </w:r>
      <w:r>
        <w:rPr>
          <w:rFonts w:hint="default" w:ascii="Times New Roman" w:hAnsi="Times New Roman" w:cs="Times New Roman"/>
          <w:color w:val="auto"/>
          <w:sz w:val="24"/>
          <w:szCs w:val="24"/>
          <w:highlight w:val="none"/>
        </w:rPr>
        <w:t>沉渣定期清运至废料堆场</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当具备内排条件</w:t>
      </w:r>
      <w:r>
        <w:rPr>
          <w:rFonts w:hint="eastAsia" w:cs="Times New Roman"/>
          <w:color w:val="auto"/>
          <w:sz w:val="24"/>
          <w:szCs w:val="24"/>
          <w:highlight w:val="none"/>
          <w:lang w:val="en-US" w:eastAsia="zh-CN"/>
        </w:rPr>
        <w:t>时</w:t>
      </w:r>
      <w:r>
        <w:rPr>
          <w:rFonts w:hint="default" w:ascii="Times New Roman" w:hAnsi="Times New Roman" w:cs="Times New Roman"/>
          <w:color w:val="auto"/>
          <w:sz w:val="24"/>
          <w:szCs w:val="24"/>
          <w:highlight w:val="none"/>
          <w:lang w:val="en-US" w:eastAsia="zh-CN"/>
        </w:rPr>
        <w:t>，废料、废土、表土不</w:t>
      </w:r>
      <w:r>
        <w:rPr>
          <w:rFonts w:hint="eastAsia" w:cs="Times New Roman"/>
          <w:color w:val="auto"/>
          <w:sz w:val="24"/>
          <w:szCs w:val="24"/>
          <w:highlight w:val="none"/>
          <w:lang w:val="en-US" w:eastAsia="zh-CN"/>
        </w:rPr>
        <w:t>再</w:t>
      </w:r>
      <w:r>
        <w:rPr>
          <w:rFonts w:hint="default" w:ascii="Times New Roman" w:hAnsi="Times New Roman" w:cs="Times New Roman"/>
          <w:color w:val="auto"/>
          <w:sz w:val="24"/>
          <w:szCs w:val="24"/>
          <w:highlight w:val="none"/>
          <w:lang w:val="en-US" w:eastAsia="zh-CN"/>
        </w:rPr>
        <w:t>堆放，直接采取边开采，边回填，边复垦的措施将废料、废土回填采坑区，覆土复垦。排土场废土废料待闭矿后全部回填采坑；机修过程产生的废矿物油及包装桶在危废贮存点暂存，委托有资质的单位代为处置；</w:t>
      </w:r>
      <w:r>
        <w:rPr>
          <w:rFonts w:hint="default" w:ascii="Times New Roman" w:hAnsi="Times New Roman" w:cs="Times New Roman"/>
          <w:color w:val="auto"/>
          <w:sz w:val="24"/>
          <w:szCs w:val="24"/>
          <w:highlight w:val="none"/>
        </w:rPr>
        <w:t>生活区设置垃圾箱，</w:t>
      </w:r>
      <w:r>
        <w:rPr>
          <w:rFonts w:hint="default" w:ascii="Times New Roman" w:hAnsi="Times New Roman" w:cs="Times New Roman"/>
          <w:color w:val="auto"/>
          <w:sz w:val="24"/>
          <w:szCs w:val="24"/>
          <w:highlight w:val="none"/>
          <w:lang w:val="en-US" w:eastAsia="zh-CN"/>
        </w:rPr>
        <w:t>采取分类收集，</w:t>
      </w:r>
      <w:r>
        <w:rPr>
          <w:rFonts w:hint="default" w:ascii="Times New Roman" w:hAnsi="Times New Roman" w:cs="Times New Roman"/>
          <w:color w:val="auto"/>
          <w:sz w:val="24"/>
          <w:szCs w:val="24"/>
          <w:highlight w:val="none"/>
        </w:rPr>
        <w:t>定期拉运至阜康市生活垃圾填埋场处置。</w:t>
      </w:r>
    </w:p>
    <w:p w14:paraId="7F04D26E">
      <w:pPr>
        <w:spacing w:beforeLines="0" w:afterLine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采取上述措施后，项目固废将不会对周围环境产生明显影响，措施可</w:t>
      </w:r>
      <w:bookmarkStart w:id="786" w:name="_GoBack"/>
      <w:bookmarkEnd w:id="786"/>
      <w:r>
        <w:rPr>
          <w:rFonts w:hint="default" w:ascii="Times New Roman" w:hAnsi="Times New Roman" w:cs="Times New Roman"/>
          <w:color w:val="auto"/>
          <w:sz w:val="24"/>
          <w:szCs w:val="24"/>
          <w:highlight w:val="none"/>
        </w:rPr>
        <w:t>行。</w:t>
      </w:r>
    </w:p>
    <w:p w14:paraId="5BDAE4CE">
      <w:pPr>
        <w:pStyle w:val="4"/>
        <w:bidi w:val="0"/>
        <w:rPr>
          <w:rFonts w:hint="default"/>
        </w:rPr>
      </w:pPr>
      <w:bookmarkStart w:id="779" w:name="9.1.5产业政策符合性结论"/>
      <w:bookmarkEnd w:id="779"/>
      <w:r>
        <w:rPr>
          <w:rFonts w:hint="default"/>
        </w:rPr>
        <w:t>产业政策符合性结论</w:t>
      </w:r>
    </w:p>
    <w:p w14:paraId="593993C4">
      <w:pPr>
        <w:spacing w:beforeLines="0" w:afterLines="0"/>
        <w:rPr>
          <w:rFonts w:hint="default" w:ascii="Times New Roman" w:hAnsi="Times New Roman" w:cs="Times New Roman"/>
          <w:color w:val="auto"/>
          <w:sz w:val="24"/>
          <w:szCs w:val="24"/>
          <w:highlight w:val="none"/>
        </w:rPr>
      </w:pPr>
      <w:bookmarkStart w:id="780" w:name="9.1.6总量控制评价结论"/>
      <w:bookmarkEnd w:id="780"/>
      <w:r>
        <w:rPr>
          <w:rFonts w:hint="default" w:ascii="Times New Roman" w:hAnsi="Times New Roman" w:cs="Times New Roman"/>
          <w:color w:val="auto"/>
          <w:sz w:val="24"/>
          <w:szCs w:val="24"/>
          <w:highlight w:val="none"/>
        </w:rPr>
        <w:t>本项目为天然石英砂矿开采项目，根据《产业结构调整指导目录》（</w:t>
      </w:r>
      <w:r>
        <w:rPr>
          <w:rFonts w:hint="default" w:ascii="Times New Roman" w:hAnsi="Times New Roman" w:cs="Times New Roman"/>
          <w:color w:val="auto"/>
          <w:sz w:val="24"/>
          <w:szCs w:val="24"/>
          <w:highlight w:val="none"/>
          <w:lang w:val="en-US" w:eastAsia="zh-CN"/>
        </w:rPr>
        <w:t>2024年本</w:t>
      </w:r>
      <w:r>
        <w:rPr>
          <w:rFonts w:hint="default" w:ascii="Times New Roman" w:hAnsi="Times New Roman" w:cs="Times New Roman"/>
          <w:color w:val="auto"/>
          <w:sz w:val="24"/>
          <w:szCs w:val="24"/>
          <w:highlight w:val="none"/>
        </w:rPr>
        <w:t>），本项目不属于限制类和淘汰类项目，</w:t>
      </w:r>
      <w:r>
        <w:rPr>
          <w:rFonts w:hint="eastAsia" w:ascii="Times New Roman" w:hAnsi="Times New Roman" w:cs="Times New Roman"/>
          <w:color w:val="auto"/>
          <w:sz w:val="24"/>
          <w:szCs w:val="24"/>
          <w:highlight w:val="none"/>
          <w:lang w:val="en-US" w:eastAsia="zh-CN"/>
        </w:rPr>
        <w:t>视为</w:t>
      </w:r>
      <w:r>
        <w:rPr>
          <w:rFonts w:hint="default" w:ascii="Times New Roman" w:hAnsi="Times New Roman" w:cs="Times New Roman"/>
          <w:color w:val="auto"/>
          <w:sz w:val="24"/>
          <w:szCs w:val="24"/>
          <w:highlight w:val="none"/>
        </w:rPr>
        <w:t>允许类项目，项目的开发建设符合目前的产业政策要求。</w:t>
      </w:r>
    </w:p>
    <w:p w14:paraId="702FA56D">
      <w:pPr>
        <w:pStyle w:val="4"/>
        <w:bidi w:val="0"/>
        <w:rPr>
          <w:rFonts w:hint="default"/>
          <w:color w:val="FF0000"/>
        </w:rPr>
      </w:pPr>
      <w:r>
        <w:rPr>
          <w:rFonts w:hint="default"/>
          <w:color w:val="FF0000"/>
        </w:rPr>
        <w:t>总量控制评价结论</w:t>
      </w:r>
    </w:p>
    <w:p w14:paraId="115BB698">
      <w:pPr>
        <w:spacing w:beforeLines="0" w:afterLines="0"/>
        <w:rPr>
          <w:rFonts w:hint="default" w:ascii="Times New Roman" w:hAnsi="Times New Roman" w:eastAsia="宋体" w:cs="Times New Roman"/>
          <w:color w:val="00B050"/>
          <w:sz w:val="24"/>
          <w:szCs w:val="24"/>
          <w:highlight w:val="none"/>
          <w:lang w:eastAsia="zh-CN"/>
        </w:rPr>
      </w:pPr>
      <w:r>
        <w:rPr>
          <w:rFonts w:hint="default" w:ascii="Times New Roman" w:hAnsi="Times New Roman" w:cs="Times New Roman"/>
          <w:color w:val="00B050"/>
          <w:sz w:val="24"/>
          <w:szCs w:val="24"/>
          <w:highlight w:val="none"/>
        </w:rPr>
        <w:t>本次需申请总量颗粒物为</w:t>
      </w:r>
      <w:r>
        <w:rPr>
          <w:rFonts w:hint="eastAsia" w:cs="Times New Roman"/>
          <w:color w:val="00B050"/>
          <w:sz w:val="24"/>
          <w:szCs w:val="24"/>
          <w:highlight w:val="none"/>
          <w:lang w:val="en-US" w:eastAsia="zh-CN"/>
        </w:rPr>
        <w:t>0.824</w:t>
      </w:r>
      <w:r>
        <w:rPr>
          <w:rFonts w:hint="default" w:ascii="Times New Roman" w:hAnsi="Times New Roman" w:cs="Times New Roman"/>
          <w:color w:val="00B050"/>
          <w:sz w:val="24"/>
          <w:szCs w:val="24"/>
          <w:highlight w:val="none"/>
        </w:rPr>
        <w:t>t/a</w:t>
      </w:r>
      <w:r>
        <w:rPr>
          <w:rFonts w:hint="default" w:ascii="Times New Roman" w:hAnsi="Times New Roman" w:cs="Times New Roman"/>
          <w:color w:val="00B050"/>
          <w:sz w:val="24"/>
          <w:szCs w:val="24"/>
          <w:highlight w:val="none"/>
          <w:lang w:val="en-US" w:eastAsia="zh-CN"/>
        </w:rPr>
        <w:t>。</w:t>
      </w:r>
    </w:p>
    <w:p w14:paraId="63197D74">
      <w:pPr>
        <w:pStyle w:val="4"/>
        <w:bidi w:val="0"/>
        <w:rPr>
          <w:rFonts w:hint="default"/>
        </w:rPr>
      </w:pPr>
      <w:bookmarkStart w:id="781" w:name="9.1.7综合评价结论"/>
      <w:bookmarkEnd w:id="781"/>
      <w:r>
        <w:rPr>
          <w:rFonts w:hint="default"/>
        </w:rPr>
        <w:t>综合评价结论</w:t>
      </w:r>
    </w:p>
    <w:p w14:paraId="76B3B9E3">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rPr>
        <w:t>本项目的建设符合生态保护红线、环境质量底线、资源利用上线及环境准入清单的相关要求</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本工程符合国家产业政策和环保政策要求，具有良好的经济效益和社会效益。</w:t>
      </w:r>
      <w:r>
        <w:rPr>
          <w:rFonts w:hint="eastAsia" w:cs="Times New Roman"/>
          <w:color w:val="auto"/>
          <w:sz w:val="24"/>
          <w:szCs w:val="24"/>
          <w:highlight w:val="none"/>
          <w:lang w:val="en-US" w:eastAsia="zh-CN"/>
        </w:rPr>
        <w:t>在环境影响评价期间，建设单位采取了网络公示，现场张贴公示等方式进行了公众意见征询，未收到反对意见。</w:t>
      </w:r>
      <w:r>
        <w:rPr>
          <w:rFonts w:hint="default" w:ascii="Times New Roman" w:hAnsi="Times New Roman" w:eastAsia="宋体" w:cs="Times New Roman"/>
          <w:color w:val="auto"/>
          <w:sz w:val="24"/>
          <w:szCs w:val="24"/>
          <w:highlight w:val="none"/>
          <w:lang w:val="en-US" w:eastAsia="zh-CN"/>
        </w:rPr>
        <w:t>工程采矿工艺属于目前国内较成熟应用较广的工艺技术，工艺路线符合清洁生产的要求。本工程应在主体工程与环保工程同时竣工完成后，方可投入运营。</w:t>
      </w:r>
      <w:r>
        <w:rPr>
          <w:rFonts w:hint="default" w:ascii="Times New Roman" w:hAnsi="Times New Roman" w:cs="Times New Roman"/>
          <w:color w:val="auto"/>
          <w:sz w:val="24"/>
          <w:szCs w:val="24"/>
          <w:highlight w:val="none"/>
          <w:lang w:val="en-US" w:eastAsia="zh-CN"/>
        </w:rPr>
        <w:t>在落实</w:t>
      </w:r>
      <w:r>
        <w:rPr>
          <w:rFonts w:hint="default" w:ascii="Times New Roman" w:hAnsi="Times New Roman" w:eastAsia="宋体" w:cs="Times New Roman"/>
          <w:color w:val="auto"/>
          <w:sz w:val="24"/>
          <w:szCs w:val="24"/>
          <w:highlight w:val="none"/>
          <w:lang w:val="en-US" w:eastAsia="zh-CN"/>
        </w:rPr>
        <w:t>本报告提出的环保、节能降耗措施，特别是污染防治和风险防范措施后，从保护环境的角度出发，本工程的建设是可行的。</w:t>
      </w:r>
    </w:p>
    <w:p w14:paraId="2D61EA4F">
      <w:pPr>
        <w:pStyle w:val="3"/>
        <w:bidi w:val="0"/>
        <w:rPr>
          <w:rFonts w:hint="default"/>
        </w:rPr>
      </w:pPr>
      <w:bookmarkStart w:id="782" w:name="9.2建议"/>
      <w:bookmarkEnd w:id="782"/>
      <w:bookmarkStart w:id="783" w:name="bookmark48"/>
      <w:bookmarkEnd w:id="783"/>
      <w:bookmarkStart w:id="784" w:name="_Toc27947"/>
      <w:bookmarkStart w:id="785" w:name="_Toc8778"/>
      <w:r>
        <w:rPr>
          <w:rFonts w:hint="default"/>
        </w:rPr>
        <w:t>建议</w:t>
      </w:r>
      <w:bookmarkEnd w:id="784"/>
      <w:bookmarkEnd w:id="785"/>
    </w:p>
    <w:p w14:paraId="30BABD4E">
      <w:pPr>
        <w:numPr>
          <w:ilvl w:val="0"/>
          <w:numId w:val="54"/>
        </w:numPr>
        <w:spacing w:beforeLines="0" w:afterLines="0"/>
        <w:ind w:left="845" w:leftChars="0" w:hanging="425" w:firstLineChars="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严格按照划定的矿区范围进行开采，严禁越界开采，尤其是禁止在西侧</w:t>
      </w:r>
      <w:r>
        <w:rPr>
          <w:rFonts w:hint="default" w:ascii="Times New Roman" w:hAnsi="Times New Roman" w:cs="Times New Roman"/>
          <w:color w:val="auto"/>
          <w:highlight w:val="none"/>
        </w:rPr>
        <w:t>新疆阜康市彩南国家沙化</w:t>
      </w:r>
      <w:r>
        <w:rPr>
          <w:rFonts w:hint="default" w:ascii="Times New Roman" w:hAnsi="Times New Roman" w:eastAsia="宋体" w:cs="Times New Roman"/>
          <w:color w:val="auto"/>
          <w:sz w:val="24"/>
          <w:szCs w:val="24"/>
          <w:highlight w:val="none"/>
        </w:rPr>
        <w:t>土地封禁保护区</w:t>
      </w:r>
      <w:r>
        <w:rPr>
          <w:rFonts w:hint="default" w:ascii="Times New Roman" w:hAnsi="Times New Roman" w:eastAsia="宋体" w:cs="Times New Roman"/>
          <w:color w:val="auto"/>
          <w:sz w:val="24"/>
          <w:szCs w:val="24"/>
          <w:highlight w:val="none"/>
          <w:lang w:val="en-US" w:eastAsia="zh-CN"/>
        </w:rPr>
        <w:t>内进行采矿活动。</w:t>
      </w:r>
    </w:p>
    <w:p w14:paraId="35309202">
      <w:pPr>
        <w:numPr>
          <w:ilvl w:val="0"/>
          <w:numId w:val="54"/>
        </w:numPr>
        <w:spacing w:beforeLines="0" w:afterLines="0"/>
        <w:ind w:left="845" w:leftChars="0" w:hanging="425" w:firstLineChars="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定期进行环境保护教育，提高全矿职工的环保意识。</w:t>
      </w:r>
    </w:p>
    <w:p w14:paraId="31ABDAFE">
      <w:pPr>
        <w:numPr>
          <w:ilvl w:val="0"/>
          <w:numId w:val="54"/>
        </w:numPr>
        <w:spacing w:beforeLines="0" w:afterLines="0"/>
        <w:ind w:left="845" w:leftChars="0" w:hanging="425" w:firstLineChars="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全矿应设置专职人员负责矿山环保工作，保证各项环保措施得到落实。</w:t>
      </w:r>
    </w:p>
    <w:p w14:paraId="649C56A2">
      <w:pPr>
        <w:numPr>
          <w:ilvl w:val="0"/>
          <w:numId w:val="54"/>
        </w:numPr>
        <w:spacing w:beforeLines="0" w:afterLines="0"/>
        <w:ind w:left="845" w:leftChars="0" w:hanging="425" w:firstLineChars="0"/>
        <w:rPr>
          <w:rFonts w:hint="default" w:ascii="Times New Roman" w:hAnsi="Times New Roman" w:eastAsia="宋体" w:cs="Times New Roman"/>
          <w:color w:val="auto"/>
          <w:sz w:val="24"/>
          <w:szCs w:val="24"/>
          <w:highlight w:val="none"/>
          <w:lang w:val="zh-TW" w:eastAsia="zh-CN"/>
        </w:rPr>
      </w:pPr>
      <w:r>
        <w:rPr>
          <w:rFonts w:hint="default" w:ascii="Times New Roman" w:hAnsi="Times New Roman" w:eastAsia="宋体" w:cs="Times New Roman"/>
          <w:color w:val="auto"/>
          <w:sz w:val="24"/>
          <w:szCs w:val="24"/>
          <w:highlight w:val="none"/>
          <w:lang w:val="zh-TW" w:eastAsia="zh-CN"/>
        </w:rPr>
        <w:t>本项目建成后3～5年内，应开展环境影响后评价，重点关注工程建设的生态环境影响，根据后评价结果，及时补充、完善相关环保措施。</w:t>
      </w:r>
    </w:p>
    <w:p w14:paraId="089DF04D">
      <w:pPr>
        <w:numPr>
          <w:ilvl w:val="0"/>
          <w:numId w:val="54"/>
        </w:numPr>
        <w:spacing w:beforeLines="0" w:afterLines="0"/>
        <w:ind w:left="845" w:leftChars="0" w:hanging="425" w:firstLineChars="0"/>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sz w:val="24"/>
          <w:szCs w:val="24"/>
          <w:highlight w:val="none"/>
          <w:lang w:val="zh-TW" w:eastAsia="zh-CN"/>
        </w:rPr>
        <w:t>开展</w:t>
      </w:r>
      <w:r>
        <w:rPr>
          <w:rFonts w:hint="default" w:ascii="Times New Roman" w:hAnsi="Times New Roman" w:eastAsia="宋体" w:cs="Times New Roman"/>
          <w:color w:val="auto"/>
          <w:sz w:val="24"/>
          <w:szCs w:val="24"/>
          <w:highlight w:val="none"/>
        </w:rPr>
        <w:t>运营期及闭矿期环境监理，重点加强矿区、生活区、堆场等区域生态保护措施，确保不对矿区生态</w:t>
      </w:r>
      <w:r>
        <w:rPr>
          <w:rFonts w:hint="default" w:ascii="Times New Roman" w:hAnsi="Times New Roman" w:cs="Times New Roman"/>
          <w:color w:val="auto"/>
          <w:sz w:val="24"/>
          <w:szCs w:val="24"/>
          <w:highlight w:val="none"/>
        </w:rPr>
        <w:t>环境造成较大影响。</w:t>
      </w:r>
    </w:p>
    <w:sectPr>
      <w:headerReference r:id="rId8" w:type="default"/>
      <w:pgSz w:w="11570" w:h="16490"/>
      <w:pgMar w:top="1559" w:right="1134" w:bottom="1134" w:left="1340" w:header="1071" w:footer="850" w:gutter="0"/>
      <w:pgBorders>
        <w:top w:val="none" w:sz="0" w:space="0"/>
        <w:left w:val="none" w:sz="0" w:space="0"/>
        <w:bottom w:val="none" w:sz="0" w:space="0"/>
        <w:right w:val="none" w:sz="0" w:space="0"/>
      </w:pgBorders>
      <w:lnNumType w:countBy="0" w:distance="360"/>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28"/>
    <w:family w:val="auto"/>
    <w:pitch w:val="default"/>
    <w:sig w:usb0="E0002EFF" w:usb1="C000785B" w:usb2="00000009" w:usb3="00000000" w:csb0="400001FF" w:csb1="FFFF0000"/>
  </w:font>
  <w:font w:name="宋体">
    <w:panose1 w:val="02010600030101010101"/>
    <w:charset w:val="02"/>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楷体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Wingdings 2">
    <w:panose1 w:val="05020102010507070707"/>
    <w:charset w:val="00"/>
    <w:family w:val="auto"/>
    <w:pitch w:val="default"/>
    <w:sig w:usb0="00000000" w:usb1="00000000" w:usb2="00000000" w:usb3="00000000" w:csb0="80000000" w:csb1="00000000"/>
  </w:font>
  <w:font w:name="Segoe UI">
    <w:panose1 w:val="020B0502040204020203"/>
    <w:charset w:val="00"/>
    <w:family w:val="auto"/>
    <w:pitch w:val="default"/>
    <w:sig w:usb0="E4002EFF" w:usb1="C000E47F" w:usb2="00000009" w:usb3="00000000" w:csb0="200001FF" w:csb1="00000000"/>
  </w:font>
  <w:font w:name="TimesNewRomanPSMT">
    <w:altName w:val="Times New Roman"/>
    <w:panose1 w:val="00000000000000000000"/>
    <w:charset w:val="00"/>
    <w:family w:val="auto"/>
    <w:pitch w:val="default"/>
    <w:sig w:usb0="00000000" w:usb1="00000000" w:usb2="00000000"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1743FB">
    <w:pPr>
      <w:pStyle w:val="2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7" name="文本框 1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27AB55">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7UmVU0AgAAZQ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c1rSgzTKPnp+7fT&#10;j1+nn19JOoREjQszRG4cYmP71rYIH84DDhPztvI6fcGJwA+BjxeBRRsJT5emk+k0h4vDN2yAnz1c&#10;dz7Ed8JqkoyCelSwE5YdbkPsQ4eQlM3YtVSqq6IypCno1ct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1JlVNAIAAGUEAAAOAAAAAAAAAAEAIAAAAB8BAABkcnMvZTJvRG9jLnhtbFBL&#10;BQYAAAAABgAGAFkBAADFBQAAAAA=&#10;">
              <v:fill on="f" focussize="0,0"/>
              <v:stroke on="f" weight="0.5pt"/>
              <v:imagedata o:title=""/>
              <o:lock v:ext="edit" aspectratio="f"/>
              <v:textbox inset="0mm,0mm,0mm,0mm" style="mso-fit-shape-to-text:t;">
                <w:txbxContent>
                  <w:p w14:paraId="1B27AB55">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60" w:lineRule="auto"/>
        <w:ind w:firstLine="480"/>
      </w:pPr>
      <w:r>
        <w:separator/>
      </w:r>
    </w:p>
  </w:footnote>
  <w:footnote w:type="continuationSeparator" w:id="1">
    <w:p>
      <w:pPr>
        <w:spacing w:before="0" w:after="0"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C5E38E">
    <w:pPr>
      <w:pStyle w:val="14"/>
      <w:kinsoku w:val="0"/>
      <w:overflowPunct w:val="0"/>
      <w:spacing w:beforeLines="0" w:afterLines="0" w:line="14" w:lineRule="auto"/>
      <w:ind w:left="0"/>
      <w:rPr>
        <w:rFonts w:hint="eastAsia"/>
        <w:sz w:val="20"/>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CDB247">
    <w:pPr>
      <w:pStyle w:val="14"/>
      <w:kinsoku w:val="0"/>
      <w:overflowPunct w:val="0"/>
      <w:spacing w:beforeLines="0" w:afterLines="0" w:line="14" w:lineRule="auto"/>
      <w:ind w:left="0"/>
      <w:rPr>
        <w:rFonts w:hint="eastAsia"/>
        <w:sz w:val="20"/>
        <w:szCs w:val="24"/>
      </w:rPr>
    </w:pPr>
    <w:r>
      <w:rPr>
        <w:rFonts w:hint="default" w:ascii="Calibri" w:hAnsi="Calibri" w:eastAsia="Calibri"/>
        <w:sz w:val="18"/>
        <w:szCs w:val="24"/>
      </w:rPr>
      <mc:AlternateContent>
        <mc:Choice Requires="wps">
          <w:drawing>
            <wp:anchor distT="0" distB="0" distL="114300" distR="114300" simplePos="0" relativeHeight="251660288" behindDoc="1" locked="0" layoutInCell="1" allowOverlap="1">
              <wp:simplePos x="0" y="0"/>
              <wp:positionH relativeFrom="page">
                <wp:posOffset>2425700</wp:posOffset>
              </wp:positionH>
              <wp:positionV relativeFrom="page">
                <wp:posOffset>871855</wp:posOffset>
              </wp:positionV>
              <wp:extent cx="5624830" cy="158115"/>
              <wp:effectExtent l="0" t="0" r="0" b="0"/>
              <wp:wrapNone/>
              <wp:docPr id="166" name="文本框 15"/>
              <wp:cNvGraphicFramePr/>
              <a:graphic xmlns:a="http://schemas.openxmlformats.org/drawingml/2006/main">
                <a:graphicData uri="http://schemas.microsoft.com/office/word/2010/wordprocessingShape">
                  <wps:wsp>
                    <wps:cNvSpPr txBox="1"/>
                    <wps:spPr>
                      <a:xfrm>
                        <a:off x="0" y="0"/>
                        <a:ext cx="5624830" cy="158115"/>
                      </a:xfrm>
                      <a:prstGeom prst="rect">
                        <a:avLst/>
                      </a:prstGeom>
                      <a:noFill/>
                      <a:ln>
                        <a:noFill/>
                      </a:ln>
                    </wps:spPr>
                    <wps:txbx>
                      <w:txbxContent>
                        <w:p w14:paraId="39362574">
                          <w:pPr>
                            <w:pStyle w:val="14"/>
                            <w:kinsoku w:val="0"/>
                            <w:overflowPunct w:val="0"/>
                            <w:spacing w:beforeLines="0" w:afterLines="0" w:line="229" w:lineRule="exact"/>
                            <w:ind w:left="20"/>
                            <w:rPr>
                              <w:rFonts w:hint="eastAsia"/>
                              <w:sz w:val="21"/>
                              <w:szCs w:val="24"/>
                            </w:rPr>
                          </w:pPr>
                          <w:r>
                            <w:rPr>
                              <w:rFonts w:hint="eastAsia"/>
                              <w:spacing w:val="-1"/>
                              <w:w w:val="99"/>
                              <w:sz w:val="21"/>
                              <w:szCs w:val="24"/>
                              <w:lang w:eastAsia="zh-CN"/>
                            </w:rPr>
                            <w:t>新疆采虹矿业投资有限公司新疆阜康市北部沙漠天然石英砂矿（压裂用）外围</w:t>
                          </w:r>
                          <w:r>
                            <w:rPr>
                              <w:rFonts w:hint="eastAsia"/>
                              <w:spacing w:val="-1"/>
                              <w:w w:val="99"/>
                              <w:sz w:val="21"/>
                              <w:szCs w:val="24"/>
                            </w:rPr>
                            <w:t>环</w:t>
                          </w:r>
                          <w:r>
                            <w:rPr>
                              <w:rFonts w:hint="eastAsia"/>
                              <w:spacing w:val="2"/>
                              <w:w w:val="99"/>
                              <w:sz w:val="21"/>
                              <w:szCs w:val="24"/>
                            </w:rPr>
                            <w:t>境</w:t>
                          </w:r>
                          <w:r>
                            <w:rPr>
                              <w:rFonts w:hint="eastAsia"/>
                              <w:spacing w:val="-1"/>
                              <w:w w:val="99"/>
                              <w:sz w:val="21"/>
                              <w:szCs w:val="24"/>
                            </w:rPr>
                            <w:t>影</w:t>
                          </w:r>
                          <w:r>
                            <w:rPr>
                              <w:rFonts w:hint="eastAsia"/>
                              <w:spacing w:val="2"/>
                              <w:w w:val="99"/>
                              <w:sz w:val="21"/>
                              <w:szCs w:val="24"/>
                            </w:rPr>
                            <w:t>响</w:t>
                          </w:r>
                          <w:r>
                            <w:rPr>
                              <w:rFonts w:hint="eastAsia"/>
                              <w:spacing w:val="-1"/>
                              <w:w w:val="99"/>
                              <w:sz w:val="21"/>
                              <w:szCs w:val="24"/>
                            </w:rPr>
                            <w:t>报</w:t>
                          </w:r>
                          <w:r>
                            <w:rPr>
                              <w:rFonts w:hint="eastAsia"/>
                              <w:spacing w:val="2"/>
                              <w:w w:val="99"/>
                              <w:sz w:val="21"/>
                              <w:szCs w:val="24"/>
                            </w:rPr>
                            <w:t>告</w:t>
                          </w:r>
                          <w:r>
                            <w:rPr>
                              <w:rFonts w:hint="eastAsia"/>
                              <w:w w:val="99"/>
                              <w:sz w:val="21"/>
                              <w:szCs w:val="24"/>
                            </w:rPr>
                            <w:t>书</w:t>
                          </w:r>
                        </w:p>
                      </w:txbxContent>
                    </wps:txbx>
                    <wps:bodyPr vert="horz" wrap="square" lIns="0" tIns="0" rIns="0" bIns="0" upright="1"/>
                  </wps:wsp>
                </a:graphicData>
              </a:graphic>
            </wp:anchor>
          </w:drawing>
        </mc:Choice>
        <mc:Fallback>
          <w:pict>
            <v:shape id="文本框 15" o:spid="_x0000_s1026" o:spt="202" type="#_x0000_t202" style="position:absolute;left:0pt;margin-left:191pt;margin-top:68.65pt;height:12.45pt;width:442.9pt;mso-position-horizontal-relative:page;mso-position-vertical-relative:page;z-index:-251656192;mso-width-relative:page;mso-height-relative:page;" filled="f" stroked="f" coordsize="21600,21600" o:gfxdata="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4PGft2gAAAAwBAAAPAAAAAAAAAAEAIAAAACIA&#10;AABkcnMvZG93bnJldi54bWxQSwECFAAUAAAACACHTuJAbCIcMc4BAACPAwAADgAAAAAAAAABACAA&#10;AAApAQAAZHJzL2Uyb0RvYy54bWxQSwUGAAAAAAYABgBZAQAAaQUAAAAA&#10;">
              <v:fill on="f" focussize="0,0"/>
              <v:stroke on="f"/>
              <v:imagedata o:title=""/>
              <o:lock v:ext="edit" aspectratio="f"/>
              <v:textbox inset="0mm,0mm,0mm,0mm">
                <w:txbxContent>
                  <w:p w14:paraId="39362574">
                    <w:pPr>
                      <w:pStyle w:val="14"/>
                      <w:kinsoku w:val="0"/>
                      <w:overflowPunct w:val="0"/>
                      <w:spacing w:beforeLines="0" w:afterLines="0" w:line="229" w:lineRule="exact"/>
                      <w:ind w:left="20"/>
                      <w:rPr>
                        <w:rFonts w:hint="eastAsia"/>
                        <w:sz w:val="21"/>
                        <w:szCs w:val="24"/>
                      </w:rPr>
                    </w:pPr>
                    <w:r>
                      <w:rPr>
                        <w:rFonts w:hint="eastAsia"/>
                        <w:spacing w:val="-1"/>
                        <w:w w:val="99"/>
                        <w:sz w:val="21"/>
                        <w:szCs w:val="24"/>
                        <w:lang w:eastAsia="zh-CN"/>
                      </w:rPr>
                      <w:t>新疆采虹矿业投资有限公司新疆阜康市北部沙漠天然石英砂矿（压裂用）外围</w:t>
                    </w:r>
                    <w:r>
                      <w:rPr>
                        <w:rFonts w:hint="eastAsia"/>
                        <w:spacing w:val="-1"/>
                        <w:w w:val="99"/>
                        <w:sz w:val="21"/>
                        <w:szCs w:val="24"/>
                      </w:rPr>
                      <w:t>环</w:t>
                    </w:r>
                    <w:r>
                      <w:rPr>
                        <w:rFonts w:hint="eastAsia"/>
                        <w:spacing w:val="2"/>
                        <w:w w:val="99"/>
                        <w:sz w:val="21"/>
                        <w:szCs w:val="24"/>
                      </w:rPr>
                      <w:t>境</w:t>
                    </w:r>
                    <w:r>
                      <w:rPr>
                        <w:rFonts w:hint="eastAsia"/>
                        <w:spacing w:val="-1"/>
                        <w:w w:val="99"/>
                        <w:sz w:val="21"/>
                        <w:szCs w:val="24"/>
                      </w:rPr>
                      <w:t>影</w:t>
                    </w:r>
                    <w:r>
                      <w:rPr>
                        <w:rFonts w:hint="eastAsia"/>
                        <w:spacing w:val="2"/>
                        <w:w w:val="99"/>
                        <w:sz w:val="21"/>
                        <w:szCs w:val="24"/>
                      </w:rPr>
                      <w:t>响</w:t>
                    </w:r>
                    <w:r>
                      <w:rPr>
                        <w:rFonts w:hint="eastAsia"/>
                        <w:spacing w:val="-1"/>
                        <w:w w:val="99"/>
                        <w:sz w:val="21"/>
                        <w:szCs w:val="24"/>
                      </w:rPr>
                      <w:t>报</w:t>
                    </w:r>
                    <w:r>
                      <w:rPr>
                        <w:rFonts w:hint="eastAsia"/>
                        <w:spacing w:val="2"/>
                        <w:w w:val="99"/>
                        <w:sz w:val="21"/>
                        <w:szCs w:val="24"/>
                      </w:rPr>
                      <w:t>告</w:t>
                    </w:r>
                    <w:r>
                      <w:rPr>
                        <w:rFonts w:hint="eastAsia"/>
                        <w:w w:val="99"/>
                        <w:sz w:val="21"/>
                        <w:szCs w:val="24"/>
                      </w:rPr>
                      <w:t>书</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29C5D6">
    <w:pPr>
      <w:pStyle w:val="14"/>
      <w:kinsoku w:val="0"/>
      <w:overflowPunct w:val="0"/>
      <w:spacing w:beforeLines="0" w:afterLines="0" w:line="14" w:lineRule="auto"/>
      <w:ind w:left="0"/>
      <w:rPr>
        <w:rFonts w:hint="eastAsia"/>
        <w:sz w:val="2"/>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55B842"/>
    <w:multiLevelType w:val="singleLevel"/>
    <w:tmpl w:val="8055B842"/>
    <w:lvl w:ilvl="0" w:tentative="0">
      <w:start w:val="1"/>
      <w:numFmt w:val="decimal"/>
      <w:suff w:val="nothing"/>
      <w:lvlText w:val="（%1）"/>
      <w:lvlJc w:val="left"/>
    </w:lvl>
  </w:abstractNum>
  <w:abstractNum w:abstractNumId="1">
    <w:nsid w:val="85A69925"/>
    <w:multiLevelType w:val="multilevel"/>
    <w:tmpl w:val="85A69925"/>
    <w:lvl w:ilvl="0" w:tentative="0">
      <w:start w:val="1"/>
      <w:numFmt w:val="decimal"/>
      <w:suff w:val="nothing"/>
      <w:lvlText w:val="（%1）"/>
      <w:lvlJc w:val="left"/>
      <w:rPr>
        <w:rFonts w:hint="default"/>
        <w:u w:val="none" w:color="auto"/>
      </w:rPr>
    </w:lvl>
    <w:lvl w:ilvl="1" w:tentative="0">
      <w:start w:val="1"/>
      <w:numFmt w:val="decimal"/>
      <w:lvlText w:val=""/>
      <w:lvlJc w:val="left"/>
      <w:rPr>
        <w:rFonts w:hint="default"/>
        <w:u w:val="none" w:color="auto"/>
      </w:rPr>
    </w:lvl>
    <w:lvl w:ilvl="2" w:tentative="0">
      <w:start w:val="1"/>
      <w:numFmt w:val="decimal"/>
      <w:lvlText w:val=""/>
      <w:lvlJc w:val="left"/>
      <w:rPr>
        <w:rFonts w:hint="default"/>
        <w:u w:val="none" w:color="auto"/>
      </w:rPr>
    </w:lvl>
    <w:lvl w:ilvl="3" w:tentative="0">
      <w:start w:val="1"/>
      <w:numFmt w:val="decimal"/>
      <w:lvlText w:val=""/>
      <w:lvlJc w:val="left"/>
      <w:rPr>
        <w:rFonts w:hint="default"/>
        <w:u w:val="none" w:color="auto"/>
      </w:rPr>
    </w:lvl>
    <w:lvl w:ilvl="4" w:tentative="0">
      <w:start w:val="1"/>
      <w:numFmt w:val="decimal"/>
      <w:lvlText w:val=""/>
      <w:lvlJc w:val="left"/>
      <w:rPr>
        <w:rFonts w:hint="default"/>
        <w:u w:val="none" w:color="auto"/>
      </w:rPr>
    </w:lvl>
    <w:lvl w:ilvl="5" w:tentative="0">
      <w:start w:val="1"/>
      <w:numFmt w:val="decimal"/>
      <w:lvlText w:val=""/>
      <w:lvlJc w:val="left"/>
      <w:rPr>
        <w:rFonts w:hint="default"/>
        <w:u w:val="none" w:color="auto"/>
      </w:rPr>
    </w:lvl>
    <w:lvl w:ilvl="6" w:tentative="0">
      <w:start w:val="1"/>
      <w:numFmt w:val="decimal"/>
      <w:lvlText w:val=""/>
      <w:lvlJc w:val="left"/>
      <w:rPr>
        <w:rFonts w:hint="default"/>
        <w:u w:val="none" w:color="auto"/>
      </w:rPr>
    </w:lvl>
    <w:lvl w:ilvl="7" w:tentative="0">
      <w:start w:val="1"/>
      <w:numFmt w:val="decimal"/>
      <w:lvlText w:val=""/>
      <w:lvlJc w:val="left"/>
      <w:rPr>
        <w:rFonts w:hint="default"/>
        <w:u w:val="none" w:color="auto"/>
      </w:rPr>
    </w:lvl>
    <w:lvl w:ilvl="8" w:tentative="0">
      <w:start w:val="1"/>
      <w:numFmt w:val="decimal"/>
      <w:lvlText w:val=""/>
      <w:lvlJc w:val="left"/>
      <w:rPr>
        <w:rFonts w:hint="default"/>
        <w:u w:val="none" w:color="auto"/>
      </w:rPr>
    </w:lvl>
  </w:abstractNum>
  <w:abstractNum w:abstractNumId="2">
    <w:nsid w:val="874BFCDB"/>
    <w:multiLevelType w:val="singleLevel"/>
    <w:tmpl w:val="874BFCDB"/>
    <w:lvl w:ilvl="0" w:tentative="0">
      <w:start w:val="1"/>
      <w:numFmt w:val="decimal"/>
      <w:suff w:val="nothing"/>
      <w:lvlText w:val="（%1）"/>
      <w:lvlJc w:val="left"/>
    </w:lvl>
  </w:abstractNum>
  <w:abstractNum w:abstractNumId="3">
    <w:nsid w:val="87B722E3"/>
    <w:multiLevelType w:val="multilevel"/>
    <w:tmpl w:val="87B722E3"/>
    <w:lvl w:ilvl="0" w:tentative="0">
      <w:start w:val="1"/>
      <w:numFmt w:val="decimal"/>
      <w:suff w:val="nothing"/>
      <w:lvlText w:val="（%1）"/>
      <w:lvlJc w:val="left"/>
      <w:rPr>
        <w:rFonts w:hint="default"/>
        <w:u w:val="none" w:color="auto"/>
      </w:rPr>
    </w:lvl>
    <w:lvl w:ilvl="1" w:tentative="0">
      <w:start w:val="1"/>
      <w:numFmt w:val="decimal"/>
      <w:lvlText w:val=""/>
      <w:lvlJc w:val="left"/>
      <w:rPr>
        <w:rFonts w:hint="default"/>
        <w:u w:val="none" w:color="auto"/>
      </w:rPr>
    </w:lvl>
    <w:lvl w:ilvl="2" w:tentative="0">
      <w:start w:val="1"/>
      <w:numFmt w:val="decimal"/>
      <w:lvlText w:val=""/>
      <w:lvlJc w:val="left"/>
      <w:rPr>
        <w:rFonts w:hint="default"/>
        <w:u w:val="none" w:color="auto"/>
      </w:rPr>
    </w:lvl>
    <w:lvl w:ilvl="3" w:tentative="0">
      <w:start w:val="1"/>
      <w:numFmt w:val="decimal"/>
      <w:lvlText w:val=""/>
      <w:lvlJc w:val="left"/>
      <w:rPr>
        <w:rFonts w:hint="default"/>
        <w:u w:val="none" w:color="auto"/>
      </w:rPr>
    </w:lvl>
    <w:lvl w:ilvl="4" w:tentative="0">
      <w:start w:val="1"/>
      <w:numFmt w:val="decimal"/>
      <w:lvlText w:val=""/>
      <w:lvlJc w:val="left"/>
      <w:rPr>
        <w:rFonts w:hint="default"/>
        <w:u w:val="none" w:color="auto"/>
      </w:rPr>
    </w:lvl>
    <w:lvl w:ilvl="5" w:tentative="0">
      <w:start w:val="1"/>
      <w:numFmt w:val="decimal"/>
      <w:lvlText w:val=""/>
      <w:lvlJc w:val="left"/>
      <w:rPr>
        <w:rFonts w:hint="default"/>
        <w:u w:val="none" w:color="auto"/>
      </w:rPr>
    </w:lvl>
    <w:lvl w:ilvl="6" w:tentative="0">
      <w:start w:val="1"/>
      <w:numFmt w:val="decimal"/>
      <w:lvlText w:val=""/>
      <w:lvlJc w:val="left"/>
      <w:rPr>
        <w:rFonts w:hint="default"/>
        <w:u w:val="none" w:color="auto"/>
      </w:rPr>
    </w:lvl>
    <w:lvl w:ilvl="7" w:tentative="0">
      <w:start w:val="1"/>
      <w:numFmt w:val="decimal"/>
      <w:lvlText w:val=""/>
      <w:lvlJc w:val="left"/>
      <w:rPr>
        <w:rFonts w:hint="default"/>
        <w:u w:val="none" w:color="auto"/>
      </w:rPr>
    </w:lvl>
    <w:lvl w:ilvl="8" w:tentative="0">
      <w:start w:val="1"/>
      <w:numFmt w:val="decimal"/>
      <w:lvlText w:val=""/>
      <w:lvlJc w:val="left"/>
      <w:rPr>
        <w:rFonts w:hint="default"/>
        <w:u w:val="none" w:color="auto"/>
      </w:rPr>
    </w:lvl>
  </w:abstractNum>
  <w:abstractNum w:abstractNumId="4">
    <w:nsid w:val="87F3A150"/>
    <w:multiLevelType w:val="singleLevel"/>
    <w:tmpl w:val="87F3A150"/>
    <w:lvl w:ilvl="0" w:tentative="0">
      <w:start w:val="1"/>
      <w:numFmt w:val="decimal"/>
      <w:suff w:val="nothing"/>
      <w:lvlText w:val="(%1)"/>
      <w:lvlJc w:val="left"/>
      <w:pPr>
        <w:ind w:left="425" w:hanging="385"/>
      </w:pPr>
      <w:rPr>
        <w:rFonts w:hint="default"/>
      </w:rPr>
    </w:lvl>
  </w:abstractNum>
  <w:abstractNum w:abstractNumId="5">
    <w:nsid w:val="8A71680A"/>
    <w:multiLevelType w:val="singleLevel"/>
    <w:tmpl w:val="8A71680A"/>
    <w:lvl w:ilvl="0" w:tentative="0">
      <w:start w:val="1"/>
      <w:numFmt w:val="decimal"/>
      <w:suff w:val="nothing"/>
      <w:lvlText w:val="（%1）"/>
      <w:lvlJc w:val="left"/>
    </w:lvl>
  </w:abstractNum>
  <w:abstractNum w:abstractNumId="6">
    <w:nsid w:val="8DD46F5A"/>
    <w:multiLevelType w:val="multilevel"/>
    <w:tmpl w:val="8DD46F5A"/>
    <w:lvl w:ilvl="0" w:tentative="0">
      <w:start w:val="1"/>
      <w:numFmt w:val="decimal"/>
      <w:suff w:val="nothing"/>
      <w:lvlText w:val="（%1）"/>
      <w:lvlJc w:val="left"/>
      <w:rPr>
        <w:rFonts w:hint="default"/>
        <w:u w:val="none" w:color="auto"/>
      </w:rPr>
    </w:lvl>
    <w:lvl w:ilvl="1" w:tentative="0">
      <w:start w:val="1"/>
      <w:numFmt w:val="decimal"/>
      <w:lvlText w:val=""/>
      <w:lvlJc w:val="left"/>
      <w:rPr>
        <w:rFonts w:hint="default"/>
        <w:u w:val="none" w:color="auto"/>
      </w:rPr>
    </w:lvl>
    <w:lvl w:ilvl="2" w:tentative="0">
      <w:start w:val="1"/>
      <w:numFmt w:val="decimal"/>
      <w:lvlText w:val=""/>
      <w:lvlJc w:val="left"/>
      <w:rPr>
        <w:rFonts w:hint="default"/>
        <w:u w:val="none" w:color="auto"/>
      </w:rPr>
    </w:lvl>
    <w:lvl w:ilvl="3" w:tentative="0">
      <w:start w:val="1"/>
      <w:numFmt w:val="decimal"/>
      <w:lvlText w:val=""/>
      <w:lvlJc w:val="left"/>
      <w:rPr>
        <w:rFonts w:hint="default"/>
        <w:u w:val="none" w:color="auto"/>
      </w:rPr>
    </w:lvl>
    <w:lvl w:ilvl="4" w:tentative="0">
      <w:start w:val="1"/>
      <w:numFmt w:val="decimal"/>
      <w:lvlText w:val=""/>
      <w:lvlJc w:val="left"/>
      <w:rPr>
        <w:rFonts w:hint="default"/>
        <w:u w:val="none" w:color="auto"/>
      </w:rPr>
    </w:lvl>
    <w:lvl w:ilvl="5" w:tentative="0">
      <w:start w:val="1"/>
      <w:numFmt w:val="decimal"/>
      <w:lvlText w:val=""/>
      <w:lvlJc w:val="left"/>
      <w:rPr>
        <w:rFonts w:hint="default"/>
        <w:u w:val="none" w:color="auto"/>
      </w:rPr>
    </w:lvl>
    <w:lvl w:ilvl="6" w:tentative="0">
      <w:start w:val="1"/>
      <w:numFmt w:val="decimal"/>
      <w:lvlText w:val=""/>
      <w:lvlJc w:val="left"/>
      <w:rPr>
        <w:rFonts w:hint="default"/>
        <w:u w:val="none" w:color="auto"/>
      </w:rPr>
    </w:lvl>
    <w:lvl w:ilvl="7" w:tentative="0">
      <w:start w:val="1"/>
      <w:numFmt w:val="decimal"/>
      <w:lvlText w:val=""/>
      <w:lvlJc w:val="left"/>
      <w:rPr>
        <w:rFonts w:hint="default"/>
        <w:u w:val="none" w:color="auto"/>
      </w:rPr>
    </w:lvl>
    <w:lvl w:ilvl="8" w:tentative="0">
      <w:start w:val="1"/>
      <w:numFmt w:val="decimal"/>
      <w:lvlText w:val=""/>
      <w:lvlJc w:val="left"/>
      <w:rPr>
        <w:rFonts w:hint="default"/>
        <w:u w:val="none" w:color="auto"/>
      </w:rPr>
    </w:lvl>
  </w:abstractNum>
  <w:abstractNum w:abstractNumId="7">
    <w:nsid w:val="8F2A0762"/>
    <w:multiLevelType w:val="singleLevel"/>
    <w:tmpl w:val="8F2A0762"/>
    <w:lvl w:ilvl="0" w:tentative="0">
      <w:start w:val="1"/>
      <w:numFmt w:val="decimal"/>
      <w:suff w:val="space"/>
      <w:lvlText w:val="%1."/>
      <w:lvlJc w:val="left"/>
    </w:lvl>
  </w:abstractNum>
  <w:abstractNum w:abstractNumId="8">
    <w:nsid w:val="90B75C06"/>
    <w:multiLevelType w:val="multilevel"/>
    <w:tmpl w:val="90B75C06"/>
    <w:lvl w:ilvl="0" w:tentative="0">
      <w:start w:val="4"/>
      <w:numFmt w:val="decimal"/>
      <w:suff w:val="nothing"/>
      <w:lvlText w:val="%1）"/>
      <w:lvlJc w:val="left"/>
      <w:rPr>
        <w:rFonts w:hint="default"/>
        <w:u w:val="none" w:color="auto"/>
      </w:rPr>
    </w:lvl>
    <w:lvl w:ilvl="1" w:tentative="0">
      <w:start w:val="1"/>
      <w:numFmt w:val="decimal"/>
      <w:lvlText w:val=""/>
      <w:lvlJc w:val="left"/>
      <w:rPr>
        <w:rFonts w:hint="default"/>
        <w:u w:val="none" w:color="auto"/>
      </w:rPr>
    </w:lvl>
    <w:lvl w:ilvl="2" w:tentative="0">
      <w:start w:val="1"/>
      <w:numFmt w:val="decimal"/>
      <w:lvlText w:val=""/>
      <w:lvlJc w:val="left"/>
      <w:rPr>
        <w:rFonts w:hint="default"/>
        <w:u w:val="none" w:color="auto"/>
      </w:rPr>
    </w:lvl>
    <w:lvl w:ilvl="3" w:tentative="0">
      <w:start w:val="1"/>
      <w:numFmt w:val="decimal"/>
      <w:lvlText w:val=""/>
      <w:lvlJc w:val="left"/>
      <w:rPr>
        <w:rFonts w:hint="default"/>
        <w:u w:val="none" w:color="auto"/>
      </w:rPr>
    </w:lvl>
    <w:lvl w:ilvl="4" w:tentative="0">
      <w:start w:val="1"/>
      <w:numFmt w:val="decimal"/>
      <w:lvlText w:val=""/>
      <w:lvlJc w:val="left"/>
      <w:rPr>
        <w:rFonts w:hint="default"/>
        <w:u w:val="none" w:color="auto"/>
      </w:rPr>
    </w:lvl>
    <w:lvl w:ilvl="5" w:tentative="0">
      <w:start w:val="1"/>
      <w:numFmt w:val="decimal"/>
      <w:lvlText w:val=""/>
      <w:lvlJc w:val="left"/>
      <w:rPr>
        <w:rFonts w:hint="default"/>
        <w:u w:val="none" w:color="auto"/>
      </w:rPr>
    </w:lvl>
    <w:lvl w:ilvl="6" w:tentative="0">
      <w:start w:val="1"/>
      <w:numFmt w:val="decimal"/>
      <w:lvlText w:val=""/>
      <w:lvlJc w:val="left"/>
      <w:rPr>
        <w:rFonts w:hint="default"/>
        <w:u w:val="none" w:color="auto"/>
      </w:rPr>
    </w:lvl>
    <w:lvl w:ilvl="7" w:tentative="0">
      <w:start w:val="1"/>
      <w:numFmt w:val="decimal"/>
      <w:lvlText w:val=""/>
      <w:lvlJc w:val="left"/>
      <w:rPr>
        <w:rFonts w:hint="default"/>
        <w:u w:val="none" w:color="auto"/>
      </w:rPr>
    </w:lvl>
    <w:lvl w:ilvl="8" w:tentative="0">
      <w:start w:val="1"/>
      <w:numFmt w:val="decimal"/>
      <w:lvlText w:val=""/>
      <w:lvlJc w:val="left"/>
      <w:rPr>
        <w:rFonts w:hint="default"/>
        <w:u w:val="none" w:color="auto"/>
      </w:rPr>
    </w:lvl>
  </w:abstractNum>
  <w:abstractNum w:abstractNumId="9">
    <w:nsid w:val="934B0891"/>
    <w:multiLevelType w:val="multilevel"/>
    <w:tmpl w:val="934B0891"/>
    <w:lvl w:ilvl="0" w:tentative="0">
      <w:start w:val="1"/>
      <w:numFmt w:val="decimal"/>
      <w:suff w:val="nothing"/>
      <w:lvlText w:val="(%1)"/>
      <w:lvlJc w:val="left"/>
      <w:pPr>
        <w:tabs>
          <w:tab w:val="left" w:pos="0"/>
        </w:tabs>
        <w:ind w:left="147" w:firstLine="420"/>
      </w:pPr>
      <w:rPr>
        <w:rFonts w:hint="default"/>
        <w:u w:val="none" w:color="auto"/>
      </w:rPr>
    </w:lvl>
    <w:lvl w:ilvl="1" w:tentative="0">
      <w:start w:val="1"/>
      <w:numFmt w:val="decimal"/>
      <w:lvlText w:val=""/>
      <w:lvlJc w:val="left"/>
      <w:rPr>
        <w:rFonts w:hint="default"/>
        <w:u w:val="none" w:color="auto"/>
      </w:rPr>
    </w:lvl>
    <w:lvl w:ilvl="2" w:tentative="0">
      <w:start w:val="1"/>
      <w:numFmt w:val="decimal"/>
      <w:lvlText w:val=""/>
      <w:lvlJc w:val="left"/>
      <w:rPr>
        <w:rFonts w:hint="default"/>
        <w:u w:val="none" w:color="auto"/>
      </w:rPr>
    </w:lvl>
    <w:lvl w:ilvl="3" w:tentative="0">
      <w:start w:val="1"/>
      <w:numFmt w:val="decimal"/>
      <w:lvlText w:val=""/>
      <w:lvlJc w:val="left"/>
      <w:rPr>
        <w:rFonts w:hint="default"/>
        <w:u w:val="none" w:color="auto"/>
      </w:rPr>
    </w:lvl>
    <w:lvl w:ilvl="4" w:tentative="0">
      <w:start w:val="1"/>
      <w:numFmt w:val="decimal"/>
      <w:lvlText w:val=""/>
      <w:lvlJc w:val="left"/>
      <w:rPr>
        <w:rFonts w:hint="default"/>
        <w:u w:val="none" w:color="auto"/>
      </w:rPr>
    </w:lvl>
    <w:lvl w:ilvl="5" w:tentative="0">
      <w:start w:val="1"/>
      <w:numFmt w:val="decimal"/>
      <w:lvlText w:val=""/>
      <w:lvlJc w:val="left"/>
      <w:rPr>
        <w:rFonts w:hint="default"/>
        <w:u w:val="none" w:color="auto"/>
      </w:rPr>
    </w:lvl>
    <w:lvl w:ilvl="6" w:tentative="0">
      <w:start w:val="1"/>
      <w:numFmt w:val="decimal"/>
      <w:lvlText w:val=""/>
      <w:lvlJc w:val="left"/>
      <w:rPr>
        <w:rFonts w:hint="default"/>
        <w:u w:val="none" w:color="auto"/>
      </w:rPr>
    </w:lvl>
    <w:lvl w:ilvl="7" w:tentative="0">
      <w:start w:val="1"/>
      <w:numFmt w:val="decimal"/>
      <w:lvlText w:val=""/>
      <w:lvlJc w:val="left"/>
      <w:rPr>
        <w:rFonts w:hint="default"/>
        <w:u w:val="none" w:color="auto"/>
      </w:rPr>
    </w:lvl>
    <w:lvl w:ilvl="8" w:tentative="0">
      <w:start w:val="1"/>
      <w:numFmt w:val="decimal"/>
      <w:lvlText w:val=""/>
      <w:lvlJc w:val="left"/>
      <w:rPr>
        <w:rFonts w:hint="default"/>
        <w:u w:val="none" w:color="auto"/>
      </w:rPr>
    </w:lvl>
  </w:abstractNum>
  <w:abstractNum w:abstractNumId="10">
    <w:nsid w:val="9B6C3738"/>
    <w:multiLevelType w:val="singleLevel"/>
    <w:tmpl w:val="9B6C3738"/>
    <w:lvl w:ilvl="0" w:tentative="0">
      <w:start w:val="5"/>
      <w:numFmt w:val="chineseCounting"/>
      <w:suff w:val="nothing"/>
      <w:lvlText w:val="（%1）"/>
      <w:lvlJc w:val="left"/>
      <w:rPr>
        <w:rFonts w:hint="eastAsia"/>
      </w:rPr>
    </w:lvl>
  </w:abstractNum>
  <w:abstractNum w:abstractNumId="11">
    <w:nsid w:val="9B84EF6E"/>
    <w:multiLevelType w:val="multilevel"/>
    <w:tmpl w:val="9B84EF6E"/>
    <w:lvl w:ilvl="0" w:tentative="0">
      <w:start w:val="3"/>
      <w:numFmt w:val="decimal"/>
      <w:suff w:val="nothing"/>
      <w:lvlText w:val="（%1）"/>
      <w:lvlJc w:val="left"/>
      <w:rPr>
        <w:rFonts w:hint="default"/>
        <w:u w:val="none" w:color="auto"/>
      </w:rPr>
    </w:lvl>
    <w:lvl w:ilvl="1" w:tentative="0">
      <w:start w:val="1"/>
      <w:numFmt w:val="decimal"/>
      <w:lvlText w:val=""/>
      <w:lvlJc w:val="left"/>
      <w:rPr>
        <w:rFonts w:hint="default"/>
        <w:u w:val="none" w:color="auto"/>
      </w:rPr>
    </w:lvl>
    <w:lvl w:ilvl="2" w:tentative="0">
      <w:start w:val="1"/>
      <w:numFmt w:val="decimal"/>
      <w:lvlText w:val=""/>
      <w:lvlJc w:val="left"/>
      <w:rPr>
        <w:rFonts w:hint="default"/>
        <w:u w:val="none" w:color="auto"/>
      </w:rPr>
    </w:lvl>
    <w:lvl w:ilvl="3" w:tentative="0">
      <w:start w:val="1"/>
      <w:numFmt w:val="decimal"/>
      <w:lvlText w:val=""/>
      <w:lvlJc w:val="left"/>
      <w:rPr>
        <w:rFonts w:hint="default"/>
        <w:u w:val="none" w:color="auto"/>
      </w:rPr>
    </w:lvl>
    <w:lvl w:ilvl="4" w:tentative="0">
      <w:start w:val="1"/>
      <w:numFmt w:val="decimal"/>
      <w:lvlText w:val=""/>
      <w:lvlJc w:val="left"/>
      <w:rPr>
        <w:rFonts w:hint="default"/>
        <w:u w:val="none" w:color="auto"/>
      </w:rPr>
    </w:lvl>
    <w:lvl w:ilvl="5" w:tentative="0">
      <w:start w:val="1"/>
      <w:numFmt w:val="decimal"/>
      <w:lvlText w:val=""/>
      <w:lvlJc w:val="left"/>
      <w:rPr>
        <w:rFonts w:hint="default"/>
        <w:u w:val="none" w:color="auto"/>
      </w:rPr>
    </w:lvl>
    <w:lvl w:ilvl="6" w:tentative="0">
      <w:start w:val="1"/>
      <w:numFmt w:val="decimal"/>
      <w:lvlText w:val=""/>
      <w:lvlJc w:val="left"/>
      <w:rPr>
        <w:rFonts w:hint="default"/>
        <w:u w:val="none" w:color="auto"/>
      </w:rPr>
    </w:lvl>
    <w:lvl w:ilvl="7" w:tentative="0">
      <w:start w:val="1"/>
      <w:numFmt w:val="decimal"/>
      <w:lvlText w:val=""/>
      <w:lvlJc w:val="left"/>
      <w:rPr>
        <w:rFonts w:hint="default"/>
        <w:u w:val="none" w:color="auto"/>
      </w:rPr>
    </w:lvl>
    <w:lvl w:ilvl="8" w:tentative="0">
      <w:start w:val="1"/>
      <w:numFmt w:val="decimal"/>
      <w:lvlText w:val=""/>
      <w:lvlJc w:val="left"/>
      <w:rPr>
        <w:rFonts w:hint="default"/>
        <w:u w:val="none" w:color="auto"/>
      </w:rPr>
    </w:lvl>
  </w:abstractNum>
  <w:abstractNum w:abstractNumId="12">
    <w:nsid w:val="9C56A554"/>
    <w:multiLevelType w:val="singleLevel"/>
    <w:tmpl w:val="9C56A554"/>
    <w:lvl w:ilvl="0" w:tentative="0">
      <w:start w:val="1"/>
      <w:numFmt w:val="chineseCounting"/>
      <w:suff w:val="nothing"/>
      <w:lvlText w:val="（%1）"/>
      <w:lvlJc w:val="left"/>
      <w:rPr>
        <w:rFonts w:hint="eastAsia"/>
      </w:rPr>
    </w:lvl>
  </w:abstractNum>
  <w:abstractNum w:abstractNumId="13">
    <w:nsid w:val="9DA58123"/>
    <w:multiLevelType w:val="multilevel"/>
    <w:tmpl w:val="9DA58123"/>
    <w:lvl w:ilvl="0" w:tentative="0">
      <w:start w:val="1"/>
      <w:numFmt w:val="decimal"/>
      <w:suff w:val="nothing"/>
      <w:lvlText w:val="%1）"/>
      <w:lvlJc w:val="left"/>
      <w:rPr>
        <w:rFonts w:hint="default"/>
        <w:u w:val="none" w:color="auto"/>
      </w:rPr>
    </w:lvl>
    <w:lvl w:ilvl="1" w:tentative="0">
      <w:start w:val="1"/>
      <w:numFmt w:val="decimal"/>
      <w:lvlText w:val=""/>
      <w:lvlJc w:val="left"/>
      <w:rPr>
        <w:rFonts w:hint="default"/>
        <w:u w:val="none" w:color="auto"/>
      </w:rPr>
    </w:lvl>
    <w:lvl w:ilvl="2" w:tentative="0">
      <w:start w:val="1"/>
      <w:numFmt w:val="decimal"/>
      <w:lvlText w:val=""/>
      <w:lvlJc w:val="left"/>
      <w:rPr>
        <w:rFonts w:hint="default"/>
        <w:u w:val="none" w:color="auto"/>
      </w:rPr>
    </w:lvl>
    <w:lvl w:ilvl="3" w:tentative="0">
      <w:start w:val="1"/>
      <w:numFmt w:val="decimal"/>
      <w:lvlText w:val=""/>
      <w:lvlJc w:val="left"/>
      <w:rPr>
        <w:rFonts w:hint="default"/>
        <w:u w:val="none" w:color="auto"/>
      </w:rPr>
    </w:lvl>
    <w:lvl w:ilvl="4" w:tentative="0">
      <w:start w:val="1"/>
      <w:numFmt w:val="decimal"/>
      <w:lvlText w:val=""/>
      <w:lvlJc w:val="left"/>
      <w:rPr>
        <w:rFonts w:hint="default"/>
        <w:u w:val="none" w:color="auto"/>
      </w:rPr>
    </w:lvl>
    <w:lvl w:ilvl="5" w:tentative="0">
      <w:start w:val="1"/>
      <w:numFmt w:val="decimal"/>
      <w:lvlText w:val=""/>
      <w:lvlJc w:val="left"/>
      <w:rPr>
        <w:rFonts w:hint="default"/>
        <w:u w:val="none" w:color="auto"/>
      </w:rPr>
    </w:lvl>
    <w:lvl w:ilvl="6" w:tentative="0">
      <w:start w:val="1"/>
      <w:numFmt w:val="decimal"/>
      <w:lvlText w:val=""/>
      <w:lvlJc w:val="left"/>
      <w:rPr>
        <w:rFonts w:hint="default"/>
        <w:u w:val="none" w:color="auto"/>
      </w:rPr>
    </w:lvl>
    <w:lvl w:ilvl="7" w:tentative="0">
      <w:start w:val="1"/>
      <w:numFmt w:val="decimal"/>
      <w:lvlText w:val=""/>
      <w:lvlJc w:val="left"/>
      <w:rPr>
        <w:rFonts w:hint="default"/>
        <w:u w:val="none" w:color="auto"/>
      </w:rPr>
    </w:lvl>
    <w:lvl w:ilvl="8" w:tentative="0">
      <w:start w:val="1"/>
      <w:numFmt w:val="decimal"/>
      <w:lvlText w:val=""/>
      <w:lvlJc w:val="left"/>
      <w:rPr>
        <w:rFonts w:hint="default"/>
        <w:u w:val="none" w:color="auto"/>
      </w:rPr>
    </w:lvl>
  </w:abstractNum>
  <w:abstractNum w:abstractNumId="14">
    <w:nsid w:val="AC11AFA5"/>
    <w:multiLevelType w:val="multilevel"/>
    <w:tmpl w:val="AC11AFA5"/>
    <w:lvl w:ilvl="0" w:tentative="0">
      <w:start w:val="1"/>
      <w:numFmt w:val="decimal"/>
      <w:pStyle w:val="19"/>
      <w:lvlText w:val="%1."/>
      <w:lvlJc w:val="left"/>
      <w:pPr>
        <w:tabs>
          <w:tab w:val="left" w:pos="2040"/>
        </w:tabs>
        <w:ind w:left="2040" w:hanging="360"/>
      </w:pPr>
      <w:rPr>
        <w:rFonts w:hint="default"/>
        <w:u w:val="none" w:color="auto"/>
      </w:rPr>
    </w:lvl>
    <w:lvl w:ilvl="1" w:tentative="0">
      <w:start w:val="1"/>
      <w:numFmt w:val="decimal"/>
      <w:lvlText w:val=""/>
      <w:lvlJc w:val="left"/>
      <w:rPr>
        <w:rFonts w:hint="default"/>
        <w:u w:val="none" w:color="auto"/>
      </w:rPr>
    </w:lvl>
    <w:lvl w:ilvl="2" w:tentative="0">
      <w:start w:val="1"/>
      <w:numFmt w:val="decimal"/>
      <w:lvlText w:val=""/>
      <w:lvlJc w:val="left"/>
      <w:rPr>
        <w:rFonts w:hint="default"/>
        <w:u w:val="none" w:color="auto"/>
      </w:rPr>
    </w:lvl>
    <w:lvl w:ilvl="3" w:tentative="0">
      <w:start w:val="1"/>
      <w:numFmt w:val="decimal"/>
      <w:lvlText w:val=""/>
      <w:lvlJc w:val="left"/>
      <w:rPr>
        <w:rFonts w:hint="default"/>
        <w:u w:val="none" w:color="auto"/>
      </w:rPr>
    </w:lvl>
    <w:lvl w:ilvl="4" w:tentative="0">
      <w:start w:val="1"/>
      <w:numFmt w:val="decimal"/>
      <w:lvlText w:val=""/>
      <w:lvlJc w:val="left"/>
      <w:rPr>
        <w:rFonts w:hint="default"/>
        <w:u w:val="none" w:color="auto"/>
      </w:rPr>
    </w:lvl>
    <w:lvl w:ilvl="5" w:tentative="0">
      <w:start w:val="1"/>
      <w:numFmt w:val="decimal"/>
      <w:lvlText w:val=""/>
      <w:lvlJc w:val="left"/>
      <w:rPr>
        <w:rFonts w:hint="default"/>
        <w:u w:val="none" w:color="auto"/>
      </w:rPr>
    </w:lvl>
    <w:lvl w:ilvl="6" w:tentative="0">
      <w:start w:val="1"/>
      <w:numFmt w:val="decimal"/>
      <w:lvlText w:val=""/>
      <w:lvlJc w:val="left"/>
      <w:rPr>
        <w:rFonts w:hint="default"/>
        <w:u w:val="none" w:color="auto"/>
      </w:rPr>
    </w:lvl>
    <w:lvl w:ilvl="7" w:tentative="0">
      <w:start w:val="1"/>
      <w:numFmt w:val="decimal"/>
      <w:lvlText w:val=""/>
      <w:lvlJc w:val="left"/>
      <w:rPr>
        <w:rFonts w:hint="default"/>
        <w:u w:val="none" w:color="auto"/>
      </w:rPr>
    </w:lvl>
    <w:lvl w:ilvl="8" w:tentative="0">
      <w:start w:val="1"/>
      <w:numFmt w:val="decimal"/>
      <w:lvlText w:val=""/>
      <w:lvlJc w:val="left"/>
      <w:rPr>
        <w:rFonts w:hint="default"/>
        <w:u w:val="none" w:color="auto"/>
      </w:rPr>
    </w:lvl>
  </w:abstractNum>
  <w:abstractNum w:abstractNumId="15">
    <w:nsid w:val="B4C46B06"/>
    <w:multiLevelType w:val="multilevel"/>
    <w:tmpl w:val="B4C46B06"/>
    <w:lvl w:ilvl="0" w:tentative="0">
      <w:start w:val="1"/>
      <w:numFmt w:val="decimal"/>
      <w:suff w:val="nothing"/>
      <w:lvlText w:val="(%1)"/>
      <w:lvlJc w:val="left"/>
      <w:pPr>
        <w:tabs>
          <w:tab w:val="left" w:pos="0"/>
        </w:tabs>
        <w:ind w:left="147" w:firstLine="420"/>
      </w:pPr>
      <w:rPr>
        <w:rFonts w:hint="default"/>
        <w:u w:val="none" w:color="auto"/>
      </w:rPr>
    </w:lvl>
    <w:lvl w:ilvl="1" w:tentative="0">
      <w:start w:val="1"/>
      <w:numFmt w:val="decimal"/>
      <w:lvlText w:val=""/>
      <w:lvlJc w:val="left"/>
      <w:rPr>
        <w:rFonts w:hint="default"/>
        <w:u w:val="none" w:color="auto"/>
      </w:rPr>
    </w:lvl>
    <w:lvl w:ilvl="2" w:tentative="0">
      <w:start w:val="1"/>
      <w:numFmt w:val="decimal"/>
      <w:lvlText w:val=""/>
      <w:lvlJc w:val="left"/>
      <w:rPr>
        <w:rFonts w:hint="default"/>
        <w:u w:val="none" w:color="auto"/>
      </w:rPr>
    </w:lvl>
    <w:lvl w:ilvl="3" w:tentative="0">
      <w:start w:val="1"/>
      <w:numFmt w:val="decimal"/>
      <w:lvlText w:val=""/>
      <w:lvlJc w:val="left"/>
      <w:rPr>
        <w:rFonts w:hint="default"/>
        <w:u w:val="none" w:color="auto"/>
      </w:rPr>
    </w:lvl>
    <w:lvl w:ilvl="4" w:tentative="0">
      <w:start w:val="1"/>
      <w:numFmt w:val="decimal"/>
      <w:lvlText w:val=""/>
      <w:lvlJc w:val="left"/>
      <w:rPr>
        <w:rFonts w:hint="default"/>
        <w:u w:val="none" w:color="auto"/>
      </w:rPr>
    </w:lvl>
    <w:lvl w:ilvl="5" w:tentative="0">
      <w:start w:val="1"/>
      <w:numFmt w:val="decimal"/>
      <w:lvlText w:val=""/>
      <w:lvlJc w:val="left"/>
      <w:rPr>
        <w:rFonts w:hint="default"/>
        <w:u w:val="none" w:color="auto"/>
      </w:rPr>
    </w:lvl>
    <w:lvl w:ilvl="6" w:tentative="0">
      <w:start w:val="1"/>
      <w:numFmt w:val="decimal"/>
      <w:lvlText w:val=""/>
      <w:lvlJc w:val="left"/>
      <w:rPr>
        <w:rFonts w:hint="default"/>
        <w:u w:val="none" w:color="auto"/>
      </w:rPr>
    </w:lvl>
    <w:lvl w:ilvl="7" w:tentative="0">
      <w:start w:val="1"/>
      <w:numFmt w:val="decimal"/>
      <w:lvlText w:val=""/>
      <w:lvlJc w:val="left"/>
      <w:rPr>
        <w:rFonts w:hint="default"/>
        <w:u w:val="none" w:color="auto"/>
      </w:rPr>
    </w:lvl>
    <w:lvl w:ilvl="8" w:tentative="0">
      <w:start w:val="1"/>
      <w:numFmt w:val="decimal"/>
      <w:lvlText w:val=""/>
      <w:lvlJc w:val="left"/>
      <w:rPr>
        <w:rFonts w:hint="default"/>
        <w:u w:val="none" w:color="auto"/>
      </w:rPr>
    </w:lvl>
  </w:abstractNum>
  <w:abstractNum w:abstractNumId="16">
    <w:nsid w:val="B61F33F6"/>
    <w:multiLevelType w:val="multilevel"/>
    <w:tmpl w:val="B61F33F6"/>
    <w:lvl w:ilvl="0" w:tentative="0">
      <w:start w:val="2"/>
      <w:numFmt w:val="decimal"/>
      <w:suff w:val="nothing"/>
      <w:lvlText w:val="%1）"/>
      <w:lvlJc w:val="left"/>
      <w:rPr>
        <w:rFonts w:hint="default"/>
        <w:u w:val="none" w:color="auto"/>
      </w:rPr>
    </w:lvl>
    <w:lvl w:ilvl="1" w:tentative="0">
      <w:start w:val="1"/>
      <w:numFmt w:val="decimal"/>
      <w:lvlText w:val=""/>
      <w:lvlJc w:val="left"/>
      <w:rPr>
        <w:rFonts w:hint="default"/>
        <w:u w:val="none" w:color="auto"/>
      </w:rPr>
    </w:lvl>
    <w:lvl w:ilvl="2" w:tentative="0">
      <w:start w:val="1"/>
      <w:numFmt w:val="decimal"/>
      <w:lvlText w:val=""/>
      <w:lvlJc w:val="left"/>
      <w:rPr>
        <w:rFonts w:hint="default"/>
        <w:u w:val="none" w:color="auto"/>
      </w:rPr>
    </w:lvl>
    <w:lvl w:ilvl="3" w:tentative="0">
      <w:start w:val="1"/>
      <w:numFmt w:val="decimal"/>
      <w:lvlText w:val=""/>
      <w:lvlJc w:val="left"/>
      <w:rPr>
        <w:rFonts w:hint="default"/>
        <w:u w:val="none" w:color="auto"/>
      </w:rPr>
    </w:lvl>
    <w:lvl w:ilvl="4" w:tentative="0">
      <w:start w:val="1"/>
      <w:numFmt w:val="decimal"/>
      <w:lvlText w:val=""/>
      <w:lvlJc w:val="left"/>
      <w:rPr>
        <w:rFonts w:hint="default"/>
        <w:u w:val="none" w:color="auto"/>
      </w:rPr>
    </w:lvl>
    <w:lvl w:ilvl="5" w:tentative="0">
      <w:start w:val="1"/>
      <w:numFmt w:val="decimal"/>
      <w:lvlText w:val=""/>
      <w:lvlJc w:val="left"/>
      <w:rPr>
        <w:rFonts w:hint="default"/>
        <w:u w:val="none" w:color="auto"/>
      </w:rPr>
    </w:lvl>
    <w:lvl w:ilvl="6" w:tentative="0">
      <w:start w:val="1"/>
      <w:numFmt w:val="decimal"/>
      <w:lvlText w:val=""/>
      <w:lvlJc w:val="left"/>
      <w:rPr>
        <w:rFonts w:hint="default"/>
        <w:u w:val="none" w:color="auto"/>
      </w:rPr>
    </w:lvl>
    <w:lvl w:ilvl="7" w:tentative="0">
      <w:start w:val="1"/>
      <w:numFmt w:val="decimal"/>
      <w:lvlText w:val=""/>
      <w:lvlJc w:val="left"/>
      <w:rPr>
        <w:rFonts w:hint="default"/>
        <w:u w:val="none" w:color="auto"/>
      </w:rPr>
    </w:lvl>
    <w:lvl w:ilvl="8" w:tentative="0">
      <w:start w:val="1"/>
      <w:numFmt w:val="decimal"/>
      <w:lvlText w:val=""/>
      <w:lvlJc w:val="left"/>
      <w:rPr>
        <w:rFonts w:hint="default"/>
        <w:u w:val="none" w:color="auto"/>
      </w:rPr>
    </w:lvl>
  </w:abstractNum>
  <w:abstractNum w:abstractNumId="17">
    <w:nsid w:val="BB742C0D"/>
    <w:multiLevelType w:val="multilevel"/>
    <w:tmpl w:val="BB742C0D"/>
    <w:lvl w:ilvl="0" w:tentative="0">
      <w:start w:val="1"/>
      <w:numFmt w:val="chineseCounting"/>
      <w:suff w:val="nothing"/>
      <w:lvlText w:val="（%1）"/>
      <w:lvlJc w:val="left"/>
      <w:rPr>
        <w:rFonts w:hint="default"/>
        <w:u w:val="none" w:color="auto"/>
      </w:rPr>
    </w:lvl>
    <w:lvl w:ilvl="1" w:tentative="0">
      <w:start w:val="1"/>
      <w:numFmt w:val="decimal"/>
      <w:lvlText w:val=""/>
      <w:lvlJc w:val="left"/>
      <w:rPr>
        <w:rFonts w:hint="default"/>
        <w:u w:val="none" w:color="auto"/>
      </w:rPr>
    </w:lvl>
    <w:lvl w:ilvl="2" w:tentative="0">
      <w:start w:val="1"/>
      <w:numFmt w:val="decimal"/>
      <w:lvlText w:val=""/>
      <w:lvlJc w:val="left"/>
      <w:rPr>
        <w:rFonts w:hint="default"/>
        <w:u w:val="none" w:color="auto"/>
      </w:rPr>
    </w:lvl>
    <w:lvl w:ilvl="3" w:tentative="0">
      <w:start w:val="1"/>
      <w:numFmt w:val="decimal"/>
      <w:lvlText w:val=""/>
      <w:lvlJc w:val="left"/>
      <w:rPr>
        <w:rFonts w:hint="default"/>
        <w:u w:val="none" w:color="auto"/>
      </w:rPr>
    </w:lvl>
    <w:lvl w:ilvl="4" w:tentative="0">
      <w:start w:val="1"/>
      <w:numFmt w:val="decimal"/>
      <w:lvlText w:val=""/>
      <w:lvlJc w:val="left"/>
      <w:rPr>
        <w:rFonts w:hint="default"/>
        <w:u w:val="none" w:color="auto"/>
      </w:rPr>
    </w:lvl>
    <w:lvl w:ilvl="5" w:tentative="0">
      <w:start w:val="1"/>
      <w:numFmt w:val="decimal"/>
      <w:lvlText w:val=""/>
      <w:lvlJc w:val="left"/>
      <w:rPr>
        <w:rFonts w:hint="default"/>
        <w:u w:val="none" w:color="auto"/>
      </w:rPr>
    </w:lvl>
    <w:lvl w:ilvl="6" w:tentative="0">
      <w:start w:val="1"/>
      <w:numFmt w:val="decimal"/>
      <w:lvlText w:val=""/>
      <w:lvlJc w:val="left"/>
      <w:rPr>
        <w:rFonts w:hint="default"/>
        <w:u w:val="none" w:color="auto"/>
      </w:rPr>
    </w:lvl>
    <w:lvl w:ilvl="7" w:tentative="0">
      <w:start w:val="1"/>
      <w:numFmt w:val="decimal"/>
      <w:lvlText w:val=""/>
      <w:lvlJc w:val="left"/>
      <w:rPr>
        <w:rFonts w:hint="default"/>
        <w:u w:val="none" w:color="auto"/>
      </w:rPr>
    </w:lvl>
    <w:lvl w:ilvl="8" w:tentative="0">
      <w:start w:val="1"/>
      <w:numFmt w:val="decimal"/>
      <w:lvlText w:val=""/>
      <w:lvlJc w:val="left"/>
      <w:rPr>
        <w:rFonts w:hint="default"/>
        <w:u w:val="none" w:color="auto"/>
      </w:rPr>
    </w:lvl>
  </w:abstractNum>
  <w:abstractNum w:abstractNumId="18">
    <w:nsid w:val="CDB24B9B"/>
    <w:multiLevelType w:val="multilevel"/>
    <w:tmpl w:val="CDB24B9B"/>
    <w:lvl w:ilvl="0" w:tentative="0">
      <w:start w:val="1"/>
      <w:numFmt w:val="decimal"/>
      <w:suff w:val="nothing"/>
      <w:lvlText w:val="(%1)"/>
      <w:lvlJc w:val="left"/>
      <w:pPr>
        <w:tabs>
          <w:tab w:val="left" w:pos="0"/>
        </w:tabs>
        <w:ind w:left="147" w:firstLine="420"/>
      </w:pPr>
      <w:rPr>
        <w:rFonts w:hint="default"/>
        <w:u w:val="none" w:color="auto"/>
      </w:rPr>
    </w:lvl>
    <w:lvl w:ilvl="1" w:tentative="0">
      <w:start w:val="1"/>
      <w:numFmt w:val="decimal"/>
      <w:lvlText w:val=""/>
      <w:lvlJc w:val="left"/>
      <w:rPr>
        <w:rFonts w:hint="default"/>
        <w:u w:val="none" w:color="auto"/>
      </w:rPr>
    </w:lvl>
    <w:lvl w:ilvl="2" w:tentative="0">
      <w:start w:val="1"/>
      <w:numFmt w:val="decimal"/>
      <w:lvlText w:val=""/>
      <w:lvlJc w:val="left"/>
      <w:rPr>
        <w:rFonts w:hint="default"/>
        <w:u w:val="none" w:color="auto"/>
      </w:rPr>
    </w:lvl>
    <w:lvl w:ilvl="3" w:tentative="0">
      <w:start w:val="1"/>
      <w:numFmt w:val="decimal"/>
      <w:lvlText w:val=""/>
      <w:lvlJc w:val="left"/>
      <w:rPr>
        <w:rFonts w:hint="default"/>
        <w:u w:val="none" w:color="auto"/>
      </w:rPr>
    </w:lvl>
    <w:lvl w:ilvl="4" w:tentative="0">
      <w:start w:val="1"/>
      <w:numFmt w:val="decimal"/>
      <w:lvlText w:val=""/>
      <w:lvlJc w:val="left"/>
      <w:rPr>
        <w:rFonts w:hint="default"/>
        <w:u w:val="none" w:color="auto"/>
      </w:rPr>
    </w:lvl>
    <w:lvl w:ilvl="5" w:tentative="0">
      <w:start w:val="1"/>
      <w:numFmt w:val="decimal"/>
      <w:lvlText w:val=""/>
      <w:lvlJc w:val="left"/>
      <w:rPr>
        <w:rFonts w:hint="default"/>
        <w:u w:val="none" w:color="auto"/>
      </w:rPr>
    </w:lvl>
    <w:lvl w:ilvl="6" w:tentative="0">
      <w:start w:val="1"/>
      <w:numFmt w:val="decimal"/>
      <w:lvlText w:val=""/>
      <w:lvlJc w:val="left"/>
      <w:rPr>
        <w:rFonts w:hint="default"/>
        <w:u w:val="none" w:color="auto"/>
      </w:rPr>
    </w:lvl>
    <w:lvl w:ilvl="7" w:tentative="0">
      <w:start w:val="1"/>
      <w:numFmt w:val="decimal"/>
      <w:lvlText w:val=""/>
      <w:lvlJc w:val="left"/>
      <w:rPr>
        <w:rFonts w:hint="default"/>
        <w:u w:val="none" w:color="auto"/>
      </w:rPr>
    </w:lvl>
    <w:lvl w:ilvl="8" w:tentative="0">
      <w:start w:val="1"/>
      <w:numFmt w:val="decimal"/>
      <w:lvlText w:val=""/>
      <w:lvlJc w:val="left"/>
      <w:rPr>
        <w:rFonts w:hint="default"/>
        <w:u w:val="none" w:color="auto"/>
      </w:rPr>
    </w:lvl>
  </w:abstractNum>
  <w:abstractNum w:abstractNumId="19">
    <w:nsid w:val="D0846FFA"/>
    <w:multiLevelType w:val="multilevel"/>
    <w:tmpl w:val="D0846FFA"/>
    <w:lvl w:ilvl="0" w:tentative="0">
      <w:start w:val="1"/>
      <w:numFmt w:val="decimal"/>
      <w:suff w:val="nothing"/>
      <w:lvlText w:val="(%1)"/>
      <w:lvlJc w:val="left"/>
      <w:pPr>
        <w:tabs>
          <w:tab w:val="left" w:pos="0"/>
        </w:tabs>
        <w:ind w:left="147" w:firstLine="420"/>
      </w:pPr>
      <w:rPr>
        <w:rFonts w:hint="default"/>
        <w:u w:val="none" w:color="auto"/>
      </w:rPr>
    </w:lvl>
    <w:lvl w:ilvl="1" w:tentative="0">
      <w:start w:val="1"/>
      <w:numFmt w:val="decimal"/>
      <w:lvlText w:val=""/>
      <w:lvlJc w:val="left"/>
      <w:rPr>
        <w:rFonts w:hint="default"/>
        <w:u w:val="none" w:color="auto"/>
      </w:rPr>
    </w:lvl>
    <w:lvl w:ilvl="2" w:tentative="0">
      <w:start w:val="1"/>
      <w:numFmt w:val="decimal"/>
      <w:lvlText w:val=""/>
      <w:lvlJc w:val="left"/>
      <w:rPr>
        <w:rFonts w:hint="default"/>
        <w:u w:val="none" w:color="auto"/>
      </w:rPr>
    </w:lvl>
    <w:lvl w:ilvl="3" w:tentative="0">
      <w:start w:val="1"/>
      <w:numFmt w:val="decimal"/>
      <w:lvlText w:val=""/>
      <w:lvlJc w:val="left"/>
      <w:rPr>
        <w:rFonts w:hint="default"/>
        <w:u w:val="none" w:color="auto"/>
      </w:rPr>
    </w:lvl>
    <w:lvl w:ilvl="4" w:tentative="0">
      <w:start w:val="1"/>
      <w:numFmt w:val="decimal"/>
      <w:lvlText w:val=""/>
      <w:lvlJc w:val="left"/>
      <w:rPr>
        <w:rFonts w:hint="default"/>
        <w:u w:val="none" w:color="auto"/>
      </w:rPr>
    </w:lvl>
    <w:lvl w:ilvl="5" w:tentative="0">
      <w:start w:val="1"/>
      <w:numFmt w:val="decimal"/>
      <w:lvlText w:val=""/>
      <w:lvlJc w:val="left"/>
      <w:rPr>
        <w:rFonts w:hint="default"/>
        <w:u w:val="none" w:color="auto"/>
      </w:rPr>
    </w:lvl>
    <w:lvl w:ilvl="6" w:tentative="0">
      <w:start w:val="1"/>
      <w:numFmt w:val="decimal"/>
      <w:lvlText w:val=""/>
      <w:lvlJc w:val="left"/>
      <w:rPr>
        <w:rFonts w:hint="default"/>
        <w:u w:val="none" w:color="auto"/>
      </w:rPr>
    </w:lvl>
    <w:lvl w:ilvl="7" w:tentative="0">
      <w:start w:val="1"/>
      <w:numFmt w:val="decimal"/>
      <w:lvlText w:val=""/>
      <w:lvlJc w:val="left"/>
      <w:rPr>
        <w:rFonts w:hint="default"/>
        <w:u w:val="none" w:color="auto"/>
      </w:rPr>
    </w:lvl>
    <w:lvl w:ilvl="8" w:tentative="0">
      <w:start w:val="1"/>
      <w:numFmt w:val="decimal"/>
      <w:lvlText w:val=""/>
      <w:lvlJc w:val="left"/>
      <w:rPr>
        <w:rFonts w:hint="default"/>
        <w:u w:val="none" w:color="auto"/>
      </w:rPr>
    </w:lvl>
  </w:abstractNum>
  <w:abstractNum w:abstractNumId="20">
    <w:nsid w:val="D66AACA7"/>
    <w:multiLevelType w:val="singleLevel"/>
    <w:tmpl w:val="D66AACA7"/>
    <w:lvl w:ilvl="0" w:tentative="0">
      <w:start w:val="21"/>
      <w:numFmt w:val="upperLetter"/>
      <w:suff w:val="nothing"/>
      <w:lvlText w:val="%1-"/>
      <w:lvlJc w:val="left"/>
    </w:lvl>
  </w:abstractNum>
  <w:abstractNum w:abstractNumId="21">
    <w:nsid w:val="D9397346"/>
    <w:multiLevelType w:val="multilevel"/>
    <w:tmpl w:val="D9397346"/>
    <w:lvl w:ilvl="0" w:tentative="0">
      <w:start w:val="1"/>
      <w:numFmt w:val="decimal"/>
      <w:suff w:val="nothing"/>
      <w:lvlText w:val="（%1）"/>
      <w:lvlJc w:val="left"/>
      <w:rPr>
        <w:rFonts w:hint="default"/>
        <w:u w:val="none" w:color="auto"/>
      </w:rPr>
    </w:lvl>
    <w:lvl w:ilvl="1" w:tentative="0">
      <w:start w:val="1"/>
      <w:numFmt w:val="decimal"/>
      <w:lvlText w:val=""/>
      <w:lvlJc w:val="left"/>
      <w:rPr>
        <w:rFonts w:hint="default"/>
        <w:u w:val="none" w:color="auto"/>
      </w:rPr>
    </w:lvl>
    <w:lvl w:ilvl="2" w:tentative="0">
      <w:start w:val="1"/>
      <w:numFmt w:val="decimal"/>
      <w:lvlText w:val=""/>
      <w:lvlJc w:val="left"/>
      <w:rPr>
        <w:rFonts w:hint="default"/>
        <w:u w:val="none" w:color="auto"/>
      </w:rPr>
    </w:lvl>
    <w:lvl w:ilvl="3" w:tentative="0">
      <w:start w:val="1"/>
      <w:numFmt w:val="decimal"/>
      <w:lvlText w:val=""/>
      <w:lvlJc w:val="left"/>
      <w:rPr>
        <w:rFonts w:hint="default"/>
        <w:u w:val="none" w:color="auto"/>
      </w:rPr>
    </w:lvl>
    <w:lvl w:ilvl="4" w:tentative="0">
      <w:start w:val="1"/>
      <w:numFmt w:val="decimal"/>
      <w:lvlText w:val=""/>
      <w:lvlJc w:val="left"/>
      <w:rPr>
        <w:rFonts w:hint="default"/>
        <w:u w:val="none" w:color="auto"/>
      </w:rPr>
    </w:lvl>
    <w:lvl w:ilvl="5" w:tentative="0">
      <w:start w:val="1"/>
      <w:numFmt w:val="decimal"/>
      <w:lvlText w:val=""/>
      <w:lvlJc w:val="left"/>
      <w:rPr>
        <w:rFonts w:hint="default"/>
        <w:u w:val="none" w:color="auto"/>
      </w:rPr>
    </w:lvl>
    <w:lvl w:ilvl="6" w:tentative="0">
      <w:start w:val="1"/>
      <w:numFmt w:val="decimal"/>
      <w:lvlText w:val=""/>
      <w:lvlJc w:val="left"/>
      <w:rPr>
        <w:rFonts w:hint="default"/>
        <w:u w:val="none" w:color="auto"/>
      </w:rPr>
    </w:lvl>
    <w:lvl w:ilvl="7" w:tentative="0">
      <w:start w:val="1"/>
      <w:numFmt w:val="decimal"/>
      <w:lvlText w:val=""/>
      <w:lvlJc w:val="left"/>
      <w:rPr>
        <w:rFonts w:hint="default"/>
        <w:u w:val="none" w:color="auto"/>
      </w:rPr>
    </w:lvl>
    <w:lvl w:ilvl="8" w:tentative="0">
      <w:start w:val="1"/>
      <w:numFmt w:val="decimal"/>
      <w:lvlText w:val=""/>
      <w:lvlJc w:val="left"/>
      <w:rPr>
        <w:rFonts w:hint="default"/>
        <w:u w:val="none" w:color="auto"/>
      </w:rPr>
    </w:lvl>
  </w:abstractNum>
  <w:abstractNum w:abstractNumId="22">
    <w:nsid w:val="DFEFEBC5"/>
    <w:multiLevelType w:val="multilevel"/>
    <w:tmpl w:val="DFEFEBC5"/>
    <w:lvl w:ilvl="0" w:tentative="0">
      <w:start w:val="1"/>
      <w:numFmt w:val="decimal"/>
      <w:suff w:val="nothing"/>
      <w:lvlText w:val="(%1)"/>
      <w:lvlJc w:val="left"/>
      <w:pPr>
        <w:tabs>
          <w:tab w:val="left" w:pos="0"/>
        </w:tabs>
        <w:ind w:left="147" w:firstLine="420"/>
      </w:pPr>
      <w:rPr>
        <w:rFonts w:hint="default"/>
        <w:u w:val="none" w:color="auto"/>
      </w:rPr>
    </w:lvl>
    <w:lvl w:ilvl="1" w:tentative="0">
      <w:start w:val="1"/>
      <w:numFmt w:val="decimal"/>
      <w:lvlText w:val=""/>
      <w:lvlJc w:val="left"/>
      <w:rPr>
        <w:rFonts w:hint="default"/>
        <w:u w:val="none" w:color="auto"/>
      </w:rPr>
    </w:lvl>
    <w:lvl w:ilvl="2" w:tentative="0">
      <w:start w:val="1"/>
      <w:numFmt w:val="decimal"/>
      <w:lvlText w:val=""/>
      <w:lvlJc w:val="left"/>
      <w:rPr>
        <w:rFonts w:hint="default"/>
        <w:u w:val="none" w:color="auto"/>
      </w:rPr>
    </w:lvl>
    <w:lvl w:ilvl="3" w:tentative="0">
      <w:start w:val="1"/>
      <w:numFmt w:val="decimal"/>
      <w:lvlText w:val=""/>
      <w:lvlJc w:val="left"/>
      <w:rPr>
        <w:rFonts w:hint="default"/>
        <w:u w:val="none" w:color="auto"/>
      </w:rPr>
    </w:lvl>
    <w:lvl w:ilvl="4" w:tentative="0">
      <w:start w:val="1"/>
      <w:numFmt w:val="decimal"/>
      <w:lvlText w:val=""/>
      <w:lvlJc w:val="left"/>
      <w:rPr>
        <w:rFonts w:hint="default"/>
        <w:u w:val="none" w:color="auto"/>
      </w:rPr>
    </w:lvl>
    <w:lvl w:ilvl="5" w:tentative="0">
      <w:start w:val="1"/>
      <w:numFmt w:val="decimal"/>
      <w:lvlText w:val=""/>
      <w:lvlJc w:val="left"/>
      <w:rPr>
        <w:rFonts w:hint="default"/>
        <w:u w:val="none" w:color="auto"/>
      </w:rPr>
    </w:lvl>
    <w:lvl w:ilvl="6" w:tentative="0">
      <w:start w:val="1"/>
      <w:numFmt w:val="decimal"/>
      <w:lvlText w:val=""/>
      <w:lvlJc w:val="left"/>
      <w:rPr>
        <w:rFonts w:hint="default"/>
        <w:u w:val="none" w:color="auto"/>
      </w:rPr>
    </w:lvl>
    <w:lvl w:ilvl="7" w:tentative="0">
      <w:start w:val="1"/>
      <w:numFmt w:val="decimal"/>
      <w:lvlText w:val=""/>
      <w:lvlJc w:val="left"/>
      <w:rPr>
        <w:rFonts w:hint="default"/>
        <w:u w:val="none" w:color="auto"/>
      </w:rPr>
    </w:lvl>
    <w:lvl w:ilvl="8" w:tentative="0">
      <w:start w:val="1"/>
      <w:numFmt w:val="decimal"/>
      <w:lvlText w:val=""/>
      <w:lvlJc w:val="left"/>
      <w:rPr>
        <w:rFonts w:hint="default"/>
        <w:u w:val="none" w:color="auto"/>
      </w:rPr>
    </w:lvl>
  </w:abstractNum>
  <w:abstractNum w:abstractNumId="23">
    <w:nsid w:val="E074D2A7"/>
    <w:multiLevelType w:val="singleLevel"/>
    <w:tmpl w:val="E074D2A7"/>
    <w:lvl w:ilvl="0" w:tentative="0">
      <w:start w:val="1"/>
      <w:numFmt w:val="decimal"/>
      <w:lvlText w:val="(%1)"/>
      <w:lvlJc w:val="left"/>
      <w:pPr>
        <w:tabs>
          <w:tab w:val="left" w:pos="420"/>
        </w:tabs>
        <w:ind w:left="845" w:hanging="425"/>
      </w:pPr>
      <w:rPr>
        <w:rFonts w:hint="default"/>
      </w:rPr>
    </w:lvl>
  </w:abstractNum>
  <w:abstractNum w:abstractNumId="24">
    <w:nsid w:val="E27B4E75"/>
    <w:multiLevelType w:val="singleLevel"/>
    <w:tmpl w:val="E27B4E75"/>
    <w:lvl w:ilvl="0" w:tentative="0">
      <w:start w:val="1"/>
      <w:numFmt w:val="decimal"/>
      <w:suff w:val="nothing"/>
      <w:lvlText w:val="（%1）"/>
      <w:lvlJc w:val="left"/>
    </w:lvl>
  </w:abstractNum>
  <w:abstractNum w:abstractNumId="25">
    <w:nsid w:val="ECD1AD28"/>
    <w:multiLevelType w:val="singleLevel"/>
    <w:tmpl w:val="ECD1AD28"/>
    <w:lvl w:ilvl="0" w:tentative="0">
      <w:start w:val="1"/>
      <w:numFmt w:val="decimal"/>
      <w:suff w:val="nothing"/>
      <w:lvlText w:val="（%1）"/>
      <w:lvlJc w:val="left"/>
    </w:lvl>
  </w:abstractNum>
  <w:abstractNum w:abstractNumId="26">
    <w:nsid w:val="FAADB176"/>
    <w:multiLevelType w:val="multilevel"/>
    <w:tmpl w:val="FAADB176"/>
    <w:lvl w:ilvl="0" w:tentative="0">
      <w:start w:val="1"/>
      <w:numFmt w:val="decimal"/>
      <w:suff w:val="nothing"/>
      <w:lvlText w:val="（%1）"/>
      <w:lvlJc w:val="left"/>
      <w:pPr>
        <w:ind w:left="-20"/>
      </w:pPr>
      <w:rPr>
        <w:rFonts w:hint="default"/>
        <w:u w:val="none" w:color="auto"/>
      </w:rPr>
    </w:lvl>
    <w:lvl w:ilvl="1" w:tentative="0">
      <w:start w:val="1"/>
      <w:numFmt w:val="decimal"/>
      <w:lvlText w:val=""/>
      <w:lvlJc w:val="left"/>
      <w:rPr>
        <w:rFonts w:hint="default"/>
        <w:u w:val="none" w:color="auto"/>
      </w:rPr>
    </w:lvl>
    <w:lvl w:ilvl="2" w:tentative="0">
      <w:start w:val="1"/>
      <w:numFmt w:val="decimal"/>
      <w:lvlText w:val=""/>
      <w:lvlJc w:val="left"/>
      <w:rPr>
        <w:rFonts w:hint="default"/>
        <w:u w:val="none" w:color="auto"/>
      </w:rPr>
    </w:lvl>
    <w:lvl w:ilvl="3" w:tentative="0">
      <w:start w:val="1"/>
      <w:numFmt w:val="decimal"/>
      <w:lvlText w:val=""/>
      <w:lvlJc w:val="left"/>
      <w:rPr>
        <w:rFonts w:hint="default"/>
        <w:u w:val="none" w:color="auto"/>
      </w:rPr>
    </w:lvl>
    <w:lvl w:ilvl="4" w:tentative="0">
      <w:start w:val="1"/>
      <w:numFmt w:val="decimal"/>
      <w:lvlText w:val=""/>
      <w:lvlJc w:val="left"/>
      <w:rPr>
        <w:rFonts w:hint="default"/>
        <w:u w:val="none" w:color="auto"/>
      </w:rPr>
    </w:lvl>
    <w:lvl w:ilvl="5" w:tentative="0">
      <w:start w:val="1"/>
      <w:numFmt w:val="decimal"/>
      <w:lvlText w:val=""/>
      <w:lvlJc w:val="left"/>
      <w:rPr>
        <w:rFonts w:hint="default"/>
        <w:u w:val="none" w:color="auto"/>
      </w:rPr>
    </w:lvl>
    <w:lvl w:ilvl="6" w:tentative="0">
      <w:start w:val="1"/>
      <w:numFmt w:val="decimal"/>
      <w:lvlText w:val=""/>
      <w:lvlJc w:val="left"/>
      <w:rPr>
        <w:rFonts w:hint="default"/>
        <w:u w:val="none" w:color="auto"/>
      </w:rPr>
    </w:lvl>
    <w:lvl w:ilvl="7" w:tentative="0">
      <w:start w:val="1"/>
      <w:numFmt w:val="decimal"/>
      <w:lvlText w:val=""/>
      <w:lvlJc w:val="left"/>
      <w:rPr>
        <w:rFonts w:hint="default"/>
        <w:u w:val="none" w:color="auto"/>
      </w:rPr>
    </w:lvl>
    <w:lvl w:ilvl="8" w:tentative="0">
      <w:start w:val="1"/>
      <w:numFmt w:val="decimal"/>
      <w:lvlText w:val=""/>
      <w:lvlJc w:val="left"/>
      <w:rPr>
        <w:rFonts w:hint="default"/>
        <w:u w:val="none" w:color="auto"/>
      </w:rPr>
    </w:lvl>
  </w:abstractNum>
  <w:abstractNum w:abstractNumId="27">
    <w:nsid w:val="FCF048EE"/>
    <w:multiLevelType w:val="multilevel"/>
    <w:tmpl w:val="FCF048EE"/>
    <w:lvl w:ilvl="0" w:tentative="0">
      <w:start w:val="1"/>
      <w:numFmt w:val="decimal"/>
      <w:suff w:val="nothing"/>
      <w:lvlText w:val="（%1）"/>
      <w:lvlJc w:val="left"/>
      <w:rPr>
        <w:rFonts w:hint="default"/>
        <w:u w:val="none" w:color="auto"/>
      </w:rPr>
    </w:lvl>
    <w:lvl w:ilvl="1" w:tentative="0">
      <w:start w:val="1"/>
      <w:numFmt w:val="decimal"/>
      <w:lvlText w:val=""/>
      <w:lvlJc w:val="left"/>
      <w:rPr>
        <w:rFonts w:hint="default"/>
        <w:u w:val="none" w:color="auto"/>
      </w:rPr>
    </w:lvl>
    <w:lvl w:ilvl="2" w:tentative="0">
      <w:start w:val="1"/>
      <w:numFmt w:val="decimal"/>
      <w:lvlText w:val=""/>
      <w:lvlJc w:val="left"/>
      <w:rPr>
        <w:rFonts w:hint="default"/>
        <w:u w:val="none" w:color="auto"/>
      </w:rPr>
    </w:lvl>
    <w:lvl w:ilvl="3" w:tentative="0">
      <w:start w:val="1"/>
      <w:numFmt w:val="decimal"/>
      <w:lvlText w:val=""/>
      <w:lvlJc w:val="left"/>
      <w:rPr>
        <w:rFonts w:hint="default"/>
        <w:u w:val="none" w:color="auto"/>
      </w:rPr>
    </w:lvl>
    <w:lvl w:ilvl="4" w:tentative="0">
      <w:start w:val="1"/>
      <w:numFmt w:val="decimal"/>
      <w:lvlText w:val=""/>
      <w:lvlJc w:val="left"/>
      <w:rPr>
        <w:rFonts w:hint="default"/>
        <w:u w:val="none" w:color="auto"/>
      </w:rPr>
    </w:lvl>
    <w:lvl w:ilvl="5" w:tentative="0">
      <w:start w:val="1"/>
      <w:numFmt w:val="decimal"/>
      <w:lvlText w:val=""/>
      <w:lvlJc w:val="left"/>
      <w:rPr>
        <w:rFonts w:hint="default"/>
        <w:u w:val="none" w:color="auto"/>
      </w:rPr>
    </w:lvl>
    <w:lvl w:ilvl="6" w:tentative="0">
      <w:start w:val="1"/>
      <w:numFmt w:val="decimal"/>
      <w:lvlText w:val=""/>
      <w:lvlJc w:val="left"/>
      <w:rPr>
        <w:rFonts w:hint="default"/>
        <w:u w:val="none" w:color="auto"/>
      </w:rPr>
    </w:lvl>
    <w:lvl w:ilvl="7" w:tentative="0">
      <w:start w:val="1"/>
      <w:numFmt w:val="decimal"/>
      <w:lvlText w:val=""/>
      <w:lvlJc w:val="left"/>
      <w:rPr>
        <w:rFonts w:hint="default"/>
        <w:u w:val="none" w:color="auto"/>
      </w:rPr>
    </w:lvl>
    <w:lvl w:ilvl="8" w:tentative="0">
      <w:start w:val="1"/>
      <w:numFmt w:val="decimal"/>
      <w:lvlText w:val=""/>
      <w:lvlJc w:val="left"/>
      <w:rPr>
        <w:rFonts w:hint="default"/>
        <w:u w:val="none" w:color="auto"/>
      </w:rPr>
    </w:lvl>
  </w:abstractNum>
  <w:abstractNum w:abstractNumId="28">
    <w:nsid w:val="0FB8191C"/>
    <w:multiLevelType w:val="multilevel"/>
    <w:tmpl w:val="0FB8191C"/>
    <w:lvl w:ilvl="0" w:tentative="0">
      <w:start w:val="1"/>
      <w:numFmt w:val="decimal"/>
      <w:suff w:val="nothing"/>
      <w:lvlText w:val="（%1）"/>
      <w:lvlJc w:val="left"/>
      <w:rPr>
        <w:rFonts w:hint="default"/>
        <w:u w:val="none" w:color="auto"/>
      </w:rPr>
    </w:lvl>
    <w:lvl w:ilvl="1" w:tentative="0">
      <w:start w:val="1"/>
      <w:numFmt w:val="decimal"/>
      <w:lvlText w:val=""/>
      <w:lvlJc w:val="left"/>
      <w:rPr>
        <w:rFonts w:hint="default"/>
        <w:u w:val="none" w:color="auto"/>
      </w:rPr>
    </w:lvl>
    <w:lvl w:ilvl="2" w:tentative="0">
      <w:start w:val="1"/>
      <w:numFmt w:val="decimal"/>
      <w:lvlText w:val=""/>
      <w:lvlJc w:val="left"/>
      <w:rPr>
        <w:rFonts w:hint="default"/>
        <w:u w:val="none" w:color="auto"/>
      </w:rPr>
    </w:lvl>
    <w:lvl w:ilvl="3" w:tentative="0">
      <w:start w:val="1"/>
      <w:numFmt w:val="decimal"/>
      <w:lvlText w:val=""/>
      <w:lvlJc w:val="left"/>
      <w:rPr>
        <w:rFonts w:hint="default"/>
        <w:u w:val="none" w:color="auto"/>
      </w:rPr>
    </w:lvl>
    <w:lvl w:ilvl="4" w:tentative="0">
      <w:start w:val="1"/>
      <w:numFmt w:val="decimal"/>
      <w:lvlText w:val=""/>
      <w:lvlJc w:val="left"/>
      <w:rPr>
        <w:rFonts w:hint="default"/>
        <w:u w:val="none" w:color="auto"/>
      </w:rPr>
    </w:lvl>
    <w:lvl w:ilvl="5" w:tentative="0">
      <w:start w:val="1"/>
      <w:numFmt w:val="decimal"/>
      <w:lvlText w:val=""/>
      <w:lvlJc w:val="left"/>
      <w:rPr>
        <w:rFonts w:hint="default"/>
        <w:u w:val="none" w:color="auto"/>
      </w:rPr>
    </w:lvl>
    <w:lvl w:ilvl="6" w:tentative="0">
      <w:start w:val="1"/>
      <w:numFmt w:val="decimal"/>
      <w:lvlText w:val=""/>
      <w:lvlJc w:val="left"/>
      <w:rPr>
        <w:rFonts w:hint="default"/>
        <w:u w:val="none" w:color="auto"/>
      </w:rPr>
    </w:lvl>
    <w:lvl w:ilvl="7" w:tentative="0">
      <w:start w:val="1"/>
      <w:numFmt w:val="decimal"/>
      <w:lvlText w:val=""/>
      <w:lvlJc w:val="left"/>
      <w:rPr>
        <w:rFonts w:hint="default"/>
        <w:u w:val="none" w:color="auto"/>
      </w:rPr>
    </w:lvl>
    <w:lvl w:ilvl="8" w:tentative="0">
      <w:start w:val="1"/>
      <w:numFmt w:val="decimal"/>
      <w:lvlText w:val=""/>
      <w:lvlJc w:val="left"/>
      <w:rPr>
        <w:rFonts w:hint="default"/>
        <w:u w:val="none" w:color="auto"/>
      </w:rPr>
    </w:lvl>
  </w:abstractNum>
  <w:abstractNum w:abstractNumId="29">
    <w:nsid w:val="13577D8A"/>
    <w:multiLevelType w:val="multilevel"/>
    <w:tmpl w:val="13577D8A"/>
    <w:lvl w:ilvl="0" w:tentative="0">
      <w:start w:val="1"/>
      <w:numFmt w:val="decimal"/>
      <w:pStyle w:val="2"/>
      <w:lvlText w:val="%1."/>
      <w:lvlJc w:val="left"/>
      <w:pPr>
        <w:ind w:left="432" w:hanging="432"/>
      </w:pPr>
      <w:rPr>
        <w:rFonts w:hint="default"/>
        <w:u w:val="none" w:color="auto"/>
      </w:rPr>
    </w:lvl>
    <w:lvl w:ilvl="1" w:tentative="0">
      <w:start w:val="1"/>
      <w:numFmt w:val="decimal"/>
      <w:pStyle w:val="3"/>
      <w:lvlText w:val="%1.%2."/>
      <w:lvlJc w:val="left"/>
      <w:pPr>
        <w:ind w:left="575" w:hanging="575"/>
      </w:pPr>
      <w:rPr>
        <w:rFonts w:hint="default"/>
        <w:u w:val="none" w:color="auto"/>
      </w:rPr>
    </w:lvl>
    <w:lvl w:ilvl="2" w:tentative="0">
      <w:start w:val="1"/>
      <w:numFmt w:val="decimal"/>
      <w:pStyle w:val="4"/>
      <w:lvlText w:val="%1.%2.%3."/>
      <w:lvlJc w:val="left"/>
      <w:pPr>
        <w:ind w:left="573" w:hanging="598"/>
      </w:pPr>
      <w:rPr>
        <w:rFonts w:hint="default"/>
        <w:u w:val="none" w:color="auto"/>
      </w:rPr>
    </w:lvl>
    <w:lvl w:ilvl="3" w:tentative="0">
      <w:start w:val="1"/>
      <w:numFmt w:val="decimal"/>
      <w:pStyle w:val="5"/>
      <w:suff w:val="nothing"/>
      <w:lvlText w:val="%1.%2.%3.%4."/>
      <w:lvlJc w:val="left"/>
      <w:pPr>
        <w:tabs>
          <w:tab w:val="left" w:pos="0"/>
        </w:tabs>
        <w:ind w:left="573" w:hanging="574"/>
      </w:pPr>
      <w:rPr>
        <w:rFonts w:hint="default"/>
        <w:u w:val="none" w:color="auto"/>
      </w:rPr>
    </w:lvl>
    <w:lvl w:ilvl="4" w:tentative="0">
      <w:start w:val="1"/>
      <w:numFmt w:val="decimal"/>
      <w:pStyle w:val="6"/>
      <w:suff w:val="nothing"/>
      <w:lvlText w:val="%1.%2.%3.%4.%5."/>
      <w:lvlJc w:val="left"/>
      <w:pPr>
        <w:ind w:left="1008" w:hanging="1008"/>
      </w:pPr>
      <w:rPr>
        <w:rFonts w:hint="default"/>
        <w:u w:val="none" w:color="auto"/>
      </w:rPr>
    </w:lvl>
    <w:lvl w:ilvl="5" w:tentative="0">
      <w:start w:val="1"/>
      <w:numFmt w:val="decimal"/>
      <w:pStyle w:val="7"/>
      <w:lvlText w:val="%1.%2.%3.%4.%5.%6."/>
      <w:lvlJc w:val="left"/>
      <w:pPr>
        <w:ind w:left="1151" w:hanging="1151"/>
      </w:pPr>
      <w:rPr>
        <w:rFonts w:hint="default"/>
        <w:u w:val="none" w:color="auto"/>
      </w:rPr>
    </w:lvl>
    <w:lvl w:ilvl="6" w:tentative="0">
      <w:start w:val="1"/>
      <w:numFmt w:val="decimal"/>
      <w:pStyle w:val="8"/>
      <w:lvlText w:val="%1.%2.%3.%4.%5.%6.%7."/>
      <w:lvlJc w:val="left"/>
      <w:pPr>
        <w:ind w:left="1296" w:hanging="1296"/>
      </w:pPr>
      <w:rPr>
        <w:rFonts w:hint="default"/>
        <w:u w:val="none" w:color="auto"/>
      </w:rPr>
    </w:lvl>
    <w:lvl w:ilvl="7" w:tentative="0">
      <w:start w:val="1"/>
      <w:numFmt w:val="decimal"/>
      <w:pStyle w:val="9"/>
      <w:lvlText w:val="%1.%2.%3.%4.%5.%6.%7.%8."/>
      <w:lvlJc w:val="left"/>
      <w:pPr>
        <w:ind w:left="1440" w:hanging="1440"/>
      </w:pPr>
      <w:rPr>
        <w:rFonts w:hint="default"/>
        <w:u w:val="none" w:color="auto"/>
      </w:rPr>
    </w:lvl>
    <w:lvl w:ilvl="8" w:tentative="0">
      <w:start w:val="1"/>
      <w:numFmt w:val="decimal"/>
      <w:pStyle w:val="10"/>
      <w:lvlText w:val="%1.%2.%3.%4.%5.%6.%7.%8.%9."/>
      <w:lvlJc w:val="left"/>
      <w:pPr>
        <w:ind w:left="1583" w:hanging="1583"/>
      </w:pPr>
      <w:rPr>
        <w:rFonts w:hint="default"/>
        <w:u w:val="none" w:color="auto"/>
      </w:rPr>
    </w:lvl>
  </w:abstractNum>
  <w:abstractNum w:abstractNumId="30">
    <w:nsid w:val="1760FF18"/>
    <w:multiLevelType w:val="singleLevel"/>
    <w:tmpl w:val="1760FF18"/>
    <w:lvl w:ilvl="0" w:tentative="0">
      <w:start w:val="1"/>
      <w:numFmt w:val="decimal"/>
      <w:suff w:val="nothing"/>
      <w:lvlText w:val="（%1）"/>
      <w:lvlJc w:val="left"/>
    </w:lvl>
  </w:abstractNum>
  <w:abstractNum w:abstractNumId="31">
    <w:nsid w:val="1DEF7EF1"/>
    <w:multiLevelType w:val="multilevel"/>
    <w:tmpl w:val="1DEF7EF1"/>
    <w:lvl w:ilvl="0" w:tentative="0">
      <w:start w:val="1"/>
      <w:numFmt w:val="decimal"/>
      <w:suff w:val="nothing"/>
      <w:lvlText w:val="%1、"/>
      <w:lvlJc w:val="left"/>
      <w:rPr>
        <w:rFonts w:hint="default"/>
        <w:u w:val="none" w:color="auto"/>
      </w:rPr>
    </w:lvl>
    <w:lvl w:ilvl="1" w:tentative="0">
      <w:start w:val="1"/>
      <w:numFmt w:val="decimal"/>
      <w:lvlText w:val=""/>
      <w:lvlJc w:val="left"/>
      <w:rPr>
        <w:rFonts w:hint="default"/>
        <w:u w:val="none" w:color="auto"/>
      </w:rPr>
    </w:lvl>
    <w:lvl w:ilvl="2" w:tentative="0">
      <w:start w:val="1"/>
      <w:numFmt w:val="decimal"/>
      <w:lvlText w:val=""/>
      <w:lvlJc w:val="left"/>
      <w:rPr>
        <w:rFonts w:hint="default"/>
        <w:u w:val="none" w:color="auto"/>
      </w:rPr>
    </w:lvl>
    <w:lvl w:ilvl="3" w:tentative="0">
      <w:start w:val="1"/>
      <w:numFmt w:val="decimal"/>
      <w:lvlText w:val=""/>
      <w:lvlJc w:val="left"/>
      <w:rPr>
        <w:rFonts w:hint="default"/>
        <w:u w:val="none" w:color="auto"/>
      </w:rPr>
    </w:lvl>
    <w:lvl w:ilvl="4" w:tentative="0">
      <w:start w:val="1"/>
      <w:numFmt w:val="decimal"/>
      <w:lvlText w:val=""/>
      <w:lvlJc w:val="left"/>
      <w:rPr>
        <w:rFonts w:hint="default"/>
        <w:u w:val="none" w:color="auto"/>
      </w:rPr>
    </w:lvl>
    <w:lvl w:ilvl="5" w:tentative="0">
      <w:start w:val="1"/>
      <w:numFmt w:val="decimal"/>
      <w:lvlText w:val=""/>
      <w:lvlJc w:val="left"/>
      <w:rPr>
        <w:rFonts w:hint="default"/>
        <w:u w:val="none" w:color="auto"/>
      </w:rPr>
    </w:lvl>
    <w:lvl w:ilvl="6" w:tentative="0">
      <w:start w:val="1"/>
      <w:numFmt w:val="decimal"/>
      <w:lvlText w:val=""/>
      <w:lvlJc w:val="left"/>
      <w:rPr>
        <w:rFonts w:hint="default"/>
        <w:u w:val="none" w:color="auto"/>
      </w:rPr>
    </w:lvl>
    <w:lvl w:ilvl="7" w:tentative="0">
      <w:start w:val="1"/>
      <w:numFmt w:val="decimal"/>
      <w:lvlText w:val=""/>
      <w:lvlJc w:val="left"/>
      <w:rPr>
        <w:rFonts w:hint="default"/>
        <w:u w:val="none" w:color="auto"/>
      </w:rPr>
    </w:lvl>
    <w:lvl w:ilvl="8" w:tentative="0">
      <w:start w:val="1"/>
      <w:numFmt w:val="decimal"/>
      <w:lvlText w:val=""/>
      <w:lvlJc w:val="left"/>
      <w:rPr>
        <w:rFonts w:hint="default"/>
        <w:u w:val="none" w:color="auto"/>
      </w:rPr>
    </w:lvl>
  </w:abstractNum>
  <w:abstractNum w:abstractNumId="32">
    <w:nsid w:val="1EF3954C"/>
    <w:multiLevelType w:val="multilevel"/>
    <w:tmpl w:val="1EF3954C"/>
    <w:lvl w:ilvl="0" w:tentative="0">
      <w:start w:val="1"/>
      <w:numFmt w:val="decimal"/>
      <w:suff w:val="nothing"/>
      <w:lvlText w:val="(%1)"/>
      <w:lvlJc w:val="left"/>
      <w:pPr>
        <w:tabs>
          <w:tab w:val="left" w:pos="0"/>
        </w:tabs>
        <w:ind w:left="147" w:firstLine="420"/>
      </w:pPr>
      <w:rPr>
        <w:rFonts w:hint="default"/>
        <w:u w:val="none" w:color="auto"/>
      </w:rPr>
    </w:lvl>
    <w:lvl w:ilvl="1" w:tentative="0">
      <w:start w:val="1"/>
      <w:numFmt w:val="decimal"/>
      <w:lvlText w:val=""/>
      <w:lvlJc w:val="left"/>
      <w:rPr>
        <w:rFonts w:hint="default"/>
        <w:u w:val="none" w:color="auto"/>
      </w:rPr>
    </w:lvl>
    <w:lvl w:ilvl="2" w:tentative="0">
      <w:start w:val="1"/>
      <w:numFmt w:val="decimal"/>
      <w:lvlText w:val=""/>
      <w:lvlJc w:val="left"/>
      <w:rPr>
        <w:rFonts w:hint="default"/>
        <w:u w:val="none" w:color="auto"/>
      </w:rPr>
    </w:lvl>
    <w:lvl w:ilvl="3" w:tentative="0">
      <w:start w:val="1"/>
      <w:numFmt w:val="decimal"/>
      <w:lvlText w:val=""/>
      <w:lvlJc w:val="left"/>
      <w:rPr>
        <w:rFonts w:hint="default"/>
        <w:u w:val="none" w:color="auto"/>
      </w:rPr>
    </w:lvl>
    <w:lvl w:ilvl="4" w:tentative="0">
      <w:start w:val="1"/>
      <w:numFmt w:val="decimal"/>
      <w:lvlText w:val=""/>
      <w:lvlJc w:val="left"/>
      <w:rPr>
        <w:rFonts w:hint="default"/>
        <w:u w:val="none" w:color="auto"/>
      </w:rPr>
    </w:lvl>
    <w:lvl w:ilvl="5" w:tentative="0">
      <w:start w:val="1"/>
      <w:numFmt w:val="decimal"/>
      <w:lvlText w:val=""/>
      <w:lvlJc w:val="left"/>
      <w:rPr>
        <w:rFonts w:hint="default"/>
        <w:u w:val="none" w:color="auto"/>
      </w:rPr>
    </w:lvl>
    <w:lvl w:ilvl="6" w:tentative="0">
      <w:start w:val="1"/>
      <w:numFmt w:val="decimal"/>
      <w:lvlText w:val=""/>
      <w:lvlJc w:val="left"/>
      <w:rPr>
        <w:rFonts w:hint="default"/>
        <w:u w:val="none" w:color="auto"/>
      </w:rPr>
    </w:lvl>
    <w:lvl w:ilvl="7" w:tentative="0">
      <w:start w:val="1"/>
      <w:numFmt w:val="decimal"/>
      <w:lvlText w:val=""/>
      <w:lvlJc w:val="left"/>
      <w:rPr>
        <w:rFonts w:hint="default"/>
        <w:u w:val="none" w:color="auto"/>
      </w:rPr>
    </w:lvl>
    <w:lvl w:ilvl="8" w:tentative="0">
      <w:start w:val="1"/>
      <w:numFmt w:val="decimal"/>
      <w:lvlText w:val=""/>
      <w:lvlJc w:val="left"/>
      <w:rPr>
        <w:rFonts w:hint="default"/>
        <w:u w:val="none" w:color="auto"/>
      </w:rPr>
    </w:lvl>
  </w:abstractNum>
  <w:abstractNum w:abstractNumId="33">
    <w:nsid w:val="23C64722"/>
    <w:multiLevelType w:val="multilevel"/>
    <w:tmpl w:val="23C64722"/>
    <w:lvl w:ilvl="0" w:tentative="0">
      <w:start w:val="1"/>
      <w:numFmt w:val="decimal"/>
      <w:suff w:val="nothing"/>
      <w:lvlText w:val="（%1）"/>
      <w:lvlJc w:val="left"/>
      <w:rPr>
        <w:rFonts w:hint="default"/>
        <w:u w:val="none" w:color="auto"/>
      </w:rPr>
    </w:lvl>
    <w:lvl w:ilvl="1" w:tentative="0">
      <w:start w:val="1"/>
      <w:numFmt w:val="decimal"/>
      <w:lvlText w:val=""/>
      <w:lvlJc w:val="left"/>
      <w:rPr>
        <w:rFonts w:hint="default"/>
        <w:u w:val="none" w:color="auto"/>
      </w:rPr>
    </w:lvl>
    <w:lvl w:ilvl="2" w:tentative="0">
      <w:start w:val="1"/>
      <w:numFmt w:val="decimal"/>
      <w:lvlText w:val=""/>
      <w:lvlJc w:val="left"/>
      <w:rPr>
        <w:rFonts w:hint="default"/>
        <w:u w:val="none" w:color="auto"/>
      </w:rPr>
    </w:lvl>
    <w:lvl w:ilvl="3" w:tentative="0">
      <w:start w:val="1"/>
      <w:numFmt w:val="decimal"/>
      <w:lvlText w:val=""/>
      <w:lvlJc w:val="left"/>
      <w:rPr>
        <w:rFonts w:hint="default"/>
        <w:u w:val="none" w:color="auto"/>
      </w:rPr>
    </w:lvl>
    <w:lvl w:ilvl="4" w:tentative="0">
      <w:start w:val="1"/>
      <w:numFmt w:val="decimal"/>
      <w:lvlText w:val=""/>
      <w:lvlJc w:val="left"/>
      <w:rPr>
        <w:rFonts w:hint="default"/>
        <w:u w:val="none" w:color="auto"/>
      </w:rPr>
    </w:lvl>
    <w:lvl w:ilvl="5" w:tentative="0">
      <w:start w:val="1"/>
      <w:numFmt w:val="decimal"/>
      <w:lvlText w:val=""/>
      <w:lvlJc w:val="left"/>
      <w:rPr>
        <w:rFonts w:hint="default"/>
        <w:u w:val="none" w:color="auto"/>
      </w:rPr>
    </w:lvl>
    <w:lvl w:ilvl="6" w:tentative="0">
      <w:start w:val="1"/>
      <w:numFmt w:val="decimal"/>
      <w:lvlText w:val=""/>
      <w:lvlJc w:val="left"/>
      <w:rPr>
        <w:rFonts w:hint="default"/>
        <w:u w:val="none" w:color="auto"/>
      </w:rPr>
    </w:lvl>
    <w:lvl w:ilvl="7" w:tentative="0">
      <w:start w:val="1"/>
      <w:numFmt w:val="decimal"/>
      <w:lvlText w:val=""/>
      <w:lvlJc w:val="left"/>
      <w:rPr>
        <w:rFonts w:hint="default"/>
        <w:u w:val="none" w:color="auto"/>
      </w:rPr>
    </w:lvl>
    <w:lvl w:ilvl="8" w:tentative="0">
      <w:start w:val="1"/>
      <w:numFmt w:val="decimal"/>
      <w:lvlText w:val=""/>
      <w:lvlJc w:val="left"/>
      <w:rPr>
        <w:rFonts w:hint="default"/>
        <w:u w:val="none" w:color="auto"/>
      </w:rPr>
    </w:lvl>
  </w:abstractNum>
  <w:abstractNum w:abstractNumId="34">
    <w:nsid w:val="3269A27B"/>
    <w:multiLevelType w:val="multilevel"/>
    <w:tmpl w:val="3269A27B"/>
    <w:lvl w:ilvl="0" w:tentative="0">
      <w:start w:val="1"/>
      <w:numFmt w:val="decimal"/>
      <w:suff w:val="nothing"/>
      <w:lvlText w:val="（%1）"/>
      <w:lvlJc w:val="left"/>
      <w:rPr>
        <w:rFonts w:hint="default"/>
        <w:u w:val="none" w:color="auto"/>
      </w:rPr>
    </w:lvl>
    <w:lvl w:ilvl="1" w:tentative="0">
      <w:start w:val="1"/>
      <w:numFmt w:val="decimal"/>
      <w:lvlText w:val=""/>
      <w:lvlJc w:val="left"/>
      <w:rPr>
        <w:rFonts w:hint="default"/>
        <w:u w:val="none" w:color="auto"/>
      </w:rPr>
    </w:lvl>
    <w:lvl w:ilvl="2" w:tentative="0">
      <w:start w:val="1"/>
      <w:numFmt w:val="decimal"/>
      <w:lvlText w:val=""/>
      <w:lvlJc w:val="left"/>
      <w:rPr>
        <w:rFonts w:hint="default"/>
        <w:u w:val="none" w:color="auto"/>
      </w:rPr>
    </w:lvl>
    <w:lvl w:ilvl="3" w:tentative="0">
      <w:start w:val="1"/>
      <w:numFmt w:val="decimal"/>
      <w:lvlText w:val=""/>
      <w:lvlJc w:val="left"/>
      <w:rPr>
        <w:rFonts w:hint="default"/>
        <w:u w:val="none" w:color="auto"/>
      </w:rPr>
    </w:lvl>
    <w:lvl w:ilvl="4" w:tentative="0">
      <w:start w:val="1"/>
      <w:numFmt w:val="decimal"/>
      <w:lvlText w:val=""/>
      <w:lvlJc w:val="left"/>
      <w:rPr>
        <w:rFonts w:hint="default"/>
        <w:u w:val="none" w:color="auto"/>
      </w:rPr>
    </w:lvl>
    <w:lvl w:ilvl="5" w:tentative="0">
      <w:start w:val="1"/>
      <w:numFmt w:val="decimal"/>
      <w:lvlText w:val=""/>
      <w:lvlJc w:val="left"/>
      <w:rPr>
        <w:rFonts w:hint="default"/>
        <w:u w:val="none" w:color="auto"/>
      </w:rPr>
    </w:lvl>
    <w:lvl w:ilvl="6" w:tentative="0">
      <w:start w:val="1"/>
      <w:numFmt w:val="decimal"/>
      <w:lvlText w:val=""/>
      <w:lvlJc w:val="left"/>
      <w:rPr>
        <w:rFonts w:hint="default"/>
        <w:u w:val="none" w:color="auto"/>
      </w:rPr>
    </w:lvl>
    <w:lvl w:ilvl="7" w:tentative="0">
      <w:start w:val="1"/>
      <w:numFmt w:val="decimal"/>
      <w:lvlText w:val=""/>
      <w:lvlJc w:val="left"/>
      <w:rPr>
        <w:rFonts w:hint="default"/>
        <w:u w:val="none" w:color="auto"/>
      </w:rPr>
    </w:lvl>
    <w:lvl w:ilvl="8" w:tentative="0">
      <w:start w:val="1"/>
      <w:numFmt w:val="decimal"/>
      <w:lvlText w:val=""/>
      <w:lvlJc w:val="left"/>
      <w:rPr>
        <w:rFonts w:hint="default"/>
        <w:u w:val="none" w:color="auto"/>
      </w:rPr>
    </w:lvl>
  </w:abstractNum>
  <w:abstractNum w:abstractNumId="35">
    <w:nsid w:val="406F878C"/>
    <w:multiLevelType w:val="multilevel"/>
    <w:tmpl w:val="406F878C"/>
    <w:lvl w:ilvl="0" w:tentative="0">
      <w:start w:val="1"/>
      <w:numFmt w:val="decimal"/>
      <w:suff w:val="nothing"/>
      <w:lvlText w:val="（%1）"/>
      <w:lvlJc w:val="left"/>
      <w:rPr>
        <w:rFonts w:hint="default"/>
        <w:u w:val="none" w:color="auto"/>
      </w:rPr>
    </w:lvl>
    <w:lvl w:ilvl="1" w:tentative="0">
      <w:start w:val="1"/>
      <w:numFmt w:val="decimal"/>
      <w:lvlText w:val=""/>
      <w:lvlJc w:val="left"/>
      <w:rPr>
        <w:rFonts w:hint="default"/>
        <w:u w:val="none" w:color="auto"/>
      </w:rPr>
    </w:lvl>
    <w:lvl w:ilvl="2" w:tentative="0">
      <w:start w:val="1"/>
      <w:numFmt w:val="decimal"/>
      <w:lvlText w:val=""/>
      <w:lvlJc w:val="left"/>
      <w:rPr>
        <w:rFonts w:hint="default"/>
        <w:u w:val="none" w:color="auto"/>
      </w:rPr>
    </w:lvl>
    <w:lvl w:ilvl="3" w:tentative="0">
      <w:start w:val="1"/>
      <w:numFmt w:val="decimal"/>
      <w:lvlText w:val=""/>
      <w:lvlJc w:val="left"/>
      <w:rPr>
        <w:rFonts w:hint="default"/>
        <w:u w:val="none" w:color="auto"/>
      </w:rPr>
    </w:lvl>
    <w:lvl w:ilvl="4" w:tentative="0">
      <w:start w:val="1"/>
      <w:numFmt w:val="decimal"/>
      <w:lvlText w:val=""/>
      <w:lvlJc w:val="left"/>
      <w:rPr>
        <w:rFonts w:hint="default"/>
        <w:u w:val="none" w:color="auto"/>
      </w:rPr>
    </w:lvl>
    <w:lvl w:ilvl="5" w:tentative="0">
      <w:start w:val="1"/>
      <w:numFmt w:val="decimal"/>
      <w:lvlText w:val=""/>
      <w:lvlJc w:val="left"/>
      <w:rPr>
        <w:rFonts w:hint="default"/>
        <w:u w:val="none" w:color="auto"/>
      </w:rPr>
    </w:lvl>
    <w:lvl w:ilvl="6" w:tentative="0">
      <w:start w:val="1"/>
      <w:numFmt w:val="decimal"/>
      <w:lvlText w:val=""/>
      <w:lvlJc w:val="left"/>
      <w:rPr>
        <w:rFonts w:hint="default"/>
        <w:u w:val="none" w:color="auto"/>
      </w:rPr>
    </w:lvl>
    <w:lvl w:ilvl="7" w:tentative="0">
      <w:start w:val="1"/>
      <w:numFmt w:val="decimal"/>
      <w:lvlText w:val=""/>
      <w:lvlJc w:val="left"/>
      <w:rPr>
        <w:rFonts w:hint="default"/>
        <w:u w:val="none" w:color="auto"/>
      </w:rPr>
    </w:lvl>
    <w:lvl w:ilvl="8" w:tentative="0">
      <w:start w:val="1"/>
      <w:numFmt w:val="decimal"/>
      <w:lvlText w:val=""/>
      <w:lvlJc w:val="left"/>
      <w:rPr>
        <w:rFonts w:hint="default"/>
        <w:u w:val="none" w:color="auto"/>
      </w:rPr>
    </w:lvl>
  </w:abstractNum>
  <w:abstractNum w:abstractNumId="36">
    <w:nsid w:val="427F759D"/>
    <w:multiLevelType w:val="multilevel"/>
    <w:tmpl w:val="427F759D"/>
    <w:lvl w:ilvl="0" w:tentative="0">
      <w:start w:val="3"/>
      <w:numFmt w:val="decimal"/>
      <w:lvlText w:val="%1)"/>
      <w:lvlJc w:val="left"/>
      <w:pPr>
        <w:tabs>
          <w:tab w:val="left" w:pos="312"/>
        </w:tabs>
      </w:pPr>
      <w:rPr>
        <w:rFonts w:hint="default"/>
        <w:u w:val="none" w:color="auto"/>
      </w:rPr>
    </w:lvl>
    <w:lvl w:ilvl="1" w:tentative="0">
      <w:start w:val="1"/>
      <w:numFmt w:val="decimal"/>
      <w:lvlText w:val=""/>
      <w:lvlJc w:val="left"/>
      <w:rPr>
        <w:rFonts w:hint="default"/>
        <w:u w:val="none" w:color="auto"/>
      </w:rPr>
    </w:lvl>
    <w:lvl w:ilvl="2" w:tentative="0">
      <w:start w:val="1"/>
      <w:numFmt w:val="decimal"/>
      <w:lvlText w:val=""/>
      <w:lvlJc w:val="left"/>
      <w:rPr>
        <w:rFonts w:hint="default"/>
        <w:u w:val="none" w:color="auto"/>
      </w:rPr>
    </w:lvl>
    <w:lvl w:ilvl="3" w:tentative="0">
      <w:start w:val="1"/>
      <w:numFmt w:val="decimal"/>
      <w:lvlText w:val=""/>
      <w:lvlJc w:val="left"/>
      <w:rPr>
        <w:rFonts w:hint="default"/>
        <w:u w:val="none" w:color="auto"/>
      </w:rPr>
    </w:lvl>
    <w:lvl w:ilvl="4" w:tentative="0">
      <w:start w:val="1"/>
      <w:numFmt w:val="decimal"/>
      <w:lvlText w:val=""/>
      <w:lvlJc w:val="left"/>
      <w:rPr>
        <w:rFonts w:hint="default"/>
        <w:u w:val="none" w:color="auto"/>
      </w:rPr>
    </w:lvl>
    <w:lvl w:ilvl="5" w:tentative="0">
      <w:start w:val="1"/>
      <w:numFmt w:val="decimal"/>
      <w:lvlText w:val=""/>
      <w:lvlJc w:val="left"/>
      <w:rPr>
        <w:rFonts w:hint="default"/>
        <w:u w:val="none" w:color="auto"/>
      </w:rPr>
    </w:lvl>
    <w:lvl w:ilvl="6" w:tentative="0">
      <w:start w:val="1"/>
      <w:numFmt w:val="decimal"/>
      <w:lvlText w:val=""/>
      <w:lvlJc w:val="left"/>
      <w:rPr>
        <w:rFonts w:hint="default"/>
        <w:u w:val="none" w:color="auto"/>
      </w:rPr>
    </w:lvl>
    <w:lvl w:ilvl="7" w:tentative="0">
      <w:start w:val="1"/>
      <w:numFmt w:val="decimal"/>
      <w:lvlText w:val=""/>
      <w:lvlJc w:val="left"/>
      <w:rPr>
        <w:rFonts w:hint="default"/>
        <w:u w:val="none" w:color="auto"/>
      </w:rPr>
    </w:lvl>
    <w:lvl w:ilvl="8" w:tentative="0">
      <w:start w:val="1"/>
      <w:numFmt w:val="decimal"/>
      <w:lvlText w:val=""/>
      <w:lvlJc w:val="left"/>
      <w:rPr>
        <w:rFonts w:hint="default"/>
        <w:u w:val="none" w:color="auto"/>
      </w:rPr>
    </w:lvl>
  </w:abstractNum>
  <w:abstractNum w:abstractNumId="37">
    <w:nsid w:val="4776423E"/>
    <w:multiLevelType w:val="multilevel"/>
    <w:tmpl w:val="4776423E"/>
    <w:lvl w:ilvl="0" w:tentative="0">
      <w:start w:val="1"/>
      <w:numFmt w:val="decimal"/>
      <w:suff w:val="nothing"/>
      <w:lvlText w:val="（%1）"/>
      <w:lvlJc w:val="left"/>
      <w:rPr>
        <w:rFonts w:hint="default"/>
        <w:u w:val="none" w:color="auto"/>
      </w:rPr>
    </w:lvl>
    <w:lvl w:ilvl="1" w:tentative="0">
      <w:start w:val="1"/>
      <w:numFmt w:val="decimal"/>
      <w:lvlText w:val=""/>
      <w:lvlJc w:val="left"/>
      <w:rPr>
        <w:rFonts w:hint="default"/>
        <w:u w:val="none" w:color="auto"/>
      </w:rPr>
    </w:lvl>
    <w:lvl w:ilvl="2" w:tentative="0">
      <w:start w:val="1"/>
      <w:numFmt w:val="decimal"/>
      <w:lvlText w:val=""/>
      <w:lvlJc w:val="left"/>
      <w:rPr>
        <w:rFonts w:hint="default"/>
        <w:u w:val="none" w:color="auto"/>
      </w:rPr>
    </w:lvl>
    <w:lvl w:ilvl="3" w:tentative="0">
      <w:start w:val="1"/>
      <w:numFmt w:val="decimal"/>
      <w:lvlText w:val=""/>
      <w:lvlJc w:val="left"/>
      <w:rPr>
        <w:rFonts w:hint="default"/>
        <w:u w:val="none" w:color="auto"/>
      </w:rPr>
    </w:lvl>
    <w:lvl w:ilvl="4" w:tentative="0">
      <w:start w:val="1"/>
      <w:numFmt w:val="decimal"/>
      <w:lvlText w:val=""/>
      <w:lvlJc w:val="left"/>
      <w:rPr>
        <w:rFonts w:hint="default"/>
        <w:u w:val="none" w:color="auto"/>
      </w:rPr>
    </w:lvl>
    <w:lvl w:ilvl="5" w:tentative="0">
      <w:start w:val="1"/>
      <w:numFmt w:val="decimal"/>
      <w:lvlText w:val=""/>
      <w:lvlJc w:val="left"/>
      <w:rPr>
        <w:rFonts w:hint="default"/>
        <w:u w:val="none" w:color="auto"/>
      </w:rPr>
    </w:lvl>
    <w:lvl w:ilvl="6" w:tentative="0">
      <w:start w:val="1"/>
      <w:numFmt w:val="decimal"/>
      <w:lvlText w:val=""/>
      <w:lvlJc w:val="left"/>
      <w:rPr>
        <w:rFonts w:hint="default"/>
        <w:u w:val="none" w:color="auto"/>
      </w:rPr>
    </w:lvl>
    <w:lvl w:ilvl="7" w:tentative="0">
      <w:start w:val="1"/>
      <w:numFmt w:val="decimal"/>
      <w:lvlText w:val=""/>
      <w:lvlJc w:val="left"/>
      <w:rPr>
        <w:rFonts w:hint="default"/>
        <w:u w:val="none" w:color="auto"/>
      </w:rPr>
    </w:lvl>
    <w:lvl w:ilvl="8" w:tentative="0">
      <w:start w:val="1"/>
      <w:numFmt w:val="decimal"/>
      <w:lvlText w:val=""/>
      <w:lvlJc w:val="left"/>
      <w:rPr>
        <w:rFonts w:hint="default"/>
        <w:u w:val="none" w:color="auto"/>
      </w:rPr>
    </w:lvl>
  </w:abstractNum>
  <w:abstractNum w:abstractNumId="38">
    <w:nsid w:val="48611FE7"/>
    <w:multiLevelType w:val="multilevel"/>
    <w:tmpl w:val="48611FE7"/>
    <w:lvl w:ilvl="0" w:tentative="0">
      <w:start w:val="1"/>
      <w:numFmt w:val="decimal"/>
      <w:suff w:val="nothing"/>
      <w:lvlText w:val="(%1)"/>
      <w:lvlJc w:val="left"/>
      <w:pPr>
        <w:tabs>
          <w:tab w:val="left" w:pos="0"/>
        </w:tabs>
        <w:ind w:left="147" w:firstLine="420"/>
      </w:pPr>
      <w:rPr>
        <w:rFonts w:hint="default"/>
        <w:u w:val="none" w:color="auto"/>
      </w:rPr>
    </w:lvl>
    <w:lvl w:ilvl="1" w:tentative="0">
      <w:start w:val="1"/>
      <w:numFmt w:val="decimal"/>
      <w:lvlText w:val=""/>
      <w:lvlJc w:val="left"/>
      <w:rPr>
        <w:rFonts w:hint="default"/>
        <w:u w:val="none" w:color="auto"/>
      </w:rPr>
    </w:lvl>
    <w:lvl w:ilvl="2" w:tentative="0">
      <w:start w:val="1"/>
      <w:numFmt w:val="decimal"/>
      <w:lvlText w:val=""/>
      <w:lvlJc w:val="left"/>
      <w:rPr>
        <w:rFonts w:hint="default"/>
        <w:u w:val="none" w:color="auto"/>
      </w:rPr>
    </w:lvl>
    <w:lvl w:ilvl="3" w:tentative="0">
      <w:start w:val="1"/>
      <w:numFmt w:val="decimal"/>
      <w:lvlText w:val=""/>
      <w:lvlJc w:val="left"/>
      <w:rPr>
        <w:rFonts w:hint="default"/>
        <w:u w:val="none" w:color="auto"/>
      </w:rPr>
    </w:lvl>
    <w:lvl w:ilvl="4" w:tentative="0">
      <w:start w:val="1"/>
      <w:numFmt w:val="decimal"/>
      <w:lvlText w:val=""/>
      <w:lvlJc w:val="left"/>
      <w:rPr>
        <w:rFonts w:hint="default"/>
        <w:u w:val="none" w:color="auto"/>
      </w:rPr>
    </w:lvl>
    <w:lvl w:ilvl="5" w:tentative="0">
      <w:start w:val="1"/>
      <w:numFmt w:val="decimal"/>
      <w:lvlText w:val=""/>
      <w:lvlJc w:val="left"/>
      <w:rPr>
        <w:rFonts w:hint="default"/>
        <w:u w:val="none" w:color="auto"/>
      </w:rPr>
    </w:lvl>
    <w:lvl w:ilvl="6" w:tentative="0">
      <w:start w:val="1"/>
      <w:numFmt w:val="decimal"/>
      <w:lvlText w:val=""/>
      <w:lvlJc w:val="left"/>
      <w:rPr>
        <w:rFonts w:hint="default"/>
        <w:u w:val="none" w:color="auto"/>
      </w:rPr>
    </w:lvl>
    <w:lvl w:ilvl="7" w:tentative="0">
      <w:start w:val="1"/>
      <w:numFmt w:val="decimal"/>
      <w:lvlText w:val=""/>
      <w:lvlJc w:val="left"/>
      <w:rPr>
        <w:rFonts w:hint="default"/>
        <w:u w:val="none" w:color="auto"/>
      </w:rPr>
    </w:lvl>
    <w:lvl w:ilvl="8" w:tentative="0">
      <w:start w:val="1"/>
      <w:numFmt w:val="decimal"/>
      <w:lvlText w:val=""/>
      <w:lvlJc w:val="left"/>
      <w:rPr>
        <w:rFonts w:hint="default"/>
        <w:u w:val="none" w:color="auto"/>
      </w:rPr>
    </w:lvl>
  </w:abstractNum>
  <w:abstractNum w:abstractNumId="39">
    <w:nsid w:val="49D8BDA4"/>
    <w:multiLevelType w:val="multilevel"/>
    <w:tmpl w:val="49D8BDA4"/>
    <w:lvl w:ilvl="0" w:tentative="0">
      <w:start w:val="1"/>
      <w:numFmt w:val="decimal"/>
      <w:suff w:val="nothing"/>
      <w:lvlText w:val="（%1）"/>
      <w:lvlJc w:val="left"/>
      <w:rPr>
        <w:rFonts w:hint="default"/>
        <w:u w:val="none" w:color="auto"/>
      </w:rPr>
    </w:lvl>
    <w:lvl w:ilvl="1" w:tentative="0">
      <w:start w:val="1"/>
      <w:numFmt w:val="decimal"/>
      <w:lvlText w:val=""/>
      <w:lvlJc w:val="left"/>
      <w:rPr>
        <w:rFonts w:hint="default"/>
        <w:u w:val="none" w:color="auto"/>
      </w:rPr>
    </w:lvl>
    <w:lvl w:ilvl="2" w:tentative="0">
      <w:start w:val="1"/>
      <w:numFmt w:val="decimal"/>
      <w:lvlText w:val=""/>
      <w:lvlJc w:val="left"/>
      <w:rPr>
        <w:rFonts w:hint="default"/>
        <w:u w:val="none" w:color="auto"/>
      </w:rPr>
    </w:lvl>
    <w:lvl w:ilvl="3" w:tentative="0">
      <w:start w:val="1"/>
      <w:numFmt w:val="decimal"/>
      <w:lvlText w:val=""/>
      <w:lvlJc w:val="left"/>
      <w:rPr>
        <w:rFonts w:hint="default"/>
        <w:u w:val="none" w:color="auto"/>
      </w:rPr>
    </w:lvl>
    <w:lvl w:ilvl="4" w:tentative="0">
      <w:start w:val="1"/>
      <w:numFmt w:val="decimal"/>
      <w:lvlText w:val=""/>
      <w:lvlJc w:val="left"/>
      <w:rPr>
        <w:rFonts w:hint="default"/>
        <w:u w:val="none" w:color="auto"/>
      </w:rPr>
    </w:lvl>
    <w:lvl w:ilvl="5" w:tentative="0">
      <w:start w:val="1"/>
      <w:numFmt w:val="decimal"/>
      <w:lvlText w:val=""/>
      <w:lvlJc w:val="left"/>
      <w:rPr>
        <w:rFonts w:hint="default"/>
        <w:u w:val="none" w:color="auto"/>
      </w:rPr>
    </w:lvl>
    <w:lvl w:ilvl="6" w:tentative="0">
      <w:start w:val="1"/>
      <w:numFmt w:val="decimal"/>
      <w:lvlText w:val=""/>
      <w:lvlJc w:val="left"/>
      <w:rPr>
        <w:rFonts w:hint="default"/>
        <w:u w:val="none" w:color="auto"/>
      </w:rPr>
    </w:lvl>
    <w:lvl w:ilvl="7" w:tentative="0">
      <w:start w:val="1"/>
      <w:numFmt w:val="decimal"/>
      <w:lvlText w:val=""/>
      <w:lvlJc w:val="left"/>
      <w:rPr>
        <w:rFonts w:hint="default"/>
        <w:u w:val="none" w:color="auto"/>
      </w:rPr>
    </w:lvl>
    <w:lvl w:ilvl="8" w:tentative="0">
      <w:start w:val="1"/>
      <w:numFmt w:val="decimal"/>
      <w:lvlText w:val=""/>
      <w:lvlJc w:val="left"/>
      <w:rPr>
        <w:rFonts w:hint="default"/>
        <w:u w:val="none" w:color="auto"/>
      </w:rPr>
    </w:lvl>
  </w:abstractNum>
  <w:abstractNum w:abstractNumId="40">
    <w:nsid w:val="49F7E8AA"/>
    <w:multiLevelType w:val="multilevel"/>
    <w:tmpl w:val="49F7E8AA"/>
    <w:lvl w:ilvl="0" w:tentative="0">
      <w:start w:val="1"/>
      <w:numFmt w:val="decimal"/>
      <w:suff w:val="nothing"/>
      <w:lvlText w:val="（%1）"/>
      <w:lvlJc w:val="left"/>
      <w:rPr>
        <w:rFonts w:hint="default"/>
        <w:u w:val="none" w:color="auto"/>
      </w:rPr>
    </w:lvl>
    <w:lvl w:ilvl="1" w:tentative="0">
      <w:start w:val="1"/>
      <w:numFmt w:val="decimal"/>
      <w:lvlText w:val=""/>
      <w:lvlJc w:val="left"/>
      <w:rPr>
        <w:rFonts w:hint="default"/>
        <w:u w:val="none" w:color="auto"/>
      </w:rPr>
    </w:lvl>
    <w:lvl w:ilvl="2" w:tentative="0">
      <w:start w:val="1"/>
      <w:numFmt w:val="decimal"/>
      <w:lvlText w:val=""/>
      <w:lvlJc w:val="left"/>
      <w:rPr>
        <w:rFonts w:hint="default"/>
        <w:u w:val="none" w:color="auto"/>
      </w:rPr>
    </w:lvl>
    <w:lvl w:ilvl="3" w:tentative="0">
      <w:start w:val="1"/>
      <w:numFmt w:val="decimal"/>
      <w:lvlText w:val=""/>
      <w:lvlJc w:val="left"/>
      <w:rPr>
        <w:rFonts w:hint="default"/>
        <w:u w:val="none" w:color="auto"/>
      </w:rPr>
    </w:lvl>
    <w:lvl w:ilvl="4" w:tentative="0">
      <w:start w:val="1"/>
      <w:numFmt w:val="decimal"/>
      <w:lvlText w:val=""/>
      <w:lvlJc w:val="left"/>
      <w:rPr>
        <w:rFonts w:hint="default"/>
        <w:u w:val="none" w:color="auto"/>
      </w:rPr>
    </w:lvl>
    <w:lvl w:ilvl="5" w:tentative="0">
      <w:start w:val="1"/>
      <w:numFmt w:val="decimal"/>
      <w:lvlText w:val=""/>
      <w:lvlJc w:val="left"/>
      <w:rPr>
        <w:rFonts w:hint="default"/>
        <w:u w:val="none" w:color="auto"/>
      </w:rPr>
    </w:lvl>
    <w:lvl w:ilvl="6" w:tentative="0">
      <w:start w:val="1"/>
      <w:numFmt w:val="decimal"/>
      <w:lvlText w:val=""/>
      <w:lvlJc w:val="left"/>
      <w:rPr>
        <w:rFonts w:hint="default"/>
        <w:u w:val="none" w:color="auto"/>
      </w:rPr>
    </w:lvl>
    <w:lvl w:ilvl="7" w:tentative="0">
      <w:start w:val="1"/>
      <w:numFmt w:val="decimal"/>
      <w:lvlText w:val=""/>
      <w:lvlJc w:val="left"/>
      <w:rPr>
        <w:rFonts w:hint="default"/>
        <w:u w:val="none" w:color="auto"/>
      </w:rPr>
    </w:lvl>
    <w:lvl w:ilvl="8" w:tentative="0">
      <w:start w:val="1"/>
      <w:numFmt w:val="decimal"/>
      <w:lvlText w:val=""/>
      <w:lvlJc w:val="left"/>
      <w:rPr>
        <w:rFonts w:hint="default"/>
        <w:u w:val="none" w:color="auto"/>
      </w:rPr>
    </w:lvl>
  </w:abstractNum>
  <w:abstractNum w:abstractNumId="41">
    <w:nsid w:val="4F56817D"/>
    <w:multiLevelType w:val="singleLevel"/>
    <w:tmpl w:val="4F56817D"/>
    <w:lvl w:ilvl="0" w:tentative="0">
      <w:start w:val="1"/>
      <w:numFmt w:val="decimal"/>
      <w:suff w:val="nothing"/>
      <w:lvlText w:val="（%1）"/>
      <w:lvlJc w:val="left"/>
    </w:lvl>
  </w:abstractNum>
  <w:abstractNum w:abstractNumId="42">
    <w:nsid w:val="5573122D"/>
    <w:multiLevelType w:val="singleLevel"/>
    <w:tmpl w:val="5573122D"/>
    <w:lvl w:ilvl="0" w:tentative="0">
      <w:start w:val="1"/>
      <w:numFmt w:val="decimal"/>
      <w:suff w:val="nothing"/>
      <w:lvlText w:val="（%1）"/>
      <w:lvlJc w:val="left"/>
    </w:lvl>
  </w:abstractNum>
  <w:abstractNum w:abstractNumId="43">
    <w:nsid w:val="643944AB"/>
    <w:multiLevelType w:val="multilevel"/>
    <w:tmpl w:val="643944AB"/>
    <w:lvl w:ilvl="0" w:tentative="0">
      <w:start w:val="1"/>
      <w:numFmt w:val="decimal"/>
      <w:suff w:val="nothing"/>
      <w:lvlText w:val="（%1）"/>
      <w:lvlJc w:val="left"/>
      <w:rPr>
        <w:rFonts w:hint="default"/>
        <w:u w:val="none" w:color="auto"/>
      </w:rPr>
    </w:lvl>
    <w:lvl w:ilvl="1" w:tentative="0">
      <w:start w:val="1"/>
      <w:numFmt w:val="decimal"/>
      <w:lvlText w:val=""/>
      <w:lvlJc w:val="left"/>
      <w:rPr>
        <w:rFonts w:hint="default"/>
        <w:u w:val="none" w:color="auto"/>
      </w:rPr>
    </w:lvl>
    <w:lvl w:ilvl="2" w:tentative="0">
      <w:start w:val="1"/>
      <w:numFmt w:val="decimal"/>
      <w:lvlText w:val=""/>
      <w:lvlJc w:val="left"/>
      <w:rPr>
        <w:rFonts w:hint="default"/>
        <w:u w:val="none" w:color="auto"/>
      </w:rPr>
    </w:lvl>
    <w:lvl w:ilvl="3" w:tentative="0">
      <w:start w:val="1"/>
      <w:numFmt w:val="decimal"/>
      <w:lvlText w:val=""/>
      <w:lvlJc w:val="left"/>
      <w:rPr>
        <w:rFonts w:hint="default"/>
        <w:u w:val="none" w:color="auto"/>
      </w:rPr>
    </w:lvl>
    <w:lvl w:ilvl="4" w:tentative="0">
      <w:start w:val="1"/>
      <w:numFmt w:val="decimal"/>
      <w:lvlText w:val=""/>
      <w:lvlJc w:val="left"/>
      <w:rPr>
        <w:rFonts w:hint="default"/>
        <w:u w:val="none" w:color="auto"/>
      </w:rPr>
    </w:lvl>
    <w:lvl w:ilvl="5" w:tentative="0">
      <w:start w:val="1"/>
      <w:numFmt w:val="decimal"/>
      <w:lvlText w:val=""/>
      <w:lvlJc w:val="left"/>
      <w:rPr>
        <w:rFonts w:hint="default"/>
        <w:u w:val="none" w:color="auto"/>
      </w:rPr>
    </w:lvl>
    <w:lvl w:ilvl="6" w:tentative="0">
      <w:start w:val="1"/>
      <w:numFmt w:val="decimal"/>
      <w:lvlText w:val=""/>
      <w:lvlJc w:val="left"/>
      <w:rPr>
        <w:rFonts w:hint="default"/>
        <w:u w:val="none" w:color="auto"/>
      </w:rPr>
    </w:lvl>
    <w:lvl w:ilvl="7" w:tentative="0">
      <w:start w:val="1"/>
      <w:numFmt w:val="decimal"/>
      <w:lvlText w:val=""/>
      <w:lvlJc w:val="left"/>
      <w:rPr>
        <w:rFonts w:hint="default"/>
        <w:u w:val="none" w:color="auto"/>
      </w:rPr>
    </w:lvl>
    <w:lvl w:ilvl="8" w:tentative="0">
      <w:start w:val="1"/>
      <w:numFmt w:val="decimal"/>
      <w:lvlText w:val=""/>
      <w:lvlJc w:val="left"/>
      <w:rPr>
        <w:rFonts w:hint="default"/>
        <w:u w:val="none" w:color="auto"/>
      </w:rPr>
    </w:lvl>
  </w:abstractNum>
  <w:abstractNum w:abstractNumId="44">
    <w:nsid w:val="6592949F"/>
    <w:multiLevelType w:val="multilevel"/>
    <w:tmpl w:val="6592949F"/>
    <w:lvl w:ilvl="0" w:tentative="0">
      <w:start w:val="1"/>
      <w:numFmt w:val="decimal"/>
      <w:suff w:val="nothing"/>
      <w:lvlText w:val="（%1）"/>
      <w:lvlJc w:val="left"/>
      <w:rPr>
        <w:rFonts w:hint="default"/>
        <w:u w:val="none" w:color="auto"/>
      </w:rPr>
    </w:lvl>
    <w:lvl w:ilvl="1" w:tentative="0">
      <w:start w:val="1"/>
      <w:numFmt w:val="decimal"/>
      <w:lvlText w:val=""/>
      <w:lvlJc w:val="left"/>
      <w:rPr>
        <w:rFonts w:hint="default"/>
        <w:u w:val="none" w:color="auto"/>
      </w:rPr>
    </w:lvl>
    <w:lvl w:ilvl="2" w:tentative="0">
      <w:start w:val="1"/>
      <w:numFmt w:val="decimal"/>
      <w:lvlText w:val=""/>
      <w:lvlJc w:val="left"/>
      <w:rPr>
        <w:rFonts w:hint="default"/>
        <w:u w:val="none" w:color="auto"/>
      </w:rPr>
    </w:lvl>
    <w:lvl w:ilvl="3" w:tentative="0">
      <w:start w:val="1"/>
      <w:numFmt w:val="decimal"/>
      <w:lvlText w:val=""/>
      <w:lvlJc w:val="left"/>
      <w:rPr>
        <w:rFonts w:hint="default"/>
        <w:u w:val="none" w:color="auto"/>
      </w:rPr>
    </w:lvl>
    <w:lvl w:ilvl="4" w:tentative="0">
      <w:start w:val="1"/>
      <w:numFmt w:val="decimal"/>
      <w:lvlText w:val=""/>
      <w:lvlJc w:val="left"/>
      <w:rPr>
        <w:rFonts w:hint="default"/>
        <w:u w:val="none" w:color="auto"/>
      </w:rPr>
    </w:lvl>
    <w:lvl w:ilvl="5" w:tentative="0">
      <w:start w:val="1"/>
      <w:numFmt w:val="decimal"/>
      <w:lvlText w:val=""/>
      <w:lvlJc w:val="left"/>
      <w:rPr>
        <w:rFonts w:hint="default"/>
        <w:u w:val="none" w:color="auto"/>
      </w:rPr>
    </w:lvl>
    <w:lvl w:ilvl="6" w:tentative="0">
      <w:start w:val="1"/>
      <w:numFmt w:val="decimal"/>
      <w:lvlText w:val=""/>
      <w:lvlJc w:val="left"/>
      <w:rPr>
        <w:rFonts w:hint="default"/>
        <w:u w:val="none" w:color="auto"/>
      </w:rPr>
    </w:lvl>
    <w:lvl w:ilvl="7" w:tentative="0">
      <w:start w:val="1"/>
      <w:numFmt w:val="decimal"/>
      <w:lvlText w:val=""/>
      <w:lvlJc w:val="left"/>
      <w:rPr>
        <w:rFonts w:hint="default"/>
        <w:u w:val="none" w:color="auto"/>
      </w:rPr>
    </w:lvl>
    <w:lvl w:ilvl="8" w:tentative="0">
      <w:start w:val="1"/>
      <w:numFmt w:val="decimal"/>
      <w:lvlText w:val=""/>
      <w:lvlJc w:val="left"/>
      <w:rPr>
        <w:rFonts w:hint="default"/>
        <w:u w:val="none" w:color="auto"/>
      </w:rPr>
    </w:lvl>
  </w:abstractNum>
  <w:abstractNum w:abstractNumId="45">
    <w:nsid w:val="6A5E971F"/>
    <w:multiLevelType w:val="singleLevel"/>
    <w:tmpl w:val="6A5E971F"/>
    <w:lvl w:ilvl="0" w:tentative="0">
      <w:start w:val="1"/>
      <w:numFmt w:val="decimal"/>
      <w:suff w:val="nothing"/>
      <w:lvlText w:val="%1、"/>
      <w:lvlJc w:val="left"/>
    </w:lvl>
  </w:abstractNum>
  <w:abstractNum w:abstractNumId="46">
    <w:nsid w:val="6B0271B2"/>
    <w:multiLevelType w:val="multilevel"/>
    <w:tmpl w:val="6B0271B2"/>
    <w:lvl w:ilvl="0" w:tentative="0">
      <w:start w:val="1"/>
      <w:numFmt w:val="decimal"/>
      <w:suff w:val="nothing"/>
      <w:lvlText w:val="（%1）"/>
      <w:lvlJc w:val="left"/>
      <w:rPr>
        <w:rFonts w:hint="default"/>
        <w:u w:val="none" w:color="auto"/>
      </w:rPr>
    </w:lvl>
    <w:lvl w:ilvl="1" w:tentative="0">
      <w:start w:val="1"/>
      <w:numFmt w:val="decimal"/>
      <w:lvlText w:val=""/>
      <w:lvlJc w:val="left"/>
      <w:rPr>
        <w:rFonts w:hint="default"/>
        <w:u w:val="none" w:color="auto"/>
      </w:rPr>
    </w:lvl>
    <w:lvl w:ilvl="2" w:tentative="0">
      <w:start w:val="1"/>
      <w:numFmt w:val="decimal"/>
      <w:lvlText w:val=""/>
      <w:lvlJc w:val="left"/>
      <w:rPr>
        <w:rFonts w:hint="default"/>
        <w:u w:val="none" w:color="auto"/>
      </w:rPr>
    </w:lvl>
    <w:lvl w:ilvl="3" w:tentative="0">
      <w:start w:val="1"/>
      <w:numFmt w:val="decimal"/>
      <w:lvlText w:val=""/>
      <w:lvlJc w:val="left"/>
      <w:rPr>
        <w:rFonts w:hint="default"/>
        <w:u w:val="none" w:color="auto"/>
      </w:rPr>
    </w:lvl>
    <w:lvl w:ilvl="4" w:tentative="0">
      <w:start w:val="1"/>
      <w:numFmt w:val="decimal"/>
      <w:lvlText w:val=""/>
      <w:lvlJc w:val="left"/>
      <w:rPr>
        <w:rFonts w:hint="default"/>
        <w:u w:val="none" w:color="auto"/>
      </w:rPr>
    </w:lvl>
    <w:lvl w:ilvl="5" w:tentative="0">
      <w:start w:val="1"/>
      <w:numFmt w:val="decimal"/>
      <w:lvlText w:val=""/>
      <w:lvlJc w:val="left"/>
      <w:rPr>
        <w:rFonts w:hint="default"/>
        <w:u w:val="none" w:color="auto"/>
      </w:rPr>
    </w:lvl>
    <w:lvl w:ilvl="6" w:tentative="0">
      <w:start w:val="1"/>
      <w:numFmt w:val="decimal"/>
      <w:lvlText w:val=""/>
      <w:lvlJc w:val="left"/>
      <w:rPr>
        <w:rFonts w:hint="default"/>
        <w:u w:val="none" w:color="auto"/>
      </w:rPr>
    </w:lvl>
    <w:lvl w:ilvl="7" w:tentative="0">
      <w:start w:val="1"/>
      <w:numFmt w:val="decimal"/>
      <w:lvlText w:val=""/>
      <w:lvlJc w:val="left"/>
      <w:rPr>
        <w:rFonts w:hint="default"/>
        <w:u w:val="none" w:color="auto"/>
      </w:rPr>
    </w:lvl>
    <w:lvl w:ilvl="8" w:tentative="0">
      <w:start w:val="1"/>
      <w:numFmt w:val="decimal"/>
      <w:lvlText w:val=""/>
      <w:lvlJc w:val="left"/>
      <w:rPr>
        <w:rFonts w:hint="default"/>
        <w:u w:val="none" w:color="auto"/>
      </w:rPr>
    </w:lvl>
  </w:abstractNum>
  <w:abstractNum w:abstractNumId="47">
    <w:nsid w:val="6B0AAA9C"/>
    <w:multiLevelType w:val="singleLevel"/>
    <w:tmpl w:val="6B0AAA9C"/>
    <w:lvl w:ilvl="0" w:tentative="0">
      <w:start w:val="1"/>
      <w:numFmt w:val="decimal"/>
      <w:suff w:val="nothing"/>
      <w:lvlText w:val="（%1）"/>
      <w:lvlJc w:val="left"/>
    </w:lvl>
  </w:abstractNum>
  <w:abstractNum w:abstractNumId="48">
    <w:nsid w:val="6B9565E3"/>
    <w:multiLevelType w:val="multilevel"/>
    <w:tmpl w:val="6B9565E3"/>
    <w:lvl w:ilvl="0" w:tentative="0">
      <w:start w:val="2"/>
      <w:numFmt w:val="decimal"/>
      <w:suff w:val="nothing"/>
      <w:lvlText w:val="%1）"/>
      <w:lvlJc w:val="left"/>
      <w:rPr>
        <w:rFonts w:hint="default"/>
        <w:u w:val="none" w:color="auto"/>
      </w:rPr>
    </w:lvl>
    <w:lvl w:ilvl="1" w:tentative="0">
      <w:start w:val="1"/>
      <w:numFmt w:val="decimal"/>
      <w:lvlText w:val=""/>
      <w:lvlJc w:val="left"/>
      <w:rPr>
        <w:rFonts w:hint="default"/>
        <w:u w:val="none" w:color="auto"/>
      </w:rPr>
    </w:lvl>
    <w:lvl w:ilvl="2" w:tentative="0">
      <w:start w:val="1"/>
      <w:numFmt w:val="decimal"/>
      <w:lvlText w:val=""/>
      <w:lvlJc w:val="left"/>
      <w:rPr>
        <w:rFonts w:hint="default"/>
        <w:u w:val="none" w:color="auto"/>
      </w:rPr>
    </w:lvl>
    <w:lvl w:ilvl="3" w:tentative="0">
      <w:start w:val="1"/>
      <w:numFmt w:val="decimal"/>
      <w:lvlText w:val=""/>
      <w:lvlJc w:val="left"/>
      <w:rPr>
        <w:rFonts w:hint="default"/>
        <w:u w:val="none" w:color="auto"/>
      </w:rPr>
    </w:lvl>
    <w:lvl w:ilvl="4" w:tentative="0">
      <w:start w:val="1"/>
      <w:numFmt w:val="decimal"/>
      <w:lvlText w:val=""/>
      <w:lvlJc w:val="left"/>
      <w:rPr>
        <w:rFonts w:hint="default"/>
        <w:u w:val="none" w:color="auto"/>
      </w:rPr>
    </w:lvl>
    <w:lvl w:ilvl="5" w:tentative="0">
      <w:start w:val="1"/>
      <w:numFmt w:val="decimal"/>
      <w:lvlText w:val=""/>
      <w:lvlJc w:val="left"/>
      <w:rPr>
        <w:rFonts w:hint="default"/>
        <w:u w:val="none" w:color="auto"/>
      </w:rPr>
    </w:lvl>
    <w:lvl w:ilvl="6" w:tentative="0">
      <w:start w:val="1"/>
      <w:numFmt w:val="decimal"/>
      <w:lvlText w:val=""/>
      <w:lvlJc w:val="left"/>
      <w:rPr>
        <w:rFonts w:hint="default"/>
        <w:u w:val="none" w:color="auto"/>
      </w:rPr>
    </w:lvl>
    <w:lvl w:ilvl="7" w:tentative="0">
      <w:start w:val="1"/>
      <w:numFmt w:val="decimal"/>
      <w:lvlText w:val=""/>
      <w:lvlJc w:val="left"/>
      <w:rPr>
        <w:rFonts w:hint="default"/>
        <w:u w:val="none" w:color="auto"/>
      </w:rPr>
    </w:lvl>
    <w:lvl w:ilvl="8" w:tentative="0">
      <w:start w:val="1"/>
      <w:numFmt w:val="decimal"/>
      <w:lvlText w:val=""/>
      <w:lvlJc w:val="left"/>
      <w:rPr>
        <w:rFonts w:hint="default"/>
        <w:u w:val="none" w:color="auto"/>
      </w:rPr>
    </w:lvl>
  </w:abstractNum>
  <w:abstractNum w:abstractNumId="49">
    <w:nsid w:val="739C43A9"/>
    <w:multiLevelType w:val="multilevel"/>
    <w:tmpl w:val="739C43A9"/>
    <w:lvl w:ilvl="0" w:tentative="0">
      <w:start w:val="1"/>
      <w:numFmt w:val="decimal"/>
      <w:suff w:val="nothing"/>
      <w:lvlText w:val="（%1）"/>
      <w:lvlJc w:val="left"/>
      <w:rPr>
        <w:rFonts w:hint="default"/>
        <w:u w:val="none" w:color="auto"/>
      </w:rPr>
    </w:lvl>
    <w:lvl w:ilvl="1" w:tentative="0">
      <w:start w:val="1"/>
      <w:numFmt w:val="decimal"/>
      <w:lvlText w:val=""/>
      <w:lvlJc w:val="left"/>
      <w:rPr>
        <w:rFonts w:hint="default"/>
        <w:u w:val="none" w:color="auto"/>
      </w:rPr>
    </w:lvl>
    <w:lvl w:ilvl="2" w:tentative="0">
      <w:start w:val="1"/>
      <w:numFmt w:val="decimal"/>
      <w:lvlText w:val=""/>
      <w:lvlJc w:val="left"/>
      <w:rPr>
        <w:rFonts w:hint="default"/>
        <w:u w:val="none" w:color="auto"/>
      </w:rPr>
    </w:lvl>
    <w:lvl w:ilvl="3" w:tentative="0">
      <w:start w:val="1"/>
      <w:numFmt w:val="decimal"/>
      <w:lvlText w:val=""/>
      <w:lvlJc w:val="left"/>
      <w:rPr>
        <w:rFonts w:hint="default"/>
        <w:u w:val="none" w:color="auto"/>
      </w:rPr>
    </w:lvl>
    <w:lvl w:ilvl="4" w:tentative="0">
      <w:start w:val="1"/>
      <w:numFmt w:val="decimal"/>
      <w:lvlText w:val=""/>
      <w:lvlJc w:val="left"/>
      <w:rPr>
        <w:rFonts w:hint="default"/>
        <w:u w:val="none" w:color="auto"/>
      </w:rPr>
    </w:lvl>
    <w:lvl w:ilvl="5" w:tentative="0">
      <w:start w:val="1"/>
      <w:numFmt w:val="decimal"/>
      <w:lvlText w:val=""/>
      <w:lvlJc w:val="left"/>
      <w:rPr>
        <w:rFonts w:hint="default"/>
        <w:u w:val="none" w:color="auto"/>
      </w:rPr>
    </w:lvl>
    <w:lvl w:ilvl="6" w:tentative="0">
      <w:start w:val="1"/>
      <w:numFmt w:val="decimal"/>
      <w:lvlText w:val=""/>
      <w:lvlJc w:val="left"/>
      <w:rPr>
        <w:rFonts w:hint="default"/>
        <w:u w:val="none" w:color="auto"/>
      </w:rPr>
    </w:lvl>
    <w:lvl w:ilvl="7" w:tentative="0">
      <w:start w:val="1"/>
      <w:numFmt w:val="decimal"/>
      <w:lvlText w:val=""/>
      <w:lvlJc w:val="left"/>
      <w:rPr>
        <w:rFonts w:hint="default"/>
        <w:u w:val="none" w:color="auto"/>
      </w:rPr>
    </w:lvl>
    <w:lvl w:ilvl="8" w:tentative="0">
      <w:start w:val="1"/>
      <w:numFmt w:val="decimal"/>
      <w:lvlText w:val=""/>
      <w:lvlJc w:val="left"/>
      <w:rPr>
        <w:rFonts w:hint="default"/>
        <w:u w:val="none" w:color="auto"/>
      </w:rPr>
    </w:lvl>
  </w:abstractNum>
  <w:abstractNum w:abstractNumId="50">
    <w:nsid w:val="775F6915"/>
    <w:multiLevelType w:val="singleLevel"/>
    <w:tmpl w:val="775F6915"/>
    <w:lvl w:ilvl="0" w:tentative="0">
      <w:start w:val="7"/>
      <w:numFmt w:val="chineseCounting"/>
      <w:suff w:val="nothing"/>
      <w:lvlText w:val="（%1）"/>
      <w:lvlJc w:val="left"/>
      <w:rPr>
        <w:rFonts w:hint="eastAsia"/>
      </w:rPr>
    </w:lvl>
  </w:abstractNum>
  <w:abstractNum w:abstractNumId="51">
    <w:nsid w:val="7A9C43A5"/>
    <w:multiLevelType w:val="multilevel"/>
    <w:tmpl w:val="7A9C43A5"/>
    <w:lvl w:ilvl="0" w:tentative="0">
      <w:start w:val="1"/>
      <w:numFmt w:val="decimal"/>
      <w:suff w:val="nothing"/>
      <w:lvlText w:val="（%1）"/>
      <w:lvlJc w:val="left"/>
      <w:rPr>
        <w:rFonts w:hint="default"/>
        <w:u w:val="none" w:color="auto"/>
      </w:rPr>
    </w:lvl>
    <w:lvl w:ilvl="1" w:tentative="0">
      <w:start w:val="1"/>
      <w:numFmt w:val="decimal"/>
      <w:lvlText w:val=""/>
      <w:lvlJc w:val="left"/>
      <w:rPr>
        <w:rFonts w:hint="default"/>
        <w:u w:val="none" w:color="auto"/>
      </w:rPr>
    </w:lvl>
    <w:lvl w:ilvl="2" w:tentative="0">
      <w:start w:val="1"/>
      <w:numFmt w:val="decimal"/>
      <w:lvlText w:val=""/>
      <w:lvlJc w:val="left"/>
      <w:rPr>
        <w:rFonts w:hint="default"/>
        <w:u w:val="none" w:color="auto"/>
      </w:rPr>
    </w:lvl>
    <w:lvl w:ilvl="3" w:tentative="0">
      <w:start w:val="1"/>
      <w:numFmt w:val="decimal"/>
      <w:lvlText w:val=""/>
      <w:lvlJc w:val="left"/>
      <w:rPr>
        <w:rFonts w:hint="default"/>
        <w:u w:val="none" w:color="auto"/>
      </w:rPr>
    </w:lvl>
    <w:lvl w:ilvl="4" w:tentative="0">
      <w:start w:val="1"/>
      <w:numFmt w:val="decimal"/>
      <w:lvlText w:val=""/>
      <w:lvlJc w:val="left"/>
      <w:rPr>
        <w:rFonts w:hint="default"/>
        <w:u w:val="none" w:color="auto"/>
      </w:rPr>
    </w:lvl>
    <w:lvl w:ilvl="5" w:tentative="0">
      <w:start w:val="1"/>
      <w:numFmt w:val="decimal"/>
      <w:lvlText w:val=""/>
      <w:lvlJc w:val="left"/>
      <w:rPr>
        <w:rFonts w:hint="default"/>
        <w:u w:val="none" w:color="auto"/>
      </w:rPr>
    </w:lvl>
    <w:lvl w:ilvl="6" w:tentative="0">
      <w:start w:val="1"/>
      <w:numFmt w:val="decimal"/>
      <w:lvlText w:val=""/>
      <w:lvlJc w:val="left"/>
      <w:rPr>
        <w:rFonts w:hint="default"/>
        <w:u w:val="none" w:color="auto"/>
      </w:rPr>
    </w:lvl>
    <w:lvl w:ilvl="7" w:tentative="0">
      <w:start w:val="1"/>
      <w:numFmt w:val="decimal"/>
      <w:lvlText w:val=""/>
      <w:lvlJc w:val="left"/>
      <w:rPr>
        <w:rFonts w:hint="default"/>
        <w:u w:val="none" w:color="auto"/>
      </w:rPr>
    </w:lvl>
    <w:lvl w:ilvl="8" w:tentative="0">
      <w:start w:val="1"/>
      <w:numFmt w:val="decimal"/>
      <w:lvlText w:val=""/>
      <w:lvlJc w:val="left"/>
      <w:rPr>
        <w:rFonts w:hint="default"/>
        <w:u w:val="none" w:color="auto"/>
      </w:rPr>
    </w:lvl>
  </w:abstractNum>
  <w:abstractNum w:abstractNumId="52">
    <w:nsid w:val="7DF33F33"/>
    <w:multiLevelType w:val="singleLevel"/>
    <w:tmpl w:val="7DF33F33"/>
    <w:lvl w:ilvl="0" w:tentative="0">
      <w:start w:val="1"/>
      <w:numFmt w:val="decimal"/>
      <w:suff w:val="nothing"/>
      <w:lvlText w:val="（%1）"/>
      <w:lvlJc w:val="left"/>
    </w:lvl>
  </w:abstractNum>
  <w:abstractNum w:abstractNumId="53">
    <w:nsid w:val="7F817E06"/>
    <w:multiLevelType w:val="multilevel"/>
    <w:tmpl w:val="7F817E06"/>
    <w:lvl w:ilvl="0" w:tentative="0">
      <w:start w:val="1"/>
      <w:numFmt w:val="decimal"/>
      <w:suff w:val="nothing"/>
      <w:lvlText w:val="%1）"/>
      <w:lvlJc w:val="left"/>
      <w:rPr>
        <w:rFonts w:hint="default"/>
        <w:u w:val="none" w:color="auto"/>
      </w:rPr>
    </w:lvl>
    <w:lvl w:ilvl="1" w:tentative="0">
      <w:start w:val="1"/>
      <w:numFmt w:val="decimal"/>
      <w:lvlText w:val=""/>
      <w:lvlJc w:val="left"/>
      <w:rPr>
        <w:rFonts w:hint="default"/>
        <w:u w:val="none" w:color="auto"/>
      </w:rPr>
    </w:lvl>
    <w:lvl w:ilvl="2" w:tentative="0">
      <w:start w:val="1"/>
      <w:numFmt w:val="decimal"/>
      <w:lvlText w:val=""/>
      <w:lvlJc w:val="left"/>
      <w:rPr>
        <w:rFonts w:hint="default"/>
        <w:u w:val="none" w:color="auto"/>
      </w:rPr>
    </w:lvl>
    <w:lvl w:ilvl="3" w:tentative="0">
      <w:start w:val="1"/>
      <w:numFmt w:val="decimal"/>
      <w:lvlText w:val=""/>
      <w:lvlJc w:val="left"/>
      <w:rPr>
        <w:rFonts w:hint="default"/>
        <w:u w:val="none" w:color="auto"/>
      </w:rPr>
    </w:lvl>
    <w:lvl w:ilvl="4" w:tentative="0">
      <w:start w:val="1"/>
      <w:numFmt w:val="decimal"/>
      <w:lvlText w:val=""/>
      <w:lvlJc w:val="left"/>
      <w:rPr>
        <w:rFonts w:hint="default"/>
        <w:u w:val="none" w:color="auto"/>
      </w:rPr>
    </w:lvl>
    <w:lvl w:ilvl="5" w:tentative="0">
      <w:start w:val="1"/>
      <w:numFmt w:val="decimal"/>
      <w:lvlText w:val=""/>
      <w:lvlJc w:val="left"/>
      <w:rPr>
        <w:rFonts w:hint="default"/>
        <w:u w:val="none" w:color="auto"/>
      </w:rPr>
    </w:lvl>
    <w:lvl w:ilvl="6" w:tentative="0">
      <w:start w:val="1"/>
      <w:numFmt w:val="decimal"/>
      <w:lvlText w:val=""/>
      <w:lvlJc w:val="left"/>
      <w:rPr>
        <w:rFonts w:hint="default"/>
        <w:u w:val="none" w:color="auto"/>
      </w:rPr>
    </w:lvl>
    <w:lvl w:ilvl="7" w:tentative="0">
      <w:start w:val="1"/>
      <w:numFmt w:val="decimal"/>
      <w:lvlText w:val=""/>
      <w:lvlJc w:val="left"/>
      <w:rPr>
        <w:rFonts w:hint="default"/>
        <w:u w:val="none" w:color="auto"/>
      </w:rPr>
    </w:lvl>
    <w:lvl w:ilvl="8" w:tentative="0">
      <w:start w:val="1"/>
      <w:numFmt w:val="decimal"/>
      <w:lvlText w:val=""/>
      <w:lvlJc w:val="left"/>
      <w:rPr>
        <w:rFonts w:hint="default"/>
        <w:u w:val="none" w:color="auto"/>
      </w:rPr>
    </w:lvl>
  </w:abstractNum>
  <w:num w:numId="1">
    <w:abstractNumId w:val="29"/>
  </w:num>
  <w:num w:numId="2">
    <w:abstractNumId w:val="14"/>
  </w:num>
  <w:num w:numId="3">
    <w:abstractNumId w:val="12"/>
  </w:num>
  <w:num w:numId="4">
    <w:abstractNumId w:val="7"/>
  </w:num>
  <w:num w:numId="5">
    <w:abstractNumId w:val="10"/>
  </w:num>
  <w:num w:numId="6">
    <w:abstractNumId w:val="50"/>
  </w:num>
  <w:num w:numId="7">
    <w:abstractNumId w:val="31"/>
  </w:num>
  <w:num w:numId="8">
    <w:abstractNumId w:val="28"/>
  </w:num>
  <w:num w:numId="9">
    <w:abstractNumId w:val="22"/>
  </w:num>
  <w:num w:numId="10">
    <w:abstractNumId w:val="32"/>
  </w:num>
  <w:num w:numId="11">
    <w:abstractNumId w:val="19"/>
  </w:num>
  <w:num w:numId="12">
    <w:abstractNumId w:val="38"/>
  </w:num>
  <w:num w:numId="13">
    <w:abstractNumId w:val="18"/>
  </w:num>
  <w:num w:numId="14">
    <w:abstractNumId w:val="15"/>
  </w:num>
  <w:num w:numId="15">
    <w:abstractNumId w:val="9"/>
  </w:num>
  <w:num w:numId="16">
    <w:abstractNumId w:val="51"/>
  </w:num>
  <w:num w:numId="17">
    <w:abstractNumId w:val="34"/>
  </w:num>
  <w:num w:numId="18">
    <w:abstractNumId w:val="11"/>
  </w:num>
  <w:num w:numId="19">
    <w:abstractNumId w:val="26"/>
  </w:num>
  <w:num w:numId="20">
    <w:abstractNumId w:val="37"/>
  </w:num>
  <w:num w:numId="21">
    <w:abstractNumId w:val="49"/>
  </w:num>
  <w:num w:numId="22">
    <w:abstractNumId w:val="6"/>
  </w:num>
  <w:num w:numId="23">
    <w:abstractNumId w:val="16"/>
  </w:num>
  <w:num w:numId="24">
    <w:abstractNumId w:val="43"/>
  </w:num>
  <w:num w:numId="25">
    <w:abstractNumId w:val="13"/>
  </w:num>
  <w:num w:numId="26">
    <w:abstractNumId w:val="48"/>
  </w:num>
  <w:num w:numId="27">
    <w:abstractNumId w:val="20"/>
  </w:num>
  <w:num w:numId="28">
    <w:abstractNumId w:val="8"/>
  </w:num>
  <w:num w:numId="29">
    <w:abstractNumId w:val="53"/>
  </w:num>
  <w:num w:numId="30">
    <w:abstractNumId w:val="44"/>
  </w:num>
  <w:num w:numId="31">
    <w:abstractNumId w:val="17"/>
  </w:num>
  <w:num w:numId="32">
    <w:abstractNumId w:val="3"/>
  </w:num>
  <w:num w:numId="33">
    <w:abstractNumId w:val="52"/>
  </w:num>
  <w:num w:numId="34">
    <w:abstractNumId w:val="40"/>
  </w:num>
  <w:num w:numId="35">
    <w:abstractNumId w:val="45"/>
  </w:num>
  <w:num w:numId="36">
    <w:abstractNumId w:val="25"/>
  </w:num>
  <w:num w:numId="37">
    <w:abstractNumId w:val="27"/>
  </w:num>
  <w:num w:numId="38">
    <w:abstractNumId w:val="41"/>
  </w:num>
  <w:num w:numId="39">
    <w:abstractNumId w:val="2"/>
  </w:num>
  <w:num w:numId="40">
    <w:abstractNumId w:val="35"/>
  </w:num>
  <w:num w:numId="41">
    <w:abstractNumId w:val="33"/>
  </w:num>
  <w:num w:numId="42">
    <w:abstractNumId w:val="36"/>
  </w:num>
  <w:num w:numId="43">
    <w:abstractNumId w:val="1"/>
  </w:num>
  <w:num w:numId="44">
    <w:abstractNumId w:val="21"/>
  </w:num>
  <w:num w:numId="45">
    <w:abstractNumId w:val="46"/>
  </w:num>
  <w:num w:numId="46">
    <w:abstractNumId w:val="4"/>
  </w:num>
  <w:num w:numId="47">
    <w:abstractNumId w:val="24"/>
  </w:num>
  <w:num w:numId="48">
    <w:abstractNumId w:val="0"/>
  </w:num>
  <w:num w:numId="49">
    <w:abstractNumId w:val="47"/>
  </w:num>
  <w:num w:numId="50">
    <w:abstractNumId w:val="5"/>
  </w:num>
  <w:num w:numId="51">
    <w:abstractNumId w:val="42"/>
  </w:num>
  <w:num w:numId="52">
    <w:abstractNumId w:val="39"/>
  </w:num>
  <w:num w:numId="53">
    <w:abstractNumId w:val="30"/>
  </w:num>
  <w:num w:numId="5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hyphenationZone w:val="360"/>
  <w:drawingGridHorizontalSpacing w:val="120"/>
  <w:drawingGridVerticalSpacing w:val="120"/>
  <w:displayHorizontalDrawingGridEvery w:val="1"/>
  <w:displayVerticalDrawingGridEvery w:val="1"/>
  <w:doNotUseMarginsForDrawingGridOrigin w:val="1"/>
  <w:drawingGridHorizontalOrigin w:val="1701"/>
  <w:drawingGridVerticalOrigin w:val="1984"/>
  <w:doNotShadeFormData w:val="1"/>
  <w:noPunctuationKerning w:val="1"/>
  <w:characterSpacingControl w:val="doNotCompress"/>
  <w:doNotValidateAgainstSchema/>
  <w:doNotDemarcateInvalidXml/>
  <w:hdrShapeDefaults>
    <o:shapelayout v:ext="edit">
      <o:idmap v:ext="edit" data="2"/>
    </o:shapelayout>
  </w:hdrShapeDefaults>
  <w:footnotePr>
    <w:footnote w:id="0"/>
    <w:footnote w:id="1"/>
  </w:footnotePr>
  <w:endnotePr>
    <w:endnote w:id="0"/>
    <w:endnote w:id="1"/>
  </w:endnotePr>
  <w:compat>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Y3ZmFkODBiMjJhZDBmZDIxMTA4NmIxNzY0OGQ5YzMifQ=="/>
  </w:docVars>
  <w:rsids>
    <w:rsidRoot w:val="00172A27"/>
    <w:rsid w:val="00150EAD"/>
    <w:rsid w:val="001F3ADA"/>
    <w:rsid w:val="009C06CB"/>
    <w:rsid w:val="00F15688"/>
    <w:rsid w:val="014F6641"/>
    <w:rsid w:val="017B7436"/>
    <w:rsid w:val="01C901A1"/>
    <w:rsid w:val="02083730"/>
    <w:rsid w:val="02783976"/>
    <w:rsid w:val="027A77D7"/>
    <w:rsid w:val="02A77926"/>
    <w:rsid w:val="02AA7A19"/>
    <w:rsid w:val="039659F0"/>
    <w:rsid w:val="04582711"/>
    <w:rsid w:val="04765325"/>
    <w:rsid w:val="04814D63"/>
    <w:rsid w:val="048260BF"/>
    <w:rsid w:val="04E1218F"/>
    <w:rsid w:val="04EB48D3"/>
    <w:rsid w:val="04F05A45"/>
    <w:rsid w:val="05373674"/>
    <w:rsid w:val="05482E38"/>
    <w:rsid w:val="05BE5B43"/>
    <w:rsid w:val="05D11D1B"/>
    <w:rsid w:val="05D213FF"/>
    <w:rsid w:val="05D215EF"/>
    <w:rsid w:val="05D666A6"/>
    <w:rsid w:val="062E2CC9"/>
    <w:rsid w:val="0661309E"/>
    <w:rsid w:val="066D45C4"/>
    <w:rsid w:val="066E2C1A"/>
    <w:rsid w:val="06703C07"/>
    <w:rsid w:val="06CD3961"/>
    <w:rsid w:val="06F35CC1"/>
    <w:rsid w:val="06F7390F"/>
    <w:rsid w:val="07773F58"/>
    <w:rsid w:val="078132CC"/>
    <w:rsid w:val="07866291"/>
    <w:rsid w:val="081E6D6D"/>
    <w:rsid w:val="084F5307"/>
    <w:rsid w:val="085F6B82"/>
    <w:rsid w:val="08DB07BA"/>
    <w:rsid w:val="092D370C"/>
    <w:rsid w:val="09A339CE"/>
    <w:rsid w:val="0B1526A9"/>
    <w:rsid w:val="0B3C7C36"/>
    <w:rsid w:val="0B7F3FC7"/>
    <w:rsid w:val="0B913B41"/>
    <w:rsid w:val="0B9A65DD"/>
    <w:rsid w:val="0BB71621"/>
    <w:rsid w:val="0BD87EAC"/>
    <w:rsid w:val="0BE1433A"/>
    <w:rsid w:val="0BED101D"/>
    <w:rsid w:val="0CCC5321"/>
    <w:rsid w:val="0D177C8F"/>
    <w:rsid w:val="0D3249B2"/>
    <w:rsid w:val="0D957AD2"/>
    <w:rsid w:val="0E330915"/>
    <w:rsid w:val="0E8B73B1"/>
    <w:rsid w:val="0EA20B9C"/>
    <w:rsid w:val="0F670FFA"/>
    <w:rsid w:val="0F7316A6"/>
    <w:rsid w:val="0FA67D74"/>
    <w:rsid w:val="103C2486"/>
    <w:rsid w:val="104233D7"/>
    <w:rsid w:val="104E486C"/>
    <w:rsid w:val="10563548"/>
    <w:rsid w:val="10773D36"/>
    <w:rsid w:val="10945E1E"/>
    <w:rsid w:val="10A74D0F"/>
    <w:rsid w:val="10B77D5F"/>
    <w:rsid w:val="11A3229A"/>
    <w:rsid w:val="11CB5043"/>
    <w:rsid w:val="11D230A2"/>
    <w:rsid w:val="12161D69"/>
    <w:rsid w:val="12B66520"/>
    <w:rsid w:val="12CA5B28"/>
    <w:rsid w:val="141D437D"/>
    <w:rsid w:val="142A63F2"/>
    <w:rsid w:val="144274A8"/>
    <w:rsid w:val="148F5B6D"/>
    <w:rsid w:val="14B6767D"/>
    <w:rsid w:val="14E135FC"/>
    <w:rsid w:val="151E5BFA"/>
    <w:rsid w:val="15836462"/>
    <w:rsid w:val="159266A5"/>
    <w:rsid w:val="15C73A33"/>
    <w:rsid w:val="15D25C44"/>
    <w:rsid w:val="15D4671D"/>
    <w:rsid w:val="15E6711C"/>
    <w:rsid w:val="1626576B"/>
    <w:rsid w:val="16B66453"/>
    <w:rsid w:val="16EC2B18"/>
    <w:rsid w:val="17481711"/>
    <w:rsid w:val="17DA4A5F"/>
    <w:rsid w:val="17E637F4"/>
    <w:rsid w:val="18F45D57"/>
    <w:rsid w:val="19593CDE"/>
    <w:rsid w:val="195C5C81"/>
    <w:rsid w:val="1A4C6DBB"/>
    <w:rsid w:val="1A756CC1"/>
    <w:rsid w:val="1A8B7DA2"/>
    <w:rsid w:val="1AE97737"/>
    <w:rsid w:val="1B516D3B"/>
    <w:rsid w:val="1C0320AA"/>
    <w:rsid w:val="1C0E2F29"/>
    <w:rsid w:val="1C6C7C4F"/>
    <w:rsid w:val="1CF30371"/>
    <w:rsid w:val="1D33076D"/>
    <w:rsid w:val="1DE877AA"/>
    <w:rsid w:val="1E4C01D3"/>
    <w:rsid w:val="1E4C7426"/>
    <w:rsid w:val="1EDC0931"/>
    <w:rsid w:val="1F740A5E"/>
    <w:rsid w:val="1F8C2BFB"/>
    <w:rsid w:val="1FDA1374"/>
    <w:rsid w:val="20C95670"/>
    <w:rsid w:val="20FB77F4"/>
    <w:rsid w:val="21185B4C"/>
    <w:rsid w:val="21535882"/>
    <w:rsid w:val="219315A3"/>
    <w:rsid w:val="21C67161"/>
    <w:rsid w:val="21E6514D"/>
    <w:rsid w:val="21E652AF"/>
    <w:rsid w:val="22F00132"/>
    <w:rsid w:val="237F64BA"/>
    <w:rsid w:val="23865C68"/>
    <w:rsid w:val="239C6E80"/>
    <w:rsid w:val="23BD3C90"/>
    <w:rsid w:val="24172B97"/>
    <w:rsid w:val="244232AF"/>
    <w:rsid w:val="24F66C50"/>
    <w:rsid w:val="24F84776"/>
    <w:rsid w:val="24FE21EF"/>
    <w:rsid w:val="25282C04"/>
    <w:rsid w:val="255B4D05"/>
    <w:rsid w:val="25850F5F"/>
    <w:rsid w:val="258B55EA"/>
    <w:rsid w:val="25C25679"/>
    <w:rsid w:val="25F018F1"/>
    <w:rsid w:val="25FF1B34"/>
    <w:rsid w:val="26151358"/>
    <w:rsid w:val="26571970"/>
    <w:rsid w:val="26B06C1A"/>
    <w:rsid w:val="26E55C38"/>
    <w:rsid w:val="27313F6F"/>
    <w:rsid w:val="28235FAE"/>
    <w:rsid w:val="28B46C06"/>
    <w:rsid w:val="2A3963C3"/>
    <w:rsid w:val="2A3E70CF"/>
    <w:rsid w:val="2A8E16D9"/>
    <w:rsid w:val="2B3A295E"/>
    <w:rsid w:val="2B3E18CD"/>
    <w:rsid w:val="2B7408CF"/>
    <w:rsid w:val="2BC711D6"/>
    <w:rsid w:val="2BFD0DD2"/>
    <w:rsid w:val="2C370C0C"/>
    <w:rsid w:val="2C894B9A"/>
    <w:rsid w:val="2CF07CEA"/>
    <w:rsid w:val="2D0D7F06"/>
    <w:rsid w:val="2D265EC5"/>
    <w:rsid w:val="2D70417B"/>
    <w:rsid w:val="2D99461C"/>
    <w:rsid w:val="2DB0354B"/>
    <w:rsid w:val="2DB80F46"/>
    <w:rsid w:val="2DD815E9"/>
    <w:rsid w:val="2DF9330D"/>
    <w:rsid w:val="2EA81AED"/>
    <w:rsid w:val="305A6B4F"/>
    <w:rsid w:val="307E4CE9"/>
    <w:rsid w:val="307E568B"/>
    <w:rsid w:val="30890978"/>
    <w:rsid w:val="309C4B4F"/>
    <w:rsid w:val="30B32580"/>
    <w:rsid w:val="30D42A97"/>
    <w:rsid w:val="30E958BB"/>
    <w:rsid w:val="30FE302C"/>
    <w:rsid w:val="31C14142"/>
    <w:rsid w:val="31DB16A7"/>
    <w:rsid w:val="32340DB8"/>
    <w:rsid w:val="32762722"/>
    <w:rsid w:val="32B02D54"/>
    <w:rsid w:val="32B54A22"/>
    <w:rsid w:val="32E26A66"/>
    <w:rsid w:val="3312384B"/>
    <w:rsid w:val="334409AC"/>
    <w:rsid w:val="34482B7E"/>
    <w:rsid w:val="346E6803"/>
    <w:rsid w:val="351C03B3"/>
    <w:rsid w:val="354B444E"/>
    <w:rsid w:val="35EA010B"/>
    <w:rsid w:val="373C0021"/>
    <w:rsid w:val="37B81B43"/>
    <w:rsid w:val="37E34E12"/>
    <w:rsid w:val="387463B2"/>
    <w:rsid w:val="388D4D7E"/>
    <w:rsid w:val="38CB2295"/>
    <w:rsid w:val="38F566EC"/>
    <w:rsid w:val="391959FD"/>
    <w:rsid w:val="391F00CC"/>
    <w:rsid w:val="39332BC6"/>
    <w:rsid w:val="397D02DA"/>
    <w:rsid w:val="39AE31FE"/>
    <w:rsid w:val="39C24EFB"/>
    <w:rsid w:val="39C27EF5"/>
    <w:rsid w:val="39D709A6"/>
    <w:rsid w:val="39F6317C"/>
    <w:rsid w:val="3A414072"/>
    <w:rsid w:val="3AF842FB"/>
    <w:rsid w:val="3B20012B"/>
    <w:rsid w:val="3B3F2CA7"/>
    <w:rsid w:val="3B610C48"/>
    <w:rsid w:val="3B762A06"/>
    <w:rsid w:val="3C30026A"/>
    <w:rsid w:val="3C5F2041"/>
    <w:rsid w:val="3C6047E3"/>
    <w:rsid w:val="3C720E5A"/>
    <w:rsid w:val="3C9B215F"/>
    <w:rsid w:val="3CAD59EE"/>
    <w:rsid w:val="3CE043B2"/>
    <w:rsid w:val="3D4E5423"/>
    <w:rsid w:val="3D6C7658"/>
    <w:rsid w:val="3D9217CD"/>
    <w:rsid w:val="3DCB3C88"/>
    <w:rsid w:val="3DFC0F54"/>
    <w:rsid w:val="3E24017F"/>
    <w:rsid w:val="3E80785E"/>
    <w:rsid w:val="3EE03F1C"/>
    <w:rsid w:val="3F153B9A"/>
    <w:rsid w:val="3F8A654B"/>
    <w:rsid w:val="3FBB2169"/>
    <w:rsid w:val="40404D62"/>
    <w:rsid w:val="40955117"/>
    <w:rsid w:val="410F5B71"/>
    <w:rsid w:val="420C31B7"/>
    <w:rsid w:val="421F738E"/>
    <w:rsid w:val="42364E56"/>
    <w:rsid w:val="42595BB9"/>
    <w:rsid w:val="42674891"/>
    <w:rsid w:val="427A45C5"/>
    <w:rsid w:val="42C865C8"/>
    <w:rsid w:val="43322DCB"/>
    <w:rsid w:val="43592656"/>
    <w:rsid w:val="437234EE"/>
    <w:rsid w:val="43E47749"/>
    <w:rsid w:val="457E43CC"/>
    <w:rsid w:val="45AD6A5F"/>
    <w:rsid w:val="45EF5EF4"/>
    <w:rsid w:val="46256F3D"/>
    <w:rsid w:val="46726D53"/>
    <w:rsid w:val="46A2058E"/>
    <w:rsid w:val="46B207D1"/>
    <w:rsid w:val="46B47A42"/>
    <w:rsid w:val="46DE0983"/>
    <w:rsid w:val="4721166A"/>
    <w:rsid w:val="47A83982"/>
    <w:rsid w:val="47FD1E93"/>
    <w:rsid w:val="48654EAC"/>
    <w:rsid w:val="48825DB2"/>
    <w:rsid w:val="48931F3C"/>
    <w:rsid w:val="48C806BF"/>
    <w:rsid w:val="4931055C"/>
    <w:rsid w:val="493279A7"/>
    <w:rsid w:val="49865D2D"/>
    <w:rsid w:val="499917D4"/>
    <w:rsid w:val="49E1317B"/>
    <w:rsid w:val="4A232E2A"/>
    <w:rsid w:val="4A5E6E40"/>
    <w:rsid w:val="4A715085"/>
    <w:rsid w:val="4B045373"/>
    <w:rsid w:val="4B690E37"/>
    <w:rsid w:val="4B6B53F2"/>
    <w:rsid w:val="4B847D71"/>
    <w:rsid w:val="4B887D52"/>
    <w:rsid w:val="4C7354D5"/>
    <w:rsid w:val="4CA47B59"/>
    <w:rsid w:val="4D0E072B"/>
    <w:rsid w:val="4D221AE1"/>
    <w:rsid w:val="4D330192"/>
    <w:rsid w:val="4D6646B1"/>
    <w:rsid w:val="4DBE3EFF"/>
    <w:rsid w:val="4E133266"/>
    <w:rsid w:val="4E1B658C"/>
    <w:rsid w:val="4E670DAE"/>
    <w:rsid w:val="4EA0351B"/>
    <w:rsid w:val="4EBE7F2F"/>
    <w:rsid w:val="4EC866B8"/>
    <w:rsid w:val="4ECA2430"/>
    <w:rsid w:val="4F4F0BFE"/>
    <w:rsid w:val="4FA97F53"/>
    <w:rsid w:val="4FCC483C"/>
    <w:rsid w:val="500E459E"/>
    <w:rsid w:val="5043693E"/>
    <w:rsid w:val="50950CB1"/>
    <w:rsid w:val="50F419E6"/>
    <w:rsid w:val="517E49E8"/>
    <w:rsid w:val="5196392B"/>
    <w:rsid w:val="51DB31D3"/>
    <w:rsid w:val="51EB103B"/>
    <w:rsid w:val="52416FED"/>
    <w:rsid w:val="52CA57CD"/>
    <w:rsid w:val="539128D9"/>
    <w:rsid w:val="53E73A84"/>
    <w:rsid w:val="53F667F6"/>
    <w:rsid w:val="544B1364"/>
    <w:rsid w:val="54501629"/>
    <w:rsid w:val="54752E3E"/>
    <w:rsid w:val="54A17E2C"/>
    <w:rsid w:val="54A55D8E"/>
    <w:rsid w:val="54AF6350"/>
    <w:rsid w:val="54B66505"/>
    <w:rsid w:val="554271C4"/>
    <w:rsid w:val="55466588"/>
    <w:rsid w:val="557C079B"/>
    <w:rsid w:val="56236C6E"/>
    <w:rsid w:val="565076BF"/>
    <w:rsid w:val="568D26C1"/>
    <w:rsid w:val="569A3030"/>
    <w:rsid w:val="56FE711B"/>
    <w:rsid w:val="57813C86"/>
    <w:rsid w:val="582B2227"/>
    <w:rsid w:val="583A6878"/>
    <w:rsid w:val="5841333C"/>
    <w:rsid w:val="5923730C"/>
    <w:rsid w:val="59367040"/>
    <w:rsid w:val="597C142F"/>
    <w:rsid w:val="59AA3003"/>
    <w:rsid w:val="59E52814"/>
    <w:rsid w:val="59F82547"/>
    <w:rsid w:val="5A0744A1"/>
    <w:rsid w:val="5AE04D18"/>
    <w:rsid w:val="5B47544C"/>
    <w:rsid w:val="5B925713"/>
    <w:rsid w:val="5BB95E08"/>
    <w:rsid w:val="5C156E2E"/>
    <w:rsid w:val="5C7653F0"/>
    <w:rsid w:val="5C8079FC"/>
    <w:rsid w:val="5D39685F"/>
    <w:rsid w:val="5D6438C8"/>
    <w:rsid w:val="5D7A14C5"/>
    <w:rsid w:val="5D94122A"/>
    <w:rsid w:val="5DA16A52"/>
    <w:rsid w:val="5E2819E4"/>
    <w:rsid w:val="5E2C6C63"/>
    <w:rsid w:val="5E4E4E2C"/>
    <w:rsid w:val="5EBE53E1"/>
    <w:rsid w:val="5F59665E"/>
    <w:rsid w:val="5F6B5569"/>
    <w:rsid w:val="5FA62A45"/>
    <w:rsid w:val="60065C4A"/>
    <w:rsid w:val="60765F74"/>
    <w:rsid w:val="607F6542"/>
    <w:rsid w:val="60934D78"/>
    <w:rsid w:val="60CA0D14"/>
    <w:rsid w:val="61306A6A"/>
    <w:rsid w:val="628E1212"/>
    <w:rsid w:val="62957C63"/>
    <w:rsid w:val="62F91D57"/>
    <w:rsid w:val="633C5EEC"/>
    <w:rsid w:val="638B26E4"/>
    <w:rsid w:val="638E611D"/>
    <w:rsid w:val="63A948B2"/>
    <w:rsid w:val="63A9646B"/>
    <w:rsid w:val="63C52FE7"/>
    <w:rsid w:val="64032DEC"/>
    <w:rsid w:val="641F4B74"/>
    <w:rsid w:val="64583414"/>
    <w:rsid w:val="64B1537D"/>
    <w:rsid w:val="64FF3D1B"/>
    <w:rsid w:val="65543EE1"/>
    <w:rsid w:val="65815AE7"/>
    <w:rsid w:val="66466EE0"/>
    <w:rsid w:val="66562864"/>
    <w:rsid w:val="66D9725C"/>
    <w:rsid w:val="66F422E8"/>
    <w:rsid w:val="670C7632"/>
    <w:rsid w:val="673821D5"/>
    <w:rsid w:val="6740552D"/>
    <w:rsid w:val="67FA2A32"/>
    <w:rsid w:val="683C7AA3"/>
    <w:rsid w:val="694C1F68"/>
    <w:rsid w:val="69A26EC4"/>
    <w:rsid w:val="69B53FB1"/>
    <w:rsid w:val="6A100FD1"/>
    <w:rsid w:val="6A95076A"/>
    <w:rsid w:val="6B686E01"/>
    <w:rsid w:val="6BCB6C2F"/>
    <w:rsid w:val="6BDD77EF"/>
    <w:rsid w:val="6BE97F42"/>
    <w:rsid w:val="6C101972"/>
    <w:rsid w:val="6C5974B8"/>
    <w:rsid w:val="6C7E24CF"/>
    <w:rsid w:val="6CD20EBB"/>
    <w:rsid w:val="6DA50B0D"/>
    <w:rsid w:val="6E230305"/>
    <w:rsid w:val="6E25722B"/>
    <w:rsid w:val="6E6164B5"/>
    <w:rsid w:val="6E954335"/>
    <w:rsid w:val="6ED47C31"/>
    <w:rsid w:val="6EEA46FD"/>
    <w:rsid w:val="6F411CAE"/>
    <w:rsid w:val="6F4D6A39"/>
    <w:rsid w:val="701557A9"/>
    <w:rsid w:val="705D0EFE"/>
    <w:rsid w:val="706109EE"/>
    <w:rsid w:val="70BA27C6"/>
    <w:rsid w:val="719E0AED"/>
    <w:rsid w:val="7204622D"/>
    <w:rsid w:val="72E509D8"/>
    <w:rsid w:val="72FB69CA"/>
    <w:rsid w:val="731C6E4F"/>
    <w:rsid w:val="734939BC"/>
    <w:rsid w:val="74014590"/>
    <w:rsid w:val="74053B02"/>
    <w:rsid w:val="741A5393"/>
    <w:rsid w:val="74200949"/>
    <w:rsid w:val="74460B51"/>
    <w:rsid w:val="74B9247B"/>
    <w:rsid w:val="74FE1D9F"/>
    <w:rsid w:val="752B57D9"/>
    <w:rsid w:val="757A4398"/>
    <w:rsid w:val="760017AF"/>
    <w:rsid w:val="76197675"/>
    <w:rsid w:val="76911902"/>
    <w:rsid w:val="76BC735B"/>
    <w:rsid w:val="76BD49F2"/>
    <w:rsid w:val="770B234F"/>
    <w:rsid w:val="774053D8"/>
    <w:rsid w:val="777F2875"/>
    <w:rsid w:val="777F5BFE"/>
    <w:rsid w:val="77D777E8"/>
    <w:rsid w:val="786B1CDE"/>
    <w:rsid w:val="78EF3981"/>
    <w:rsid w:val="79181E66"/>
    <w:rsid w:val="792E5BE5"/>
    <w:rsid w:val="79674B9C"/>
    <w:rsid w:val="79B41C03"/>
    <w:rsid w:val="7A9E283F"/>
    <w:rsid w:val="7AF822DB"/>
    <w:rsid w:val="7BAB4CE1"/>
    <w:rsid w:val="7C0B6494"/>
    <w:rsid w:val="7C374F68"/>
    <w:rsid w:val="7C6B1F8D"/>
    <w:rsid w:val="7C7F06DD"/>
    <w:rsid w:val="7D250FF6"/>
    <w:rsid w:val="7D4A0A5C"/>
    <w:rsid w:val="7D777412"/>
    <w:rsid w:val="7DE4433B"/>
    <w:rsid w:val="7E941F8F"/>
    <w:rsid w:val="7EC32874"/>
    <w:rsid w:val="7EFE7EFE"/>
    <w:rsid w:val="7F297A01"/>
    <w:rsid w:val="7F72113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iPriority="1" w:semiHidden="0" w:name="Normal"/>
    <w:lsdException w:qFormat="1" w:uiPriority="1" w:semiHidden="0" w:name="heading 1"/>
    <w:lsdException w:qFormat="1" w:uiPriority="1" w:semiHidden="0" w:name="heading 2"/>
    <w:lsdException w:qFormat="1" w:uiPriority="1" w:semiHidden="0" w:name="heading 3"/>
    <w:lsdException w:qFormat="1" w:uiPriority="1" w:semiHidden="0" w:name="heading 4"/>
    <w:lsdException w:qFormat="1" w:uiPriority="1" w:semiHidden="0" w:name="heading 5"/>
    <w:lsdException w:qFormat="1" w:uiPriority="1" w:semiHidden="0" w:name="heading 6"/>
    <w:lsdException w:qFormat="1" w:uiPriority="1" w:semiHidden="0" w:name="heading 7"/>
    <w:lsdException w:qFormat="1" w:uiPriority="1" w:semiHidden="0" w:name="heading 8"/>
    <w:lsdException w:qFormat="1" w:uiPriority="1" w:semiHidden="0" w:name="heading 9"/>
    <w:lsdException w:qFormat="1" w:unhideWhenUsed="0" w:uiPriority="99" w:semiHidden="0" w:name="index 1"/>
    <w:lsdException w:qFormat="1" w:unhideWhenUsed="0" w:uiPriority="99" w:semiHidden="0" w:name="index 2"/>
    <w:lsdException w:qFormat="1" w:unhideWhenUsed="0" w:uiPriority="99" w:semiHidden="0" w:name="index 3"/>
    <w:lsdException w:qFormat="1" w:unhideWhenUsed="0" w:uiPriority="99" w:semiHidden="0" w:name="index 4"/>
    <w:lsdException w:qFormat="1" w:unhideWhenUsed="0" w:uiPriority="99" w:semiHidden="0" w:name="index 5"/>
    <w:lsdException w:qFormat="1" w:unhideWhenUsed="0" w:uiPriority="99" w:semiHidden="0" w:name="index 6"/>
    <w:lsdException w:qFormat="1" w:unhideWhenUsed="0" w:uiPriority="99" w:semiHidden="0" w:name="index 7"/>
    <w:lsdException w:qFormat="1" w:unhideWhenUsed="0" w:uiPriority="99" w:semiHidden="0" w:name="index 8"/>
    <w:lsdException w:qFormat="1" w:unhideWhenUsed="0" w:uiPriority="99" w:semiHidden="0" w:name="index 9"/>
    <w:lsdException w:qFormat="1" w:unhideWhenUsed="0" w:uiPriority="99" w:semiHidden="0" w:name="toc 1"/>
    <w:lsdException w:qFormat="1" w:unhideWhenUsed="0" w:uiPriority="9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39" w:semiHidden="0" w:name="toc 9"/>
    <w:lsdException w:qFormat="1" w:uiPriority="99" w:semiHidden="0" w:name="Normal Indent"/>
    <w:lsdException w:qFormat="1" w:unhideWhenUsed="0" w:uiPriority="99" w:semiHidden="0" w:name="footnote text"/>
    <w:lsdException w:qFormat="1" w:uiPriority="0" w:semiHidden="0" w:name="annotation text"/>
    <w:lsdException w:qFormat="1" w:unhideWhenUsed="0" w:uiPriority="99" w:semiHidden="0" w:name="header"/>
    <w:lsdException w:qFormat="1" w:uiPriority="99" w:semiHidden="0" w:name="footer"/>
    <w:lsdException w:qFormat="1" w:unhideWhenUsed="0" w:uiPriority="99" w:semiHidden="0" w:name="index heading"/>
    <w:lsdException w:qFormat="1" w:uiPriority="35" w:semiHidden="0" w:name="caption"/>
    <w:lsdException w:qFormat="1" w:unhideWhenUsed="0" w:uiPriority="99" w:semiHidden="0" w:name="table of figures"/>
    <w:lsdException w:qFormat="1" w:unhideWhenUsed="0" w:uiPriority="99" w:semiHidden="0" w:name="envelope address"/>
    <w:lsdException w:qFormat="1" w:unhideWhenUsed="0" w:uiPriority="99" w:semiHidden="0" w:name="envelope return"/>
    <w:lsdException w:qFormat="1" w:unhideWhenUsed="0" w:uiPriority="99" w:semiHidden="0" w:name="footnote reference"/>
    <w:lsdException w:qFormat="1" w:unhideWhenUsed="0" w:uiPriority="99" w:semiHidden="0" w:name="annotation reference"/>
    <w:lsdException w:qFormat="1" w:unhideWhenUsed="0" w:uiPriority="99" w:semiHidden="0" w:name="line number"/>
    <w:lsdException w:qFormat="1" w:unhideWhenUsed="0" w:uiPriority="99" w:semiHidden="0" w:name="page number"/>
    <w:lsdException w:qFormat="1" w:unhideWhenUsed="0" w:uiPriority="99" w:semiHidden="0" w:name="endnote reference"/>
    <w:lsdException w:qFormat="1" w:unhideWhenUsed="0" w:uiPriority="99" w:semiHidden="0" w:name="endnote text"/>
    <w:lsdException w:qFormat="1" w:unhideWhenUsed="0" w:uiPriority="99" w:semiHidden="0" w:name="table of authorities"/>
    <w:lsdException w:qFormat="1" w:unhideWhenUsed="0" w:uiPriority="99" w:semiHidden="0" w:name="macro"/>
    <w:lsdException w:qFormat="1" w:unhideWhenUsed="0" w:uiPriority="99" w:semiHidden="0" w:name="toa heading"/>
    <w:lsdException w:qFormat="1" w:uiPriority="0" w:semiHidden="0" w:name="List"/>
    <w:lsdException w:qFormat="1" w:unhideWhenUsed="0" w:uiPriority="99" w:semiHidden="0" w:name="List Bullet"/>
    <w:lsdException w:qFormat="1" w:unhideWhenUsed="0" w:uiPriority="99" w:semiHidden="0" w:name="List Number"/>
    <w:lsdException w:qFormat="1" w:unhideWhenUsed="0" w:uiPriority="99" w:semiHidden="0" w:name="List 2"/>
    <w:lsdException w:qFormat="1" w:unhideWhenUsed="0" w:uiPriority="99" w:semiHidden="0" w:name="List 3"/>
    <w:lsdException w:qFormat="1" w:unhideWhenUsed="0" w:uiPriority="99" w:semiHidden="0" w:name="List 4"/>
    <w:lsdException w:qFormat="1" w:unhideWhenUsed="0" w:uiPriority="99" w:semiHidden="0" w:name="List 5"/>
    <w:lsdException w:qFormat="1" w:unhideWhenUsed="0" w:uiPriority="99" w:semiHidden="0" w:name="List Bullet 2"/>
    <w:lsdException w:qFormat="1" w:unhideWhenUsed="0" w:uiPriority="99" w:semiHidden="0" w:name="List Bullet 3"/>
    <w:lsdException w:qFormat="1" w:unhideWhenUsed="0" w:uiPriority="99" w:semiHidden="0" w:name="List Bullet 4"/>
    <w:lsdException w:qFormat="1" w:unhideWhenUsed="0" w:uiPriority="99" w:semiHidden="0" w:name="List Bullet 5"/>
    <w:lsdException w:qFormat="1" w:unhideWhenUsed="0" w:uiPriority="99" w:semiHidden="0" w:name="List Number 2"/>
    <w:lsdException w:qFormat="1" w:unhideWhenUsed="0" w:uiPriority="99" w:semiHidden="0" w:name="List Number 3"/>
    <w:lsdException w:qFormat="1" w:unhideWhenUsed="0" w:uiPriority="99" w:semiHidden="0" w:name="List Number 4"/>
    <w:lsdException w:qFormat="1" w:uiPriority="99" w:semiHidden="0" w:name="List Number 5"/>
    <w:lsdException w:qFormat="1" w:unhideWhenUsed="0" w:uiPriority="10" w:semiHidden="0" w:name="Title"/>
    <w:lsdException w:qFormat="1" w:unhideWhenUsed="0" w:uiPriority="99" w:semiHidden="0" w:name="Closing"/>
    <w:lsdException w:qFormat="1" w:unhideWhenUsed="0" w:uiPriority="99" w:semiHidden="0" w:name="Signature"/>
    <w:lsdException w:qFormat="1" w:uiPriority="99" w:semiHidden="0" w:name="Default Paragraph Font"/>
    <w:lsdException w:qFormat="1" w:uiPriority="1" w:semiHidden="0" w:name="Body Text"/>
    <w:lsdException w:qFormat="1" w:uiPriority="0" w:semiHidden="0" w:name="Body Text Indent"/>
    <w:lsdException w:qFormat="1" w:unhideWhenUsed="0" w:uiPriority="99" w:semiHidden="0" w:name="List Continue"/>
    <w:lsdException w:qFormat="1" w:unhideWhenUsed="0" w:uiPriority="99" w:semiHidden="0" w:name="List Continue 2"/>
    <w:lsdException w:qFormat="1" w:unhideWhenUsed="0" w:uiPriority="99" w:semiHidden="0" w:name="List Continue 3"/>
    <w:lsdException w:qFormat="1" w:unhideWhenUsed="0" w:uiPriority="99" w:semiHidden="0" w:name="List Continue 4"/>
    <w:lsdException w:qFormat="1" w:unhideWhenUsed="0" w:uiPriority="99" w:semiHidden="0" w:name="List Continue 5"/>
    <w:lsdException w:qFormat="1" w:unhideWhenUsed="0" w:uiPriority="99" w:semiHidden="0" w:name="Message Header"/>
    <w:lsdException w:qFormat="1" w:unhideWhenUsed="0" w:uiPriority="99" w:semiHidden="0" w:name="Subtitle"/>
    <w:lsdException w:qFormat="1" w:unhideWhenUsed="0" w:uiPriority="99" w:semiHidden="0" w:name="Salutation"/>
    <w:lsdException w:qFormat="1" w:unhideWhenUsed="0" w:uiPriority="99" w:semiHidden="0" w:name="Date"/>
    <w:lsdException w:qFormat="1" w:uiPriority="0" w:semiHidden="0" w:name="Body Text First Indent"/>
    <w:lsdException w:qFormat="1" w:uiPriority="0" w:semiHidden="0" w:name="Body Text First Indent 2"/>
    <w:lsdException w:qFormat="1" w:unhideWhenUsed="0" w:uiPriority="99" w:semiHidden="0" w:name="Note Heading"/>
    <w:lsdException w:qFormat="1" w:unhideWhenUsed="0" w:uiPriority="0"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nhideWhenUsed="0" w:uiPriority="99" w:semiHidden="0" w:name="FollowedHyperlink"/>
    <w:lsdException w:qFormat="1" w:uiPriority="99" w:semiHidden="0" w:name="Strong"/>
    <w:lsdException w:qFormat="1" w:unhideWhenUsed="0" w:uiPriority="99" w:semiHidden="0" w:name="Emphasis"/>
    <w:lsdException w:qFormat="1" w:unhideWhenUsed="0" w:uiPriority="99" w:semiHidden="0" w:name="Document Map"/>
    <w:lsdException w:qFormat="1" w:uiPriority="0" w:semiHidden="0" w:name="Plain Text"/>
    <w:lsdException w:qFormat="1" w:unhideWhenUsed="0" w:uiPriority="99" w:semiHidden="0" w:name="E-mail Signature"/>
    <w:lsdException w:qFormat="1" w:uiPriority="99" w:semiHidden="0" w:name="Normal (Web)"/>
    <w:lsdException w:qFormat="1" w:unhideWhenUsed="0" w:uiPriority="99" w:semiHidden="0" w:name="HTML Acronym"/>
    <w:lsdException w:qFormat="1" w:unhideWhenUsed="0" w:uiPriority="99" w:semiHidden="0" w:name="HTML Address"/>
    <w:lsdException w:qFormat="1" w:unhideWhenUsed="0" w:uiPriority="99" w:semiHidden="0" w:name="HTML Cite"/>
    <w:lsdException w:qFormat="1" w:unhideWhenUsed="0" w:uiPriority="99" w:semiHidden="0" w:name="HTML Code"/>
    <w:lsdException w:qFormat="1" w:unhideWhenUsed="0" w:uiPriority="99" w:semiHidden="0" w:name="HTML Definition"/>
    <w:lsdException w:qFormat="1" w:unhideWhenUsed="0" w:uiPriority="99" w:semiHidden="0" w:name="HTML Keyboard"/>
    <w:lsdException w:qFormat="1" w:unhideWhenUsed="0" w:uiPriority="99" w:semiHidden="0" w:name="HTML Preformatted"/>
    <w:lsdException w:qFormat="1" w:unhideWhenUsed="0" w:uiPriority="99" w:semiHidden="0" w:name="HTML Sample"/>
    <w:lsdException w:qFormat="1" w:unhideWhenUsed="0" w:uiPriority="99" w:semiHidden="0" w:name="HTML Typewriter"/>
    <w:lsdException w:qFormat="1" w:unhideWhenUsed="0" w:uiPriority="99" w:semiHidden="0" w:name="HTML Variable"/>
    <w:lsdException w:qFormat="1" w:unhideWhenUsed="0" w:uiPriority="0" w:semiHidden="0" w:name="Normal Table"/>
    <w:lsdException w:qFormat="1" w:unhideWhenUsed="0" w:uiPriority="99" w:semiHidden="0" w:name="annotation subject"/>
    <w:lsdException w:qFormat="1" w:unhideWhenUsed="0" w:uiPriority="99" w:semiHidden="0" w:name="Table Simple 1"/>
    <w:lsdException w:qFormat="1" w:unhideWhenUsed="0" w:uiPriority="99" w:semiHidden="0" w:name="Table Simple 2"/>
    <w:lsdException w:qFormat="1" w:unhideWhenUsed="0" w:uiPriority="99" w:semiHidden="0" w:name="Table Simple 3"/>
    <w:lsdException w:qFormat="1" w:unhideWhenUsed="0" w:uiPriority="99" w:semiHidden="0" w:name="Table Classic 1"/>
    <w:lsdException w:qFormat="1" w:unhideWhenUsed="0" w:uiPriority="99" w:semiHidden="0" w:name="Table Classic 2"/>
    <w:lsdException w:qFormat="1" w:unhideWhenUsed="0" w:uiPriority="99" w:semiHidden="0" w:name="Table Classic 3"/>
    <w:lsdException w:qFormat="1" w:unhideWhenUsed="0" w:uiPriority="99" w:semiHidden="0" w:name="Table Classic 4"/>
    <w:lsdException w:qFormat="1" w:unhideWhenUsed="0" w:uiPriority="99" w:semiHidden="0" w:name="Table Colorful 1"/>
    <w:lsdException w:qFormat="1" w:unhideWhenUsed="0" w:uiPriority="99" w:semiHidden="0" w:name="Table Colorful 2"/>
    <w:lsdException w:qFormat="1" w:unhideWhenUsed="0" w:uiPriority="99" w:semiHidden="0" w:name="Table Colorful 3"/>
    <w:lsdException w:qFormat="1" w:unhideWhenUsed="0" w:uiPriority="99" w:semiHidden="0" w:name="Table Columns 1"/>
    <w:lsdException w:qFormat="1" w:unhideWhenUsed="0" w:uiPriority="99" w:semiHidden="0" w:name="Table Columns 2"/>
    <w:lsdException w:qFormat="1" w:unhideWhenUsed="0" w:uiPriority="99" w:semiHidden="0" w:name="Table Columns 3"/>
    <w:lsdException w:qFormat="1" w:unhideWhenUsed="0" w:uiPriority="99" w:semiHidden="0" w:name="Table Columns 4"/>
    <w:lsdException w:qFormat="1" w:unhideWhenUsed="0" w:uiPriority="99" w:semiHidden="0" w:name="Table Columns 5"/>
    <w:lsdException w:qFormat="1" w:unhideWhenUsed="0" w:uiPriority="99" w:semiHidden="0" w:name="Table Grid 1"/>
    <w:lsdException w:qFormat="1" w:unhideWhenUsed="0" w:uiPriority="99" w:semiHidden="0" w:name="Table Grid 2"/>
    <w:lsdException w:qFormat="1" w:unhideWhenUsed="0" w:uiPriority="99" w:semiHidden="0" w:name="Table Grid 3"/>
    <w:lsdException w:qFormat="1" w:unhideWhenUsed="0" w:uiPriority="99" w:semiHidden="0" w:name="Table Grid 4"/>
    <w:lsdException w:qFormat="1" w:unhideWhenUsed="0" w:uiPriority="99" w:semiHidden="0" w:name="Table Grid 5"/>
    <w:lsdException w:qFormat="1" w:unhideWhenUsed="0" w:uiPriority="99" w:semiHidden="0" w:name="Table Grid 6"/>
    <w:lsdException w:qFormat="1" w:unhideWhenUsed="0" w:uiPriority="99" w:semiHidden="0" w:name="Table Grid 7"/>
    <w:lsdException w:qFormat="1" w:unhideWhenUsed="0" w:uiPriority="99" w:semiHidden="0" w:name="Table Grid 8"/>
    <w:lsdException w:qFormat="1" w:unhideWhenUsed="0" w:uiPriority="99" w:semiHidden="0" w:name="Table List 1"/>
    <w:lsdException w:qFormat="1" w:unhideWhenUsed="0" w:uiPriority="99" w:semiHidden="0" w:name="Table List 2"/>
    <w:lsdException w:qFormat="1" w:unhideWhenUsed="0" w:uiPriority="99" w:semiHidden="0" w:name="Table List 3"/>
    <w:lsdException w:qFormat="1" w:unhideWhenUsed="0" w:uiPriority="99" w:semiHidden="0" w:name="Table List 4"/>
    <w:lsdException w:qFormat="1" w:unhideWhenUsed="0" w:uiPriority="99" w:semiHidden="0" w:name="Table List 5"/>
    <w:lsdException w:qFormat="1" w:unhideWhenUsed="0" w:uiPriority="99" w:semiHidden="0" w:name="Table List 6"/>
    <w:lsdException w:qFormat="1" w:unhideWhenUsed="0" w:uiPriority="99" w:semiHidden="0" w:name="Table List 7"/>
    <w:lsdException w:qFormat="1" w:unhideWhenUsed="0" w:uiPriority="99" w:semiHidden="0" w:name="Table List 8"/>
    <w:lsdException w:qFormat="1" w:unhideWhenUsed="0" w:uiPriority="99" w:semiHidden="0" w:name="Table 3D effects 1"/>
    <w:lsdException w:qFormat="1" w:unhideWhenUsed="0" w:uiPriority="99" w:semiHidden="0" w:name="Table 3D effects 2"/>
    <w:lsdException w:qFormat="1" w:unhideWhenUsed="0" w:uiPriority="99" w:semiHidden="0" w:name="Table 3D effects 3"/>
    <w:lsdException w:qFormat="1" w:unhideWhenUsed="0" w:uiPriority="99" w:semiHidden="0" w:name="Table Contemporary"/>
    <w:lsdException w:qFormat="1" w:unhideWhenUsed="0" w:uiPriority="99" w:semiHidden="0" w:name="Table Elegant"/>
    <w:lsdException w:qFormat="1" w:unhideWhenUsed="0" w:uiPriority="99" w:semiHidden="0" w:name="Table Professional"/>
    <w:lsdException w:qFormat="1" w:unhideWhenUsed="0" w:uiPriority="99" w:semiHidden="0" w:name="Table Subtle 1"/>
    <w:lsdException w:qFormat="1" w:unhideWhenUsed="0" w:uiPriority="99" w:semiHidden="0" w:name="Table Subtle 2"/>
    <w:lsdException w:qFormat="1" w:unhideWhenUsed="0" w:uiPriority="99" w:semiHidden="0" w:name="Table Web 1"/>
    <w:lsdException w:qFormat="1" w:unhideWhenUsed="0" w:uiPriority="99" w:semiHidden="0" w:name="Table Web 2"/>
    <w:lsdException w:qFormat="1" w:unhideWhenUsed="0" w:uiPriority="99" w:semiHidden="0" w:name="Table Web 3"/>
    <w:lsdException w:qFormat="1" w:unhideWhenUsed="0" w:uiPriority="99" w:semiHidden="0" w:name="Balloon Text"/>
    <w:lsdException w:qFormat="1" w:unhideWhenUsed="0" w:uiPriority="0" w:semiHidden="0" w:name="Table Grid"/>
    <w:lsdException w:qFormat="1"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nhideWhenUsed/>
    <w:qFormat/>
    <w:uiPriority w:val="1"/>
    <w:pPr>
      <w:widowControl w:val="0"/>
      <w:autoSpaceDE w:val="0"/>
      <w:autoSpaceDN w:val="0"/>
      <w:adjustRightInd w:val="0"/>
      <w:spacing w:beforeLines="0" w:afterLines="0" w:line="360" w:lineRule="auto"/>
      <w:ind w:firstLine="500" w:firstLineChars="200"/>
    </w:pPr>
    <w:rPr>
      <w:rFonts w:hint="default" w:ascii="Times New Roman" w:hAnsi="Times New Roman" w:eastAsia="宋体" w:cs="Times New Roman"/>
      <w:sz w:val="24"/>
      <w:szCs w:val="24"/>
    </w:rPr>
  </w:style>
  <w:style w:type="paragraph" w:styleId="2">
    <w:name w:val="heading 1"/>
    <w:basedOn w:val="1"/>
    <w:next w:val="1"/>
    <w:unhideWhenUsed/>
    <w:qFormat/>
    <w:uiPriority w:val="1"/>
    <w:pPr>
      <w:numPr>
        <w:ilvl w:val="0"/>
        <w:numId w:val="1"/>
      </w:numPr>
      <w:spacing w:beforeLines="0" w:afterLines="0"/>
      <w:ind w:left="432" w:hanging="432" w:firstLineChars="0"/>
      <w:outlineLvl w:val="0"/>
    </w:pPr>
    <w:rPr>
      <w:rFonts w:hint="default" w:eastAsia="Times New Roman"/>
      <w:b/>
      <w:sz w:val="28"/>
      <w:szCs w:val="24"/>
    </w:rPr>
  </w:style>
  <w:style w:type="paragraph" w:styleId="3">
    <w:name w:val="heading 2"/>
    <w:basedOn w:val="2"/>
    <w:next w:val="1"/>
    <w:link w:val="53"/>
    <w:unhideWhenUsed/>
    <w:qFormat/>
    <w:uiPriority w:val="1"/>
    <w:pPr>
      <w:numPr>
        <w:ilvl w:val="1"/>
        <w:numId w:val="1"/>
      </w:numPr>
      <w:spacing w:beforeLines="0" w:afterLines="0"/>
      <w:ind w:left="575" w:hanging="575" w:firstLineChars="0"/>
      <w:outlineLvl w:val="1"/>
    </w:pPr>
    <w:rPr>
      <w:rFonts w:hint="eastAsia" w:ascii="宋体" w:hAnsi="宋体"/>
      <w:sz w:val="24"/>
      <w:szCs w:val="24"/>
    </w:rPr>
  </w:style>
  <w:style w:type="paragraph" w:styleId="4">
    <w:name w:val="heading 3"/>
    <w:basedOn w:val="1"/>
    <w:next w:val="1"/>
    <w:unhideWhenUsed/>
    <w:qFormat/>
    <w:uiPriority w:val="1"/>
    <w:pPr>
      <w:numPr>
        <w:ilvl w:val="2"/>
        <w:numId w:val="1"/>
      </w:numPr>
      <w:tabs>
        <w:tab w:val="left" w:pos="0"/>
      </w:tabs>
      <w:spacing w:beforeLines="0" w:afterLines="0"/>
      <w:ind w:left="573" w:hanging="598" w:firstLineChars="0"/>
      <w:outlineLvl w:val="2"/>
    </w:pPr>
    <w:rPr>
      <w:rFonts w:hint="eastAsia" w:ascii="宋体" w:hAnsi="宋体" w:eastAsia="宋体"/>
      <w:b/>
    </w:rPr>
  </w:style>
  <w:style w:type="paragraph" w:styleId="5">
    <w:name w:val="heading 4"/>
    <w:basedOn w:val="1"/>
    <w:next w:val="1"/>
    <w:link w:val="66"/>
    <w:unhideWhenUsed/>
    <w:qFormat/>
    <w:uiPriority w:val="1"/>
    <w:pPr>
      <w:numPr>
        <w:ilvl w:val="3"/>
        <w:numId w:val="1"/>
      </w:numPr>
      <w:spacing w:beforeLines="0" w:afterLines="0"/>
      <w:ind w:left="573" w:hanging="574" w:firstLineChars="0"/>
      <w:outlineLvl w:val="3"/>
    </w:pPr>
    <w:rPr>
      <w:rFonts w:hint="eastAsia" w:ascii="宋体" w:hAnsi="宋体"/>
      <w:b/>
      <w:sz w:val="24"/>
      <w:szCs w:val="24"/>
    </w:rPr>
  </w:style>
  <w:style w:type="paragraph" w:styleId="6">
    <w:name w:val="heading 5"/>
    <w:basedOn w:val="1"/>
    <w:link w:val="70"/>
    <w:unhideWhenUsed/>
    <w:qFormat/>
    <w:uiPriority w:val="1"/>
    <w:pPr>
      <w:numPr>
        <w:ilvl w:val="4"/>
        <w:numId w:val="1"/>
      </w:numPr>
      <w:spacing w:beforeLines="0" w:afterLines="0"/>
      <w:ind w:left="1008" w:hanging="1008" w:firstLineChars="0"/>
      <w:outlineLvl w:val="4"/>
    </w:pPr>
    <w:rPr>
      <w:rFonts w:hint="eastAsia" w:ascii="宋体" w:hAnsi="宋体" w:eastAsia="宋体"/>
      <w:b/>
      <w:sz w:val="24"/>
    </w:rPr>
  </w:style>
  <w:style w:type="paragraph" w:styleId="7">
    <w:name w:val="heading 6"/>
    <w:basedOn w:val="1"/>
    <w:unhideWhenUsed/>
    <w:qFormat/>
    <w:uiPriority w:val="1"/>
    <w:pPr>
      <w:numPr>
        <w:ilvl w:val="5"/>
        <w:numId w:val="1"/>
      </w:numPr>
      <w:spacing w:beforeLines="0" w:afterLines="0"/>
      <w:ind w:left="1151" w:hanging="1151" w:firstLineChars="0"/>
      <w:outlineLvl w:val="5"/>
    </w:pPr>
    <w:rPr>
      <w:rFonts w:hint="eastAsia" w:ascii="黑体" w:hAnsi="黑体" w:eastAsia="黑体"/>
      <w:b/>
      <w:sz w:val="44"/>
      <w:szCs w:val="24"/>
    </w:rPr>
  </w:style>
  <w:style w:type="paragraph" w:styleId="8">
    <w:name w:val="heading 7"/>
    <w:basedOn w:val="1"/>
    <w:unhideWhenUsed/>
    <w:qFormat/>
    <w:uiPriority w:val="1"/>
    <w:pPr>
      <w:numPr>
        <w:ilvl w:val="6"/>
        <w:numId w:val="1"/>
      </w:numPr>
      <w:spacing w:beforeLines="0" w:afterLines="0"/>
      <w:ind w:left="1296" w:hanging="1296" w:firstLineChars="0"/>
      <w:outlineLvl w:val="6"/>
    </w:pPr>
    <w:rPr>
      <w:rFonts w:hint="eastAsia" w:ascii="宋体" w:hAnsi="宋体"/>
      <w:sz w:val="42"/>
      <w:szCs w:val="24"/>
    </w:rPr>
  </w:style>
  <w:style w:type="paragraph" w:styleId="9">
    <w:name w:val="heading 8"/>
    <w:basedOn w:val="1"/>
    <w:unhideWhenUsed/>
    <w:qFormat/>
    <w:uiPriority w:val="1"/>
    <w:pPr>
      <w:numPr>
        <w:ilvl w:val="7"/>
        <w:numId w:val="1"/>
      </w:numPr>
      <w:spacing w:beforeLines="0" w:afterLines="0"/>
      <w:ind w:left="1440" w:hanging="1440" w:firstLineChars="0"/>
      <w:outlineLvl w:val="7"/>
    </w:pPr>
    <w:rPr>
      <w:rFonts w:hint="eastAsia" w:ascii="宋体" w:hAnsi="宋体"/>
      <w:sz w:val="40"/>
      <w:szCs w:val="24"/>
    </w:rPr>
  </w:style>
  <w:style w:type="paragraph" w:styleId="10">
    <w:name w:val="heading 9"/>
    <w:basedOn w:val="1"/>
    <w:unhideWhenUsed/>
    <w:qFormat/>
    <w:uiPriority w:val="1"/>
    <w:pPr>
      <w:numPr>
        <w:ilvl w:val="8"/>
        <w:numId w:val="1"/>
      </w:numPr>
      <w:spacing w:beforeLines="0" w:afterLines="0"/>
      <w:ind w:left="1583" w:hanging="1583" w:firstLineChars="0"/>
      <w:outlineLvl w:val="8"/>
    </w:pPr>
    <w:rPr>
      <w:rFonts w:hint="eastAsia" w:ascii="宋体" w:hAnsi="宋体"/>
      <w:b/>
      <w:sz w:val="36"/>
      <w:szCs w:val="24"/>
    </w:rPr>
  </w:style>
  <w:style w:type="character" w:default="1" w:styleId="33">
    <w:name w:val="Default Paragraph Font"/>
    <w:unhideWhenUsed/>
    <w:qFormat/>
    <w:uiPriority w:val="99"/>
    <w:rPr>
      <w:rFonts w:hint="default" w:ascii="Times New Roman" w:hAnsi="Times New Roman" w:eastAsia="宋体"/>
      <w:kern w:val="2"/>
      <w:sz w:val="28"/>
      <w:szCs w:val="24"/>
      <w:lang w:val="en-US" w:eastAsia="zh-CN"/>
    </w:rPr>
  </w:style>
  <w:style w:type="table" w:default="1" w:styleId="31">
    <w:name w:val="Normal Table"/>
    <w:qFormat/>
    <w:uiPriority w:val="0"/>
    <w:tblPr>
      <w:tblCellMar>
        <w:top w:w="0" w:type="dxa"/>
        <w:left w:w="108" w:type="dxa"/>
        <w:bottom w:w="0" w:type="dxa"/>
        <w:right w:w="108" w:type="dxa"/>
      </w:tblCellMar>
    </w:tblPr>
  </w:style>
  <w:style w:type="paragraph" w:styleId="11">
    <w:name w:val="Normal Indent"/>
    <w:basedOn w:val="1"/>
    <w:unhideWhenUsed/>
    <w:qFormat/>
    <w:uiPriority w:val="99"/>
    <w:pPr>
      <w:spacing w:beforeLines="0" w:afterLines="0"/>
      <w:ind w:firstLine="420"/>
    </w:pPr>
    <w:rPr>
      <w:rFonts w:hint="default"/>
      <w:sz w:val="24"/>
      <w:szCs w:val="24"/>
    </w:rPr>
  </w:style>
  <w:style w:type="paragraph" w:styleId="12">
    <w:name w:val="caption"/>
    <w:basedOn w:val="1"/>
    <w:next w:val="1"/>
    <w:unhideWhenUsed/>
    <w:qFormat/>
    <w:uiPriority w:val="35"/>
    <w:pPr>
      <w:spacing w:beforeLines="0" w:afterLines="0"/>
      <w:ind w:firstLine="0" w:firstLineChars="0"/>
      <w:jc w:val="center"/>
    </w:pPr>
    <w:rPr>
      <w:rFonts w:hint="default"/>
      <w:b/>
      <w:sz w:val="24"/>
      <w:szCs w:val="24"/>
    </w:rPr>
  </w:style>
  <w:style w:type="paragraph" w:styleId="13">
    <w:name w:val="annotation text"/>
    <w:basedOn w:val="1"/>
    <w:unhideWhenUsed/>
    <w:qFormat/>
    <w:uiPriority w:val="0"/>
    <w:pPr>
      <w:spacing w:beforeLines="0" w:afterLines="0"/>
    </w:pPr>
    <w:rPr>
      <w:rFonts w:hint="default"/>
      <w:kern w:val="2"/>
      <w:sz w:val="21"/>
      <w:szCs w:val="24"/>
    </w:rPr>
  </w:style>
  <w:style w:type="paragraph" w:styleId="14">
    <w:name w:val="Body Text"/>
    <w:basedOn w:val="1"/>
    <w:unhideWhenUsed/>
    <w:qFormat/>
    <w:uiPriority w:val="1"/>
    <w:pPr>
      <w:spacing w:beforeLines="0" w:afterLines="0"/>
      <w:ind w:left="133"/>
    </w:pPr>
    <w:rPr>
      <w:rFonts w:hint="eastAsia" w:ascii="宋体" w:hAnsi="宋体"/>
      <w:sz w:val="24"/>
      <w:szCs w:val="24"/>
    </w:rPr>
  </w:style>
  <w:style w:type="paragraph" w:styleId="15">
    <w:name w:val="Body Text Indent"/>
    <w:basedOn w:val="1"/>
    <w:next w:val="1"/>
    <w:unhideWhenUsed/>
    <w:qFormat/>
    <w:uiPriority w:val="0"/>
    <w:pPr>
      <w:spacing w:beforeLines="0" w:after="120" w:afterLines="0"/>
      <w:ind w:left="420" w:leftChars="200"/>
    </w:pPr>
    <w:rPr>
      <w:rFonts w:hint="default"/>
      <w:sz w:val="24"/>
      <w:szCs w:val="24"/>
    </w:rPr>
  </w:style>
  <w:style w:type="paragraph" w:styleId="16">
    <w:name w:val="Block Text"/>
    <w:basedOn w:val="1"/>
    <w:next w:val="17"/>
    <w:qFormat/>
    <w:uiPriority w:val="99"/>
    <w:pPr>
      <w:ind w:left="-70" w:leftChars="-33" w:right="-108" w:rightChars="-51"/>
      <w:jc w:val="center"/>
    </w:pPr>
    <w:rPr>
      <w:rFonts w:ascii="Arial" w:hAnsi="Arial"/>
      <w:kern w:val="2"/>
      <w:sz w:val="24"/>
    </w:rPr>
  </w:style>
  <w:style w:type="paragraph" w:styleId="17">
    <w:name w:val="toc 9"/>
    <w:basedOn w:val="1"/>
    <w:next w:val="1"/>
    <w:qFormat/>
    <w:uiPriority w:val="39"/>
    <w:pPr>
      <w:ind w:left="1680"/>
      <w:jc w:val="left"/>
    </w:pPr>
    <w:rPr>
      <w:sz w:val="18"/>
    </w:rPr>
  </w:style>
  <w:style w:type="paragraph" w:styleId="18">
    <w:name w:val="Plain Text"/>
    <w:basedOn w:val="1"/>
    <w:next w:val="19"/>
    <w:unhideWhenUsed/>
    <w:qFormat/>
    <w:uiPriority w:val="0"/>
    <w:pPr>
      <w:spacing w:beforeLines="0" w:afterLines="0" w:line="240" w:lineRule="auto"/>
      <w:ind w:firstLine="0" w:firstLineChars="0"/>
    </w:pPr>
    <w:rPr>
      <w:rFonts w:hint="eastAsia" w:ascii="宋体" w:hAnsi="宋体" w:cs="Courier New"/>
      <w:sz w:val="21"/>
      <w:szCs w:val="24"/>
    </w:rPr>
  </w:style>
  <w:style w:type="paragraph" w:styleId="19">
    <w:name w:val="List Number 5"/>
    <w:basedOn w:val="1"/>
    <w:unhideWhenUsed/>
    <w:qFormat/>
    <w:uiPriority w:val="99"/>
    <w:pPr>
      <w:numPr>
        <w:ilvl w:val="0"/>
        <w:numId w:val="2"/>
      </w:numPr>
      <w:spacing w:beforeLines="0" w:afterLines="0"/>
      <w:ind w:left="2040" w:hanging="360"/>
    </w:pPr>
    <w:rPr>
      <w:rFonts w:hint="default"/>
      <w:sz w:val="24"/>
      <w:szCs w:val="24"/>
    </w:rPr>
  </w:style>
  <w:style w:type="paragraph" w:styleId="20">
    <w:name w:val="footer"/>
    <w:basedOn w:val="1"/>
    <w:unhideWhenUsed/>
    <w:qFormat/>
    <w:uiPriority w:val="99"/>
    <w:pPr>
      <w:tabs>
        <w:tab w:val="center" w:pos="4153"/>
        <w:tab w:val="right" w:pos="8306"/>
      </w:tabs>
      <w:snapToGrid w:val="0"/>
      <w:spacing w:beforeLines="0" w:afterLines="0"/>
    </w:pPr>
    <w:rPr>
      <w:rFonts w:hint="default"/>
      <w:sz w:val="18"/>
      <w:szCs w:val="24"/>
    </w:rPr>
  </w:style>
  <w:style w:type="paragraph" w:styleId="21">
    <w:name w:val="header"/>
    <w:basedOn w:val="1"/>
    <w:next w:val="1"/>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22">
    <w:name w:val="toc 1"/>
    <w:basedOn w:val="1"/>
    <w:next w:val="1"/>
    <w:qFormat/>
    <w:uiPriority w:val="99"/>
  </w:style>
  <w:style w:type="paragraph" w:styleId="23">
    <w:name w:val="List"/>
    <w:basedOn w:val="1"/>
    <w:unhideWhenUsed/>
    <w:qFormat/>
    <w:uiPriority w:val="0"/>
    <w:pPr>
      <w:spacing w:beforeLines="0" w:afterLines="0"/>
      <w:ind w:left="200" w:hanging="200" w:hangingChars="200"/>
    </w:pPr>
    <w:rPr>
      <w:rFonts w:hint="default"/>
      <w:sz w:val="24"/>
      <w:szCs w:val="24"/>
    </w:rPr>
  </w:style>
  <w:style w:type="paragraph" w:styleId="24">
    <w:name w:val="toc 2"/>
    <w:basedOn w:val="1"/>
    <w:next w:val="1"/>
    <w:qFormat/>
    <w:uiPriority w:val="99"/>
    <w:pPr>
      <w:ind w:left="420" w:leftChars="200"/>
    </w:pPr>
  </w:style>
  <w:style w:type="paragraph" w:styleId="25">
    <w:name w:val="Body Text 2"/>
    <w:basedOn w:val="1"/>
    <w:qFormat/>
    <w:uiPriority w:val="0"/>
    <w:pPr>
      <w:widowControl/>
      <w:spacing w:after="120" w:line="480" w:lineRule="auto"/>
      <w:jc w:val="left"/>
    </w:pPr>
    <w:rPr>
      <w:rFonts w:ascii="宋体" w:hAnsi="宋体" w:cs="宋体"/>
      <w:kern w:val="0"/>
      <w:sz w:val="28"/>
      <w:szCs w:val="20"/>
    </w:rPr>
  </w:style>
  <w:style w:type="paragraph" w:styleId="26">
    <w:name w:val="HTML Preformatted"/>
    <w:basedOn w:val="1"/>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27">
    <w:name w:val="Normal (Web)"/>
    <w:basedOn w:val="1"/>
    <w:unhideWhenUsed/>
    <w:qFormat/>
    <w:uiPriority w:val="99"/>
    <w:pPr>
      <w:spacing w:before="100" w:beforeLines="0" w:beforeAutospacing="1" w:after="100" w:afterLines="0" w:afterAutospacing="1"/>
    </w:pPr>
    <w:rPr>
      <w:rFonts w:hint="default"/>
      <w:sz w:val="24"/>
      <w:szCs w:val="24"/>
      <w:lang w:val="en-US" w:eastAsia="zh-CN" w:bidi="ar"/>
    </w:rPr>
  </w:style>
  <w:style w:type="paragraph" w:styleId="28">
    <w:name w:val="Title"/>
    <w:basedOn w:val="1"/>
    <w:next w:val="1"/>
    <w:qFormat/>
    <w:uiPriority w:val="10"/>
    <w:pPr>
      <w:spacing w:before="240" w:after="60"/>
      <w:ind w:firstLine="562"/>
      <w:jc w:val="center"/>
      <w:outlineLvl w:val="0"/>
    </w:pPr>
    <w:rPr>
      <w:rFonts w:ascii="Arial" w:hAnsi="Arial" w:cs="Arial"/>
      <w:b/>
      <w:bCs/>
      <w:szCs w:val="32"/>
    </w:rPr>
  </w:style>
  <w:style w:type="paragraph" w:styleId="29">
    <w:name w:val="Body Text First Indent"/>
    <w:basedOn w:val="14"/>
    <w:next w:val="30"/>
    <w:unhideWhenUsed/>
    <w:qFormat/>
    <w:uiPriority w:val="0"/>
    <w:pPr>
      <w:spacing w:beforeLines="0" w:after="120" w:afterLines="0" w:line="240" w:lineRule="auto"/>
      <w:ind w:firstLine="420" w:firstLineChars="100"/>
    </w:pPr>
    <w:rPr>
      <w:rFonts w:hint="eastAsia"/>
      <w:sz w:val="21"/>
      <w:szCs w:val="24"/>
    </w:rPr>
  </w:style>
  <w:style w:type="paragraph" w:styleId="30">
    <w:name w:val="Body Text First Indent 2"/>
    <w:basedOn w:val="15"/>
    <w:next w:val="18"/>
    <w:unhideWhenUsed/>
    <w:qFormat/>
    <w:uiPriority w:val="0"/>
    <w:pPr>
      <w:adjustRightInd/>
      <w:spacing w:beforeLines="0" w:afterLines="0" w:line="240" w:lineRule="auto"/>
      <w:ind w:firstLine="420"/>
      <w:jc w:val="both"/>
    </w:pPr>
    <w:rPr>
      <w:rFonts w:hint="eastAsia" w:ascii="宋体" w:hAnsi="宋体"/>
      <w:sz w:val="21"/>
      <w:szCs w:val="24"/>
    </w:rPr>
  </w:style>
  <w:style w:type="table" w:styleId="32">
    <w:name w:val="Table Grid"/>
    <w:basedOn w:val="3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basedOn w:val="33"/>
    <w:unhideWhenUsed/>
    <w:qFormat/>
    <w:uiPriority w:val="99"/>
    <w:rPr>
      <w:rFonts w:hint="default"/>
      <w:b/>
      <w:sz w:val="28"/>
      <w:szCs w:val="24"/>
    </w:rPr>
  </w:style>
  <w:style w:type="paragraph" w:customStyle="1" w:styleId="35">
    <w:name w:val="Default"/>
    <w:basedOn w:val="36"/>
    <w:next w:val="1"/>
    <w:unhideWhenUsed/>
    <w:qFormat/>
    <w:uiPriority w:val="0"/>
    <w:pPr>
      <w:tabs>
        <w:tab w:val="left" w:pos="1845"/>
      </w:tabs>
      <w:autoSpaceDE w:val="0"/>
      <w:autoSpaceDN w:val="0"/>
      <w:adjustRightInd w:val="0"/>
      <w:spacing w:line="360" w:lineRule="auto"/>
      <w:jc w:val="both"/>
    </w:pPr>
    <w:rPr>
      <w:rFonts w:hint="default" w:ascii="Times New Roman" w:hAnsi="Times New Roman"/>
      <w:color w:val="000000"/>
      <w:sz w:val="24"/>
      <w:szCs w:val="24"/>
    </w:rPr>
  </w:style>
  <w:style w:type="paragraph" w:customStyle="1" w:styleId="36">
    <w:name w:val="纯文本1"/>
    <w:autoRedefine/>
    <w:unhideWhenUsed/>
    <w:qFormat/>
    <w:uiPriority w:val="0"/>
    <w:pPr>
      <w:widowControl w:val="0"/>
      <w:tabs>
        <w:tab w:val="left" w:pos="1845"/>
      </w:tabs>
      <w:spacing w:line="240" w:lineRule="exact"/>
      <w:jc w:val="center"/>
    </w:pPr>
    <w:rPr>
      <w:rFonts w:hint="default" w:ascii="Calibri" w:hAnsi="Calibri" w:eastAsia="宋体" w:cs="Times New Roman"/>
      <w:kern w:val="2"/>
      <w:sz w:val="18"/>
      <w:szCs w:val="24"/>
      <w:lang w:val="en-US" w:eastAsia="zh-CN" w:bidi="ar-SA"/>
    </w:rPr>
  </w:style>
  <w:style w:type="paragraph" w:customStyle="1" w:styleId="37">
    <w:name w:val="默认段落"/>
    <w:basedOn w:val="1"/>
    <w:autoRedefine/>
    <w:qFormat/>
    <w:uiPriority w:val="99"/>
    <w:pPr>
      <w:widowControl/>
      <w:spacing w:line="360" w:lineRule="auto"/>
      <w:ind w:firstLine="200" w:firstLineChars="200"/>
      <w:jc w:val="left"/>
    </w:pPr>
    <w:rPr>
      <w:rFonts w:ascii="仿宋_GB2312" w:eastAsia="仿宋_GB2312" w:cs="宋体"/>
      <w:kern w:val="0"/>
      <w:sz w:val="28"/>
      <w:szCs w:val="24"/>
    </w:rPr>
  </w:style>
  <w:style w:type="paragraph" w:customStyle="1" w:styleId="38">
    <w:name w:val="xl27"/>
    <w:unhideWhenUsed/>
    <w:qFormat/>
    <w:uiPriority w:val="0"/>
    <w:pPr>
      <w:spacing w:before="100" w:beforeAutospacing="1" w:after="100" w:afterAutospacing="1"/>
      <w:jc w:val="center"/>
      <w:textAlignment w:val="center"/>
    </w:pPr>
    <w:rPr>
      <w:rFonts w:hint="eastAsia" w:ascii="Arial Unicode MS" w:hAnsi="Arial Unicode MS" w:eastAsia="Arial Unicode MS" w:cs="Arial Unicode MS"/>
      <w:sz w:val="24"/>
      <w:szCs w:val="24"/>
      <w:lang w:val="en-US" w:eastAsia="zh-CN" w:bidi="ar-SA"/>
    </w:rPr>
  </w:style>
  <w:style w:type="paragraph" w:customStyle="1" w:styleId="39">
    <w:name w:val="标题3 节标题"/>
    <w:basedOn w:val="4"/>
    <w:unhideWhenUsed/>
    <w:qFormat/>
    <w:uiPriority w:val="0"/>
    <w:pPr>
      <w:keepNext/>
      <w:keepLines/>
      <w:tabs>
        <w:tab w:val="left" w:pos="924"/>
        <w:tab w:val="clear" w:pos="0"/>
      </w:tabs>
      <w:adjustRightInd/>
      <w:spacing w:beforeLines="0" w:afterLines="0"/>
      <w:jc w:val="both"/>
    </w:pPr>
    <w:rPr>
      <w:rFonts w:hint="eastAsia"/>
      <w:color w:val="000000"/>
      <w:kern w:val="2"/>
      <w:sz w:val="28"/>
      <w:szCs w:val="24"/>
      <w:lang w:val="en-US" w:eastAsia="zh-CN"/>
    </w:rPr>
  </w:style>
  <w:style w:type="paragraph" w:styleId="40">
    <w:name w:val="List Paragraph"/>
    <w:basedOn w:val="1"/>
    <w:unhideWhenUsed/>
    <w:qFormat/>
    <w:uiPriority w:val="1"/>
    <w:pPr>
      <w:spacing w:beforeLines="0" w:afterLines="0"/>
    </w:pPr>
    <w:rPr>
      <w:rFonts w:hint="default"/>
      <w:sz w:val="24"/>
      <w:szCs w:val="24"/>
    </w:rPr>
  </w:style>
  <w:style w:type="paragraph" w:customStyle="1" w:styleId="41">
    <w:name w:val="表格内容"/>
    <w:basedOn w:val="1"/>
    <w:next w:val="1"/>
    <w:unhideWhenUsed/>
    <w:qFormat/>
    <w:uiPriority w:val="0"/>
    <w:pPr>
      <w:spacing w:beforeLines="0" w:afterLines="0" w:line="240" w:lineRule="auto"/>
      <w:ind w:firstLine="0" w:firstLineChars="0"/>
      <w:jc w:val="center"/>
      <w:textAlignment w:val="center"/>
    </w:pPr>
    <w:rPr>
      <w:rFonts w:hint="default" w:cs="Times New Roman"/>
      <w:color w:val="000000"/>
      <w:sz w:val="21"/>
      <w:szCs w:val="18"/>
    </w:rPr>
  </w:style>
  <w:style w:type="paragraph" w:customStyle="1" w:styleId="42">
    <w:name w:val="表格111"/>
    <w:basedOn w:val="1"/>
    <w:unhideWhenUsed/>
    <w:qFormat/>
    <w:uiPriority w:val="0"/>
    <w:pPr>
      <w:snapToGrid w:val="0"/>
      <w:spacing w:beforeLines="0" w:afterLines="0" w:line="240" w:lineRule="auto"/>
      <w:ind w:firstLine="0" w:firstLineChars="0"/>
      <w:jc w:val="center"/>
    </w:pPr>
    <w:rPr>
      <w:rFonts w:hint="eastAsia" w:ascii="宋体" w:hAnsi="宋体" w:cs="宋体"/>
      <w:color w:val="000000"/>
      <w:spacing w:val="6"/>
      <w:sz w:val="21"/>
      <w:szCs w:val="21"/>
    </w:rPr>
  </w:style>
  <w:style w:type="paragraph" w:customStyle="1" w:styleId="43">
    <w:name w:val="报告正文"/>
    <w:basedOn w:val="44"/>
    <w:autoRedefine/>
    <w:unhideWhenUsed/>
    <w:qFormat/>
    <w:uiPriority w:val="0"/>
    <w:pPr>
      <w:spacing w:beforeLines="0" w:afterLines="0" w:line="480" w:lineRule="exact"/>
      <w:ind w:firstLine="480"/>
    </w:pPr>
    <w:rPr>
      <w:rFonts w:hint="default"/>
      <w:kern w:val="2"/>
      <w:sz w:val="24"/>
      <w:szCs w:val="24"/>
    </w:rPr>
  </w:style>
  <w:style w:type="paragraph" w:customStyle="1" w:styleId="44">
    <w:name w:val="p17"/>
    <w:basedOn w:val="1"/>
    <w:autoRedefine/>
    <w:qFormat/>
    <w:uiPriority w:val="0"/>
    <w:pPr>
      <w:widowControl/>
    </w:pPr>
    <w:rPr>
      <w:rFonts w:ascii="宋体" w:hAnsi="宋体" w:cs="宋体"/>
      <w:kern w:val="0"/>
      <w:szCs w:val="21"/>
    </w:rPr>
  </w:style>
  <w:style w:type="paragraph" w:customStyle="1" w:styleId="45">
    <w:name w:val="表头1"/>
    <w:basedOn w:val="1"/>
    <w:link w:val="50"/>
    <w:autoRedefine/>
    <w:unhideWhenUsed/>
    <w:qFormat/>
    <w:uiPriority w:val="0"/>
    <w:pPr>
      <w:kinsoku w:val="0"/>
      <w:overflowPunct w:val="0"/>
      <w:spacing w:beforeLines="0" w:afterLines="0" w:line="240" w:lineRule="auto"/>
      <w:ind w:firstLine="0" w:firstLineChars="0"/>
      <w:jc w:val="center"/>
    </w:pPr>
    <w:rPr>
      <w:rFonts w:hint="eastAsia" w:ascii="宋体" w:hAnsi="宋体"/>
      <w:b/>
      <w:sz w:val="24"/>
      <w:szCs w:val="24"/>
    </w:rPr>
  </w:style>
  <w:style w:type="paragraph" w:customStyle="1" w:styleId="46">
    <w:name w:val="图名"/>
    <w:basedOn w:val="41"/>
    <w:autoRedefine/>
    <w:unhideWhenUsed/>
    <w:qFormat/>
    <w:uiPriority w:val="0"/>
    <w:pPr>
      <w:spacing w:before="60" w:beforeLines="0" w:after="240" w:afterLines="0"/>
      <w:outlineLvl w:val="4"/>
    </w:pPr>
    <w:rPr>
      <w:rFonts w:hint="default" w:eastAsia="黑体"/>
      <w:sz w:val="21"/>
      <w:szCs w:val="18"/>
    </w:rPr>
  </w:style>
  <w:style w:type="paragraph" w:customStyle="1" w:styleId="47">
    <w:name w:val="Table Paragraph"/>
    <w:basedOn w:val="1"/>
    <w:autoRedefine/>
    <w:unhideWhenUsed/>
    <w:qFormat/>
    <w:uiPriority w:val="1"/>
    <w:pPr>
      <w:spacing w:beforeLines="0" w:afterLines="0"/>
    </w:pPr>
    <w:rPr>
      <w:rFonts w:hint="default"/>
      <w:sz w:val="24"/>
      <w:szCs w:val="24"/>
    </w:rPr>
  </w:style>
  <w:style w:type="paragraph" w:customStyle="1" w:styleId="48">
    <w:name w:val="表格"/>
    <w:basedOn w:val="23"/>
    <w:next w:val="1"/>
    <w:autoRedefine/>
    <w:unhideWhenUsed/>
    <w:qFormat/>
    <w:uiPriority w:val="0"/>
    <w:pPr>
      <w:kinsoku w:val="0"/>
      <w:overflowPunct w:val="0"/>
      <w:spacing w:beforeLines="0" w:afterLines="0" w:line="240" w:lineRule="auto"/>
      <w:ind w:left="0" w:firstLine="0" w:firstLineChars="0"/>
      <w:jc w:val="center"/>
    </w:pPr>
    <w:rPr>
      <w:rFonts w:hint="eastAsia" w:ascii="宋体" w:hAnsi="宋体"/>
    </w:rPr>
  </w:style>
  <w:style w:type="paragraph" w:customStyle="1" w:styleId="49">
    <w:name w:val="样式 报告正文 + 首行缩进:  2 字符"/>
    <w:basedOn w:val="43"/>
    <w:next w:val="43"/>
    <w:autoRedefine/>
    <w:unhideWhenUsed/>
    <w:qFormat/>
    <w:uiPriority w:val="0"/>
    <w:pPr>
      <w:snapToGrid w:val="0"/>
      <w:spacing w:beforeLines="0" w:afterLines="0" w:line="360" w:lineRule="auto"/>
      <w:ind w:firstLine="560"/>
    </w:pPr>
    <w:rPr>
      <w:rFonts w:hint="default"/>
      <w:snapToGrid w:val="0"/>
      <w:kern w:val="0"/>
      <w:sz w:val="24"/>
      <w:szCs w:val="24"/>
    </w:rPr>
  </w:style>
  <w:style w:type="character" w:customStyle="1" w:styleId="50">
    <w:name w:val="表头1 Char"/>
    <w:link w:val="45"/>
    <w:autoRedefine/>
    <w:unhideWhenUsed/>
    <w:qFormat/>
    <w:uiPriority w:val="0"/>
    <w:rPr>
      <w:rFonts w:hint="eastAsia" w:ascii="宋体" w:hAnsi="宋体" w:eastAsia="宋体"/>
      <w:b/>
      <w:sz w:val="24"/>
      <w:szCs w:val="24"/>
    </w:rPr>
  </w:style>
  <w:style w:type="character" w:customStyle="1" w:styleId="51">
    <w:name w:val="font21"/>
    <w:basedOn w:val="33"/>
    <w:autoRedefine/>
    <w:unhideWhenUsed/>
    <w:qFormat/>
    <w:uiPriority w:val="0"/>
    <w:rPr>
      <w:rFonts w:hint="default" w:cs="Times New Roman"/>
      <w:color w:val="000000"/>
      <w:sz w:val="21"/>
      <w:szCs w:val="21"/>
    </w:rPr>
  </w:style>
  <w:style w:type="character" w:customStyle="1" w:styleId="52">
    <w:name w:val="font41"/>
    <w:basedOn w:val="33"/>
    <w:autoRedefine/>
    <w:unhideWhenUsed/>
    <w:qFormat/>
    <w:uiPriority w:val="0"/>
    <w:rPr>
      <w:rFonts w:hint="default" w:cs="Times New Roman"/>
      <w:color w:val="000000"/>
      <w:sz w:val="21"/>
      <w:szCs w:val="21"/>
      <w:vertAlign w:val="superscript"/>
    </w:rPr>
  </w:style>
  <w:style w:type="character" w:customStyle="1" w:styleId="53">
    <w:name w:val="标题 2 Char"/>
    <w:link w:val="3"/>
    <w:autoRedefine/>
    <w:unhideWhenUsed/>
    <w:qFormat/>
    <w:uiPriority w:val="1"/>
    <w:rPr>
      <w:rFonts w:hint="eastAsia" w:ascii="宋体" w:hAnsi="宋体" w:eastAsia="宋体"/>
      <w:b/>
      <w:sz w:val="24"/>
      <w:szCs w:val="24"/>
    </w:rPr>
  </w:style>
  <w:style w:type="character" w:customStyle="1" w:styleId="54">
    <w:name w:val="font11"/>
    <w:basedOn w:val="33"/>
    <w:unhideWhenUsed/>
    <w:qFormat/>
    <w:uiPriority w:val="0"/>
    <w:rPr>
      <w:rFonts w:hint="eastAsia" w:ascii="宋体" w:hAnsi="宋体" w:cs="宋体"/>
      <w:color w:val="000000"/>
      <w:sz w:val="21"/>
      <w:szCs w:val="21"/>
    </w:rPr>
  </w:style>
  <w:style w:type="paragraph" w:customStyle="1" w:styleId="55">
    <w:name w:val="报告表正文"/>
    <w:basedOn w:val="43"/>
    <w:autoRedefine/>
    <w:qFormat/>
    <w:uiPriority w:val="0"/>
    <w:pPr>
      <w:adjustRightInd w:val="0"/>
      <w:ind w:left="113" w:right="113" w:firstLine="482"/>
      <w:jc w:val="left"/>
      <w:textAlignment w:val="baseline"/>
    </w:pPr>
    <w:rPr>
      <w:kern w:val="0"/>
      <w:szCs w:val="21"/>
    </w:rPr>
  </w:style>
  <w:style w:type="table" w:customStyle="1" w:styleId="56">
    <w:name w:val="Table Normal"/>
    <w:autoRedefine/>
    <w:unhideWhenUsed/>
    <w:qFormat/>
    <w:uiPriority w:val="2"/>
    <w:rPr>
      <w:lang w:val="en-US" w:eastAsia="zh-CN" w:bidi="ar-SA"/>
    </w:rPr>
    <w:tblPr>
      <w:tblCellMar>
        <w:top w:w="0" w:type="dxa"/>
        <w:left w:w="0" w:type="dxa"/>
        <w:bottom w:w="0" w:type="dxa"/>
        <w:right w:w="0" w:type="dxa"/>
      </w:tblCellMar>
    </w:tblPr>
  </w:style>
  <w:style w:type="paragraph" w:customStyle="1" w:styleId="57">
    <w:name w:val="！正文"/>
    <w:basedOn w:val="1"/>
    <w:autoRedefine/>
    <w:qFormat/>
    <w:uiPriority w:val="0"/>
    <w:pPr>
      <w:adjustRightInd/>
      <w:snapToGrid/>
      <w:spacing w:line="360" w:lineRule="auto"/>
      <w:ind w:firstLine="480" w:firstLineChars="200"/>
    </w:pPr>
    <w:rPr>
      <w:rFonts w:ascii="Times New Roman" w:eastAsia="宋体"/>
      <w:sz w:val="24"/>
      <w:szCs w:val="20"/>
    </w:rPr>
  </w:style>
  <w:style w:type="paragraph" w:customStyle="1" w:styleId="58">
    <w:name w:val="表头！！！！！！！！！！"/>
    <w:basedOn w:val="11"/>
    <w:autoRedefine/>
    <w:qFormat/>
    <w:uiPriority w:val="0"/>
    <w:pPr>
      <w:autoSpaceDE w:val="0"/>
      <w:autoSpaceDN w:val="0"/>
      <w:adjustRightInd w:val="0"/>
      <w:spacing w:line="500" w:lineRule="exact"/>
      <w:jc w:val="center"/>
      <w:textAlignment w:val="baseline"/>
    </w:pPr>
    <w:rPr>
      <w:rFonts w:ascii="楷体_GB2312" w:eastAsia="楷体_GB2312"/>
      <w:b/>
      <w:snapToGrid w:val="0"/>
      <w:kern w:val="0"/>
      <w:sz w:val="24"/>
    </w:rPr>
  </w:style>
  <w:style w:type="paragraph" w:customStyle="1" w:styleId="59">
    <w:name w:val="表格题目1"/>
    <w:basedOn w:val="1"/>
    <w:autoRedefine/>
    <w:qFormat/>
    <w:uiPriority w:val="0"/>
    <w:pPr>
      <w:ind w:firstLine="525" w:firstLineChars="250"/>
      <w:jc w:val="left"/>
    </w:pPr>
    <w:rPr>
      <w:rFonts w:ascii="Times New Roman" w:hAnsi="Times New Roman" w:eastAsia="黑体" w:cs="Times New Roman"/>
      <w:color w:val="000000"/>
      <w:szCs w:val="24"/>
    </w:rPr>
  </w:style>
  <w:style w:type="paragraph" w:customStyle="1" w:styleId="60">
    <w:name w:val="Table Text"/>
    <w:basedOn w:val="1"/>
    <w:autoRedefine/>
    <w:semiHidden/>
    <w:qFormat/>
    <w:uiPriority w:val="0"/>
    <w:rPr>
      <w:rFonts w:ascii="宋体" w:hAnsi="宋体" w:eastAsia="宋体" w:cs="宋体"/>
      <w:sz w:val="24"/>
      <w:szCs w:val="24"/>
      <w:lang w:val="en-US" w:eastAsia="en-US" w:bidi="ar-SA"/>
    </w:rPr>
  </w:style>
  <w:style w:type="paragraph" w:customStyle="1" w:styleId="61">
    <w:name w:val="表格文字"/>
    <w:basedOn w:val="14"/>
    <w:next w:val="1"/>
    <w:autoRedefine/>
    <w:qFormat/>
    <w:uiPriority w:val="0"/>
    <w:pPr>
      <w:widowControl/>
      <w:tabs>
        <w:tab w:val="left" w:pos="360"/>
        <w:tab w:val="left" w:pos="1620"/>
      </w:tabs>
      <w:snapToGrid w:val="0"/>
      <w:spacing w:line="460" w:lineRule="exact"/>
      <w:jc w:val="center"/>
    </w:pPr>
    <w:rPr>
      <w:rFonts w:ascii="宋体" w:hAnsi="宋体" w:cs="宋体"/>
      <w:kern w:val="0"/>
      <w:sz w:val="24"/>
      <w:szCs w:val="20"/>
    </w:rPr>
  </w:style>
  <w:style w:type="paragraph" w:customStyle="1" w:styleId="62">
    <w:name w:val="正文(首行缩进)"/>
    <w:basedOn w:val="1"/>
    <w:next w:val="1"/>
    <w:autoRedefine/>
    <w:qFormat/>
    <w:uiPriority w:val="0"/>
    <w:pPr>
      <w:widowControl/>
      <w:adjustRightInd w:val="0"/>
      <w:spacing w:line="360" w:lineRule="auto"/>
      <w:ind w:firstLine="540" w:firstLineChars="225"/>
      <w:jc w:val="left"/>
      <w:textAlignment w:val="baseline"/>
    </w:pPr>
    <w:rPr>
      <w:rFonts w:ascii="宋体" w:hAnsi="宋体" w:cs="宋体"/>
      <w:color w:val="000000"/>
      <w:kern w:val="0"/>
      <w:sz w:val="24"/>
    </w:rPr>
  </w:style>
  <w:style w:type="paragraph" w:customStyle="1" w:styleId="63">
    <w:name w:val="1正文段落"/>
    <w:basedOn w:val="1"/>
    <w:autoRedefine/>
    <w:qFormat/>
    <w:uiPriority w:val="0"/>
    <w:pPr>
      <w:spacing w:line="360" w:lineRule="auto"/>
      <w:ind w:firstLine="480"/>
      <w:jc w:val="left"/>
    </w:pPr>
    <w:rPr>
      <w:rFonts w:eastAsia="宋体"/>
      <w:snapToGrid w:val="0"/>
      <w:sz w:val="24"/>
      <w:szCs w:val="24"/>
    </w:rPr>
  </w:style>
  <w:style w:type="paragraph" w:customStyle="1" w:styleId="64">
    <w:name w:val="表 头"/>
    <w:basedOn w:val="1"/>
    <w:autoRedefine/>
    <w:qFormat/>
    <w:uiPriority w:val="0"/>
    <w:pPr>
      <w:adjustRightInd w:val="0"/>
      <w:spacing w:before="120" w:after="120" w:line="360" w:lineRule="atLeast"/>
      <w:jc w:val="center"/>
    </w:pPr>
    <w:rPr>
      <w:rFonts w:eastAsia="黑体"/>
      <w:spacing w:val="10"/>
      <w:kern w:val="0"/>
      <w:sz w:val="24"/>
      <w:szCs w:val="20"/>
    </w:rPr>
  </w:style>
  <w:style w:type="paragraph" w:customStyle="1" w:styleId="65">
    <w:name w:val="缩进2字符文字"/>
    <w:basedOn w:val="1"/>
    <w:autoRedefine/>
    <w:qFormat/>
    <w:uiPriority w:val="0"/>
    <w:pPr>
      <w:spacing w:line="300" w:lineRule="auto"/>
      <w:ind w:firstLine="420" w:firstLineChars="200"/>
    </w:pPr>
    <w:rPr>
      <w:szCs w:val="20"/>
    </w:rPr>
  </w:style>
  <w:style w:type="character" w:customStyle="1" w:styleId="66">
    <w:name w:val="标题 4 Char"/>
    <w:link w:val="5"/>
    <w:autoRedefine/>
    <w:qFormat/>
    <w:uiPriority w:val="1"/>
    <w:rPr>
      <w:rFonts w:hint="eastAsia" w:ascii="宋体" w:hAnsi="宋体"/>
      <w:b/>
      <w:sz w:val="24"/>
      <w:szCs w:val="24"/>
    </w:rPr>
  </w:style>
  <w:style w:type="paragraph" w:customStyle="1" w:styleId="67">
    <w:name w:val="WPSOffice手动目录 1"/>
    <w:autoRedefine/>
    <w:qFormat/>
    <w:uiPriority w:val="0"/>
    <w:pPr>
      <w:ind w:leftChars="0"/>
    </w:pPr>
    <w:rPr>
      <w:rFonts w:ascii="Times New Roman" w:hAnsi="Times New Roman" w:eastAsia="宋体" w:cs="Times New Roman"/>
      <w:sz w:val="20"/>
      <w:szCs w:val="20"/>
    </w:rPr>
  </w:style>
  <w:style w:type="paragraph" w:customStyle="1" w:styleId="68">
    <w:name w:val="WPSOffice手动目录 2"/>
    <w:autoRedefine/>
    <w:qFormat/>
    <w:uiPriority w:val="0"/>
    <w:pPr>
      <w:ind w:leftChars="200"/>
    </w:pPr>
    <w:rPr>
      <w:rFonts w:ascii="Times New Roman" w:hAnsi="Times New Roman" w:eastAsia="宋体" w:cs="Times New Roman"/>
      <w:sz w:val="20"/>
      <w:szCs w:val="20"/>
    </w:rPr>
  </w:style>
  <w:style w:type="paragraph" w:customStyle="1" w:styleId="69">
    <w:name w:val="表头、图名"/>
    <w:basedOn w:val="1"/>
    <w:unhideWhenUsed/>
    <w:qFormat/>
    <w:uiPriority w:val="0"/>
    <w:pPr>
      <w:kinsoku w:val="0"/>
      <w:overflowPunct w:val="0"/>
      <w:spacing w:beforeLines="0" w:afterLines="0" w:line="240" w:lineRule="auto"/>
      <w:ind w:firstLine="0" w:firstLineChars="0"/>
      <w:jc w:val="center"/>
    </w:pPr>
    <w:rPr>
      <w:rFonts w:hint="eastAsia"/>
      <w:b/>
      <w:szCs w:val="24"/>
    </w:rPr>
  </w:style>
  <w:style w:type="character" w:customStyle="1" w:styleId="70">
    <w:name w:val="标题 5 Char"/>
    <w:link w:val="6"/>
    <w:qFormat/>
    <w:uiPriority w:val="1"/>
    <w:rPr>
      <w:rFonts w:hint="eastAsia" w:ascii="宋体" w:hAnsi="宋体" w:eastAsia="宋体"/>
      <w:b/>
      <w:sz w:val="24"/>
    </w:rPr>
  </w:style>
  <w:style w:type="paragraph" w:customStyle="1" w:styleId="71">
    <w:name w:val="_Style 13"/>
    <w:qFormat/>
    <w:uiPriority w:val="0"/>
    <w:pPr>
      <w:spacing w:before="120" w:after="120" w:line="288" w:lineRule="auto"/>
      <w:ind w:left="0"/>
      <w:jc w:val="left"/>
    </w:pPr>
    <w:rPr>
      <w:rFonts w:ascii="Arial" w:hAnsi="Arial" w:eastAsia="等线" w:cs="Arial"/>
      <w:sz w:val="22"/>
      <w:szCs w:val="22"/>
    </w:rPr>
  </w:style>
  <w:style w:type="paragraph" w:customStyle="1" w:styleId="72">
    <w:name w:val="环评正文"/>
    <w:basedOn w:val="73"/>
    <w:autoRedefine/>
    <w:qFormat/>
    <w:uiPriority w:val="0"/>
    <w:pPr>
      <w:tabs>
        <w:tab w:val="left" w:pos="0"/>
        <w:tab w:val="left" w:pos="690"/>
        <w:tab w:val="left" w:pos="1008"/>
      </w:tabs>
      <w:wordWrap w:val="0"/>
      <w:ind w:firstLine="200" w:firstLineChars="200"/>
      <w:jc w:val="both"/>
      <w:outlineLvl w:val="9"/>
    </w:pPr>
  </w:style>
  <w:style w:type="paragraph" w:customStyle="1" w:styleId="73">
    <w:name w:val="标题5"/>
    <w:basedOn w:val="74"/>
    <w:qFormat/>
    <w:uiPriority w:val="0"/>
    <w:pPr>
      <w:tabs>
        <w:tab w:val="left" w:pos="0"/>
        <w:tab w:val="left" w:pos="690"/>
        <w:tab w:val="left" w:pos="1008"/>
      </w:tabs>
      <w:spacing w:before="0" w:after="0" w:line="360" w:lineRule="auto"/>
      <w:ind w:firstLine="482"/>
    </w:pPr>
    <w:rPr>
      <w:sz w:val="24"/>
      <w:szCs w:val="20"/>
    </w:rPr>
  </w:style>
  <w:style w:type="paragraph" w:customStyle="1" w:styleId="74">
    <w:name w:val="标题4"/>
    <w:basedOn w:val="75"/>
    <w:qFormat/>
    <w:uiPriority w:val="0"/>
    <w:pPr>
      <w:tabs>
        <w:tab w:val="left" w:pos="0"/>
        <w:tab w:val="left" w:pos="690"/>
      </w:tabs>
      <w:adjustRightInd w:val="0"/>
      <w:snapToGrid w:val="0"/>
      <w:spacing w:before="60" w:after="60" w:line="360" w:lineRule="auto"/>
      <w:jc w:val="left"/>
      <w:textAlignment w:val="baseline"/>
    </w:pPr>
    <w:rPr>
      <w:rFonts w:ascii="Times New Roman" w:hAnsi="Times New Roman"/>
      <w:snapToGrid w:val="0"/>
      <w:kern w:val="0"/>
      <w:sz w:val="24"/>
      <w:szCs w:val="20"/>
    </w:rPr>
  </w:style>
  <w:style w:type="paragraph" w:customStyle="1" w:styleId="75">
    <w:name w:val="样式1"/>
    <w:basedOn w:val="76"/>
    <w:qFormat/>
    <w:uiPriority w:val="0"/>
    <w:pPr>
      <w:tabs>
        <w:tab w:val="left" w:pos="0"/>
        <w:tab w:val="left" w:pos="690"/>
      </w:tabs>
      <w:ind w:firstLine="480" w:firstLineChars="200"/>
    </w:pPr>
    <w:rPr>
      <w:rFonts w:ascii="Times New Roman" w:hAnsi="Times New Roman"/>
      <w:sz w:val="24"/>
      <w:szCs w:val="20"/>
    </w:rPr>
  </w:style>
  <w:style w:type="paragraph" w:customStyle="1" w:styleId="76">
    <w:name w:val="标题3"/>
    <w:basedOn w:val="4"/>
    <w:qFormat/>
    <w:uiPriority w:val="0"/>
    <w:pPr>
      <w:adjustRightInd w:val="0"/>
      <w:snapToGrid w:val="0"/>
      <w:textAlignment w:val="baseline"/>
    </w:pPr>
    <w:rPr>
      <w:kern w:val="44"/>
      <w:szCs w:val="20"/>
    </w:rPr>
  </w:style>
  <w:style w:type="paragraph" w:customStyle="1" w:styleId="77">
    <w:name w:val="表头刘"/>
    <w:basedOn w:val="1"/>
    <w:next w:val="78"/>
    <w:qFormat/>
    <w:uiPriority w:val="0"/>
    <w:pPr>
      <w:spacing w:line="240" w:lineRule="auto"/>
    </w:pPr>
    <w:rPr>
      <w:rFonts w:ascii="Times New Roman" w:hAnsi="Times New Roman"/>
      <w:szCs w:val="24"/>
    </w:rPr>
  </w:style>
  <w:style w:type="paragraph" w:customStyle="1" w:styleId="78">
    <w:name w:val="表格刘"/>
    <w:basedOn w:val="1"/>
    <w:next w:val="1"/>
    <w:qFormat/>
    <w:uiPriority w:val="0"/>
    <w:pPr>
      <w:spacing w:line="240" w:lineRule="auto"/>
      <w:ind w:firstLine="0" w:firstLineChars="0"/>
      <w:jc w:val="center"/>
    </w:pPr>
    <w:rPr>
      <w:rFonts w:hint="eastAsia" w:ascii="Times New Roman" w:hAnsi="Times New Roman" w:eastAsia="宋体"/>
      <w:color w:val="000000"/>
      <w:sz w:val="21"/>
      <w:szCs w:val="21"/>
    </w:rPr>
  </w:style>
  <w:style w:type="paragraph" w:customStyle="1" w:styleId="79">
    <w:name w:val="表格1"/>
    <w:basedOn w:val="1"/>
    <w:autoRedefine/>
    <w:qFormat/>
    <w:uiPriority w:val="0"/>
    <w:pPr>
      <w:adjustRightInd w:val="0"/>
      <w:snapToGrid w:val="0"/>
      <w:spacing w:line="240" w:lineRule="auto"/>
      <w:ind w:firstLine="0" w:firstLineChars="0"/>
      <w:jc w:val="center"/>
    </w:pPr>
    <w:rPr>
      <w:rFonts w:cs="Times New Roman"/>
      <w:color w:val="0000FF"/>
      <w:szCs w:val="21"/>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3.xml"/><Relationship Id="rId7" Type="http://schemas.openxmlformats.org/officeDocument/2006/relationships/header" Target="header2.xml"/><Relationship Id="rId61" Type="http://schemas.openxmlformats.org/officeDocument/2006/relationships/fontTable" Target="fontTable.xml"/><Relationship Id="rId60" Type="http://schemas.openxmlformats.org/officeDocument/2006/relationships/numbering" Target="numbering.xml"/><Relationship Id="rId6" Type="http://schemas.openxmlformats.org/officeDocument/2006/relationships/header" Target="header1.xml"/><Relationship Id="rId59" Type="http://schemas.openxmlformats.org/officeDocument/2006/relationships/customXml" Target="../customXml/item1.xml"/><Relationship Id="rId58" Type="http://schemas.openxmlformats.org/officeDocument/2006/relationships/image" Target="media/image46.png"/><Relationship Id="rId57" Type="http://schemas.openxmlformats.org/officeDocument/2006/relationships/image" Target="media/image45.jpeg"/><Relationship Id="rId56" Type="http://schemas.openxmlformats.org/officeDocument/2006/relationships/image" Target="media/image44.jpeg"/><Relationship Id="rId55" Type="http://schemas.openxmlformats.org/officeDocument/2006/relationships/image" Target="media/image43.png"/><Relationship Id="rId54" Type="http://schemas.openxmlformats.org/officeDocument/2006/relationships/image" Target="media/image42.png"/><Relationship Id="rId53" Type="http://schemas.openxmlformats.org/officeDocument/2006/relationships/image" Target="media/image41.jpeg"/><Relationship Id="rId52" Type="http://schemas.openxmlformats.org/officeDocument/2006/relationships/image" Target="media/image40.jpeg"/><Relationship Id="rId51" Type="http://schemas.openxmlformats.org/officeDocument/2006/relationships/image" Target="media/image39.emf"/><Relationship Id="rId50" Type="http://schemas.openxmlformats.org/officeDocument/2006/relationships/oleObject" Target="embeddings/oleObject3.bin"/><Relationship Id="rId5" Type="http://schemas.openxmlformats.org/officeDocument/2006/relationships/footer" Target="footer1.xml"/><Relationship Id="rId49" Type="http://schemas.openxmlformats.org/officeDocument/2006/relationships/image" Target="media/image38.png"/><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wmf"/><Relationship Id="rId44" Type="http://schemas.openxmlformats.org/officeDocument/2006/relationships/image" Target="media/image33.wmf"/><Relationship Id="rId43" Type="http://schemas.openxmlformats.org/officeDocument/2006/relationships/image" Target="media/image32.jpeg"/><Relationship Id="rId42" Type="http://schemas.openxmlformats.org/officeDocument/2006/relationships/image" Target="media/image31.jpeg"/><Relationship Id="rId41" Type="http://schemas.openxmlformats.org/officeDocument/2006/relationships/image" Target="media/image30.png"/><Relationship Id="rId40" Type="http://schemas.openxmlformats.org/officeDocument/2006/relationships/image" Target="media/image29.jpeg"/><Relationship Id="rId4" Type="http://schemas.openxmlformats.org/officeDocument/2006/relationships/endnotes" Target="endnotes.xml"/><Relationship Id="rId39" Type="http://schemas.openxmlformats.org/officeDocument/2006/relationships/image" Target="media/image28.jpeg"/><Relationship Id="rId38" Type="http://schemas.openxmlformats.org/officeDocument/2006/relationships/image" Target="media/image27.wmf"/><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jpe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jpeg"/><Relationship Id="rId30" Type="http://schemas.openxmlformats.org/officeDocument/2006/relationships/image" Target="media/image19.jpeg"/><Relationship Id="rId3" Type="http://schemas.openxmlformats.org/officeDocument/2006/relationships/footnotes" Target="footnotes.xml"/><Relationship Id="rId29" Type="http://schemas.openxmlformats.org/officeDocument/2006/relationships/image" Target="media/image18.jpeg"/><Relationship Id="rId28" Type="http://schemas.openxmlformats.org/officeDocument/2006/relationships/image" Target="media/image17.jpeg"/><Relationship Id="rId27" Type="http://schemas.openxmlformats.org/officeDocument/2006/relationships/image" Target="media/image16.jpe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pn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emf"/><Relationship Id="rId14" Type="http://schemas.openxmlformats.org/officeDocument/2006/relationships/oleObject" Target="embeddings/oleObject2.bin"/><Relationship Id="rId13" Type="http://schemas.openxmlformats.org/officeDocument/2006/relationships/image" Target="media/image3.jpeg"/><Relationship Id="rId12" Type="http://schemas.openxmlformats.org/officeDocument/2006/relationships/image" Target="media/image2.emf"/><Relationship Id="rId11" Type="http://schemas.openxmlformats.org/officeDocument/2006/relationships/oleObject" Target="embeddings/oleObject1.bin"/><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208</Pages>
  <Words>3200</Words>
  <Characters>3565</Characters>
  <TotalTime>33</TotalTime>
  <ScaleCrop>false</ScaleCrop>
  <LinksUpToDate>false</LinksUpToDate>
  <CharactersWithSpaces>3786</CharactersWithSpaces>
  <Application>WPS Office_12.1.0.21915_F1E327BC-269C-435d-A152-05C5408002CA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2025-03-31T01:55:00Z</dcterms:created>
  <dc:creator>hw</dc:creator>
  <cp:lastModifiedBy>ZX</cp:lastModifiedBy>
  <dcterms:modified xsi:type="dcterms:W3CDTF">2025-07-30T08:05:40Z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eyJoZGlkIjoiMjJkNDY0NTM1MjNmZDRkMWM3ZTk1MjQ5YWZiOGJlNmIiLCJ1c2VySWQiOiI0NTMxNzI4NjIifQ==</vt:lpwstr>
  </property>
  <property fmtid="{D5CDD505-2E9C-101B-9397-08002B2CF9AE}" pid="3" name="KSOProductBuildVer">
    <vt:lpwstr>2052-12.1.0.21915</vt:lpwstr>
  </property>
  <property fmtid="{D5CDD505-2E9C-101B-9397-08002B2CF9AE}" pid="4" name="ICV">
    <vt:lpwstr>FF771B085A894AACB0A7E6A1550ECDA0_13</vt:lpwstr>
  </property>
</Properties>
</file>